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191135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Republic Services,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1-14267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65-0716904</w:t>
      </w:r>
    </w:p>
    <w:p>
      <w:pPr>
        <w:spacing w:after="0" w:line="31" w:lineRule="exact"/>
        <w:rPr>
          <w:sz w:val="24"/>
          <w:szCs w:val="24"/>
          <w:color w:val="auto"/>
        </w:rPr>
      </w:pPr>
    </w:p>
    <w:p>
      <w:pPr>
        <w:sectPr>
          <w:pgSz w:w="11900" w:h="16838" w:orient="portrait"/>
          <w:cols w:equalWidth="0" w:num="3">
            <w:col w:w="4564" w:space="720"/>
            <w:col w:w="28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18500 North Allied Way</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Phoenix, Arizona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85054</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7"/>
              </w:rPr>
              <w:t>RSG</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0" w:type="dxa"/>
            <w:vAlign w:val="bottom"/>
            <w:gridSpan w:val="2"/>
          </w:tcPr>
          <w:p>
            <w:pPr>
              <w:jc w:val="right"/>
              <w:ind w:right="4390"/>
              <w:spacing w:after="0"/>
              <w:rPr>
                <w:sz w:val="20"/>
                <w:szCs w:val="20"/>
                <w:color w:val="auto"/>
              </w:rPr>
            </w:pPr>
            <w:r>
              <w:rPr>
                <w:rFonts w:ascii="Arial" w:cs="Arial" w:eastAsia="Arial" w:hAnsi="Arial"/>
                <w:sz w:val="18"/>
                <w:szCs w:val="18"/>
                <w:b w:val="1"/>
                <w:bCs w:val="1"/>
                <w:color w:val="auto"/>
                <w:w w:val="97"/>
              </w:rPr>
              <w:t>TABLE OF CONTENTS</w:t>
            </w:r>
          </w:p>
        </w:tc>
      </w:tr>
      <w:tr>
        <w:trPr>
          <w:trHeight w:val="438"/>
        </w:trPr>
        <w:tc>
          <w:tcPr>
            <w:tcW w:w="700" w:type="dxa"/>
            <w:vAlign w:val="bottom"/>
          </w:tcPr>
          <w:p>
            <w:pPr>
              <w:spacing w:after="0"/>
              <w:rPr>
                <w:rFonts w:ascii="Arial" w:cs="Arial" w:eastAsia="Arial" w:hAnsi="Arial"/>
                <w:sz w:val="18"/>
                <w:szCs w:val="18"/>
                <w:u w:val="single" w:color="auto"/>
                <w:color w:val="0000EE"/>
                <w:w w:val="90"/>
              </w:rPr>
            </w:pPr>
            <w:hyperlink w:anchor="page3">
              <w:r>
                <w:rPr>
                  <w:rFonts w:ascii="Arial" w:cs="Arial" w:eastAsia="Arial" w:hAnsi="Arial"/>
                  <w:sz w:val="18"/>
                  <w:szCs w:val="18"/>
                  <w:u w:val="single" w:color="auto"/>
                  <w:color w:val="0000EE"/>
                  <w:w w:val="90"/>
                </w:rPr>
                <w:t>Item 1.01</w:t>
              </w:r>
            </w:hyperlink>
          </w:p>
        </w:tc>
        <w:tc>
          <w:tcPr>
            <w:tcW w:w="350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Entry into a Material Definitive Agreement</w:t>
              </w:r>
            </w:hyperlink>
          </w:p>
        </w:tc>
        <w:tc>
          <w:tcPr>
            <w:tcW w:w="3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00" w:type="dxa"/>
            <w:vAlign w:val="bottom"/>
          </w:tcPr>
          <w:p>
            <w:pPr>
              <w:spacing w:after="0"/>
              <w:rPr>
                <w:rFonts w:ascii="Arial" w:cs="Arial" w:eastAsia="Arial" w:hAnsi="Arial"/>
                <w:sz w:val="18"/>
                <w:szCs w:val="18"/>
                <w:u w:val="single" w:color="auto"/>
                <w:color w:val="0000EE"/>
                <w:w w:val="90"/>
              </w:rPr>
            </w:pPr>
            <w:hyperlink w:anchor="page3">
              <w:r>
                <w:rPr>
                  <w:rFonts w:ascii="Arial" w:cs="Arial" w:eastAsia="Arial" w:hAnsi="Arial"/>
                  <w:sz w:val="18"/>
                  <w:szCs w:val="18"/>
                  <w:u w:val="single" w:color="auto"/>
                  <w:color w:val="0000EE"/>
                  <w:w w:val="90"/>
                </w:rPr>
                <w:t>Item 9.01</w:t>
              </w:r>
            </w:hyperlink>
          </w:p>
        </w:tc>
        <w:tc>
          <w:tcPr>
            <w:tcW w:w="350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and Exhibits</w:t>
              </w:r>
            </w:hyperlink>
          </w:p>
        </w:tc>
        <w:tc>
          <w:tcPr>
            <w:tcW w:w="67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42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SIGNATURES</w:t>
              </w:r>
            </w:hyperlink>
          </w:p>
        </w:tc>
        <w:tc>
          <w:tcPr>
            <w:tcW w:w="67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EX-4.1</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EX-104</w:t>
            </w: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940"/>
          </w:cols>
          <w:pgMar w:left="440" w:top="284"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May 18, 2020, Republic Services, Inc. (the “Company”) entered into Amendment No. 1 to the Credit Agreement with Bank of America, N.A., as Administrative Agent, Swing Line Lender and L/C Issuer and the other lenders party thereto (the “Credit Agreement Amendment”).</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Credit Agreement Amendment, among other things, revised the definition of Total Debt to EBITDA Ratio to exclude from Total Debt any outstanding tax-exempt bonds that are included in Total Debt and that are held by the Company or one of its subsidiaries as an investment included on the balance sheet of the Company or one of its subsidiaries pending the remarketing or repayment thereof.</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foregoing description of the Credit Agreement Amendment does not purport to be complete, and is qualified in its entirety by reference to the full text of the Credit Agreement Amendment, which is attached hereto as Exhibit 4.1 and is incorporated herein by reference. Each of the capitalized terms used but not defined in this Item 1.01 shall have the meaning given to such terms in the Credit Agreement Amendment.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4"/>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9"/>
              </w:rPr>
              <w:t>(d) Exhibits</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46"/>
        </w:trPr>
        <w:tc>
          <w:tcPr>
            <w:tcW w:w="10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67"/>
        </w:trPr>
        <w:tc>
          <w:tcPr>
            <w:tcW w:w="460" w:type="dxa"/>
            <w:vAlign w:val="bottom"/>
          </w:tcPr>
          <w:p>
            <w:pPr>
              <w:ind w:left="120"/>
              <w:spacing w:after="0"/>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00" w:type="dxa"/>
            <w:vAlign w:val="bottom"/>
            <w:gridSpan w:val="3"/>
          </w:tcPr>
          <w:p>
            <w:pPr>
              <w:ind w:left="4580"/>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77"/>
        </w:trPr>
        <w:tc>
          <w:tcPr>
            <w:tcW w:w="460" w:type="dxa"/>
            <w:vAlign w:val="bottom"/>
          </w:tcPr>
          <w:p>
            <w:pPr>
              <w:ind w:left="6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Amendment No. 1, dated as of May 18, 2020, to Credit Agreement, dated as of June 8, 2018, by and among Republic Services, Inc., as</w:t>
              </w:r>
            </w:hyperlink>
          </w:p>
        </w:tc>
      </w:tr>
      <w:tr>
        <w:trPr>
          <w:trHeight w:val="237"/>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00" w:type="dxa"/>
            <w:vAlign w:val="bottom"/>
            <w:gridSpan w:val="3"/>
          </w:tcPr>
          <w:p>
            <w:pPr>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Borrower, Bank of America, N.A., as Administrative Agent, Swing Ling Lender and L/C Issuer, and the other lenders party thereto</w:t>
              </w:r>
            </w:hyperlink>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0900"/>
          </w:cols>
          <w:pgMar w:left="440" w:top="297" w:right="5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REPUBLIC SERVICES, INC.</w:t>
      </w:r>
    </w:p>
    <w:p>
      <w:pPr>
        <w:spacing w:after="0" w:line="229" w:lineRule="exact"/>
        <w:rPr>
          <w:sz w:val="20"/>
          <w:szCs w:val="20"/>
          <w:color w:val="auto"/>
        </w:rPr>
      </w:pPr>
    </w:p>
    <w:p>
      <w:pPr>
        <w:spacing w:after="0"/>
        <w:tabs>
          <w:tab w:leader="none" w:pos="5660" w:val="left"/>
          <w:tab w:leader="none" w:pos="7720" w:val="left"/>
        </w:tabs>
        <w:rPr>
          <w:sz w:val="20"/>
          <w:szCs w:val="20"/>
          <w:color w:val="auto"/>
        </w:rPr>
      </w:pPr>
      <w:r>
        <w:rPr>
          <w:rFonts w:ascii="Arial" w:cs="Arial" w:eastAsia="Arial" w:hAnsi="Arial"/>
          <w:sz w:val="18"/>
          <w:szCs w:val="18"/>
          <w:color w:val="auto"/>
        </w:rPr>
        <w:t>Date: May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Charles F. Serianni</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6"/>
          <w:szCs w:val="16"/>
          <w:color w:val="auto"/>
        </w:rPr>
        <w:t>Executive Vice President, Chief Financial Officer</w:t>
      </w:r>
    </w:p>
    <w:p>
      <w:pPr>
        <w:spacing w:after="0" w:line="32"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tabs>
          <w:tab w:leader="none" w:pos="5660" w:val="left"/>
          <w:tab w:leader="none" w:pos="7820" w:val="left"/>
        </w:tabs>
        <w:rPr>
          <w:sz w:val="20"/>
          <w:szCs w:val="20"/>
          <w:color w:val="auto"/>
        </w:rPr>
      </w:pPr>
      <w:r>
        <w:rPr>
          <w:rFonts w:ascii="Arial" w:cs="Arial" w:eastAsia="Arial" w:hAnsi="Arial"/>
          <w:sz w:val="18"/>
          <w:szCs w:val="18"/>
          <w:color w:val="auto"/>
        </w:rPr>
        <w:t>Date: May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A.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Brian A. Goebel</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0320"/>
          </w:cols>
          <w:pgMar w:left="440" w:top="297" w:right="11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(Conformed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CREDIT AGREEMENT</w:t>
      </w:r>
    </w:p>
    <w:p>
      <w:pPr>
        <w:spacing w:after="0" w:line="225"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1 TO CREDIT AGREEMENT</w:t>
      </w:r>
      <w:r>
        <w:rPr>
          <w:rFonts w:ascii="Arial" w:cs="Arial" w:eastAsia="Arial" w:hAnsi="Arial"/>
          <w:sz w:val="18"/>
          <w:szCs w:val="18"/>
          <w:color w:val="auto"/>
        </w:rPr>
        <w:t xml:space="preserve"> dated as of May 18, 2020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made among </w:t>
      </w:r>
      <w:r>
        <w:rPr>
          <w:rFonts w:ascii="Arial" w:cs="Arial" w:eastAsia="Arial" w:hAnsi="Arial"/>
          <w:sz w:val="18"/>
          <w:szCs w:val="18"/>
          <w:b w:val="1"/>
          <w:bCs w:val="1"/>
          <w:color w:val="auto"/>
        </w:rPr>
        <w:t>REPUBLIC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rFonts w:ascii="Arial" w:cs="Arial" w:eastAsia="Arial" w:hAnsi="Arial"/>
          <w:sz w:val="18"/>
          <w:szCs w:val="18"/>
          <w:b w:val="1"/>
          <w:bCs w:val="1"/>
          <w:color w:val="auto"/>
        </w:rPr>
        <w:t xml:space="preserve"> BANK OF AMERICA, N.A.</w:t>
      </w:r>
      <w:r>
        <w:rPr>
          <w:rFonts w:ascii="Arial" w:cs="Arial" w:eastAsia="Arial" w:hAnsi="Arial"/>
          <w:sz w:val="18"/>
          <w:szCs w:val="18"/>
          <w:color w:val="auto"/>
        </w:rPr>
        <w:t>, in its capacity as administrative agent for the Lenders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Lenders party hereto. Capitalized terms used but not otherwise defined herein have the respective meanings ascribed to them in the Credit Agreement described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20" w:firstLine="436"/>
        <w:spacing w:after="0" w:line="259" w:lineRule="auto"/>
        <w:tabs>
          <w:tab w:leader="none" w:pos="7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 the Administrative Agent and the Lenders have entered into that certain Credit Agreement dated as of June 8, 2018 (as in effect on the date hereof immediately prior to the effectiveness of this Amendment,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Existing Credit Agreement as amended by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Lenders have made available to the Borrower a revolving credit facility with a swing line sublimit and a letter of credit sublimit.</w:t>
      </w:r>
    </w:p>
    <w:p>
      <w:pPr>
        <w:spacing w:after="0" w:line="186" w:lineRule="exact"/>
        <w:rPr>
          <w:rFonts w:ascii="Arial" w:cs="Arial" w:eastAsia="Arial" w:hAnsi="Arial"/>
          <w:sz w:val="18"/>
          <w:szCs w:val="18"/>
          <w:color w:val="auto"/>
        </w:rPr>
      </w:pPr>
    </w:p>
    <w:p>
      <w:pPr>
        <w:ind w:right="640" w:firstLine="436"/>
        <w:spacing w:after="0" w:line="263" w:lineRule="auto"/>
        <w:tabs>
          <w:tab w:leader="none" w:pos="78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 has advised the Administrative Agent and the Lenders that it desires to amend certain provisions of the Existing Credit Agreement, and the Administrative Agent and the Lenders are willing to effect such amendment on the terms and conditions contained in this Amendment.</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In consideration of the premises and further valuable consideration, the receipt and sufficiency of which are hereby acknowledged, the parties hereto agree as follows:</w:t>
      </w:r>
    </w:p>
    <w:p>
      <w:pPr>
        <w:spacing w:after="0" w:line="170" w:lineRule="exact"/>
        <w:rPr>
          <w:sz w:val="20"/>
          <w:szCs w:val="20"/>
          <w:color w:val="auto"/>
        </w:rPr>
      </w:pPr>
    </w:p>
    <w:p>
      <w:pPr>
        <w:ind w:right="40" w:firstLine="436"/>
        <w:spacing w:after="0" w:line="254" w:lineRule="auto"/>
        <w:tabs>
          <w:tab w:leader="none" w:pos="75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 to the Existing Credit Agreement</w:t>
      </w:r>
      <w:r>
        <w:rPr>
          <w:rFonts w:ascii="Arial" w:cs="Arial" w:eastAsia="Arial" w:hAnsi="Arial"/>
          <w:sz w:val="18"/>
          <w:szCs w:val="18"/>
          <w:color w:val="auto"/>
        </w:rPr>
        <w:t xml:space="preserve">. Subject to and in accordance with the terms and conditions set forth herein and in reliance upon the representations and warranties set forth herein, the parties hereto hereby agree that (a) the Existing Credit Agreement (other than the Schedules and Exhibits thereof, except as specified in clause (b) below)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 underlined text (indicated textually in the same manner as the following example: </w:t>
      </w:r>
      <w:r>
        <w:rPr>
          <w:rFonts w:ascii="Arial" w:cs="Arial" w:eastAsia="Arial" w:hAnsi="Arial"/>
          <w:sz w:val="18"/>
          <w:szCs w:val="18"/>
          <w:u w:val="single" w:color="auto"/>
          <w:color w:val="2F5496"/>
        </w:rPr>
        <w:t>double-underlined text</w:t>
      </w:r>
      <w:r>
        <w:rPr>
          <w:rFonts w:ascii="Arial" w:cs="Arial" w:eastAsia="Arial" w:hAnsi="Arial"/>
          <w:sz w:val="18"/>
          <w:szCs w:val="18"/>
          <w:color w:val="000000"/>
        </w:rPr>
        <w:t>) as set forth in the Credit Agreement attached hereto as</w:t>
      </w:r>
      <w:r>
        <w:rPr>
          <w:rFonts w:ascii="Arial" w:cs="Arial" w:eastAsia="Arial" w:hAnsi="Arial"/>
          <w:sz w:val="18"/>
          <w:szCs w:val="18"/>
          <w:color w:val="2F5496"/>
        </w:rPr>
        <w:t xml:space="preserve"> </w:t>
      </w:r>
      <w:r>
        <w:rPr>
          <w:rFonts w:ascii="Arial" w:cs="Arial" w:eastAsia="Arial" w:hAnsi="Arial"/>
          <w:sz w:val="18"/>
          <w:szCs w:val="18"/>
          <w:u w:val="single" w:color="auto"/>
          <w:color w:val="000000"/>
        </w:rPr>
        <w:t>Annex A</w:t>
      </w:r>
      <w:r>
        <w:rPr>
          <w:rFonts w:ascii="Arial" w:cs="Arial" w:eastAsia="Arial" w:hAnsi="Arial"/>
          <w:sz w:val="18"/>
          <w:szCs w:val="18"/>
          <w:color w:val="000000"/>
        </w:rPr>
        <w:t>, and (b) the existing</w:t>
      </w:r>
      <w:r>
        <w:rPr>
          <w:rFonts w:ascii="Arial" w:cs="Arial" w:eastAsia="Arial" w:hAnsi="Arial"/>
          <w:sz w:val="18"/>
          <w:szCs w:val="18"/>
          <w:color w:val="2F5496"/>
        </w:rPr>
        <w:t xml:space="preserve"> </w:t>
      </w:r>
      <w:r>
        <w:rPr>
          <w:rFonts w:ascii="Arial" w:cs="Arial" w:eastAsia="Arial" w:hAnsi="Arial"/>
          <w:sz w:val="18"/>
          <w:szCs w:val="18"/>
          <w:u w:val="single" w:color="auto"/>
          <w:color w:val="000000"/>
        </w:rPr>
        <w:t>Exhibit D</w:t>
      </w:r>
      <w:r>
        <w:rPr>
          <w:rFonts w:ascii="Arial" w:cs="Arial" w:eastAsia="Arial" w:hAnsi="Arial"/>
          <w:sz w:val="18"/>
          <w:szCs w:val="18"/>
          <w:color w:val="2F5496"/>
        </w:rPr>
        <w:t xml:space="preserve"> </w:t>
      </w:r>
      <w:r>
        <w:rPr>
          <w:rFonts w:ascii="Arial" w:cs="Arial" w:eastAsia="Arial" w:hAnsi="Arial"/>
          <w:sz w:val="18"/>
          <w:szCs w:val="18"/>
          <w:color w:val="000000"/>
        </w:rPr>
        <w:t>(Compliance Certificate) to the Existing</w:t>
      </w:r>
      <w:r>
        <w:rPr>
          <w:rFonts w:ascii="Arial" w:cs="Arial" w:eastAsia="Arial" w:hAnsi="Arial"/>
          <w:sz w:val="18"/>
          <w:szCs w:val="18"/>
          <w:color w:val="2F5496"/>
        </w:rPr>
        <w:t xml:space="preserve"> </w:t>
      </w:r>
      <w:r>
        <w:rPr>
          <w:rFonts w:ascii="Arial" w:cs="Arial" w:eastAsia="Arial" w:hAnsi="Arial"/>
          <w:sz w:val="18"/>
          <w:szCs w:val="18"/>
          <w:color w:val="000000"/>
        </w:rPr>
        <w:t xml:space="preserve">Credit Agreement is hereby amended such that, after giving effect to all such amendments, it shall read in its entirety under the Credit Agreement as set forth on </w:t>
      </w:r>
      <w:r>
        <w:rPr>
          <w:rFonts w:ascii="Arial" w:cs="Arial" w:eastAsia="Arial" w:hAnsi="Arial"/>
          <w:sz w:val="18"/>
          <w:szCs w:val="18"/>
          <w:u w:val="single" w:color="auto"/>
          <w:color w:val="000000"/>
        </w:rPr>
        <w:t>Annex B</w:t>
      </w:r>
      <w:r>
        <w:rPr>
          <w:rFonts w:ascii="Arial" w:cs="Arial" w:eastAsia="Arial" w:hAnsi="Arial"/>
          <w:sz w:val="18"/>
          <w:szCs w:val="18"/>
          <w:color w:val="000000"/>
        </w:rPr>
        <w:t xml:space="preserve"> hereto.</w:t>
      </w:r>
    </w:p>
    <w:p>
      <w:pPr>
        <w:spacing w:after="0" w:line="194" w:lineRule="exact"/>
        <w:rPr>
          <w:rFonts w:ascii="Arial" w:cs="Arial" w:eastAsia="Arial" w:hAnsi="Arial"/>
          <w:sz w:val="18"/>
          <w:szCs w:val="18"/>
          <w:color w:val="auto"/>
        </w:rPr>
      </w:pPr>
    </w:p>
    <w:p>
      <w:pPr>
        <w:ind w:left="760" w:hanging="32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Conditions Precedent to Amendment</w:t>
      </w:r>
      <w:r>
        <w:rPr>
          <w:rFonts w:ascii="Arial" w:cs="Arial" w:eastAsia="Arial" w:hAnsi="Arial"/>
          <w:sz w:val="17"/>
          <w:szCs w:val="17"/>
          <w:color w:val="auto"/>
        </w:rPr>
        <w:t>. The effectiveness of this Amendment and the amendments to the Credit Agreement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-654685</wp:posOffset>
            </wp:positionV>
            <wp:extent cx="3771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-517525</wp:posOffset>
            </wp:positionV>
            <wp:extent cx="685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above is subject to (a) the accuracy of the representations and warranties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on the date hereof, (b) the Administrative Agent’s receipt of counterparts of this Amendment duly executed and delivered by the Borrower, the Administrative Agent and the Required Lenders, and (c) unless waived by the Administrative Agent, the payment of all fees and expenses of the Administrative Agent and the Lenders (including the reasonable fees and expenses of counsel to the Administrative Agent to the extent invoiced prior to the date hereof) in connection with this Amendment.</w:t>
      </w:r>
    </w:p>
    <w:p>
      <w:pPr>
        <w:spacing w:after="0" w:line="161" w:lineRule="exact"/>
        <w:rPr>
          <w:sz w:val="20"/>
          <w:szCs w:val="20"/>
          <w:color w:val="auto"/>
        </w:rPr>
      </w:pPr>
    </w:p>
    <w:p>
      <w:pPr>
        <w:ind w:right="360" w:firstLine="436"/>
        <w:spacing w:after="0" w:line="277" w:lineRule="auto"/>
        <w:tabs>
          <w:tab w:leader="none" w:pos="75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In order to induce the Administrative Agent and the Lenders to enter into this Amendment, the Borrower represents and warrants to the Administrative Agent and the Lenders as follows:</w:t>
      </w:r>
    </w:p>
    <w:p>
      <w:pPr>
        <w:spacing w:after="0" w:line="76" w:lineRule="exact"/>
        <w:rPr>
          <w:sz w:val="20"/>
          <w:szCs w:val="20"/>
          <w:color w:val="auto"/>
        </w:rPr>
      </w:pPr>
    </w:p>
    <w:p>
      <w:pPr>
        <w:ind w:left="960" w:right="18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and in the other Loan Documents are true and correct in all material respects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1020"/>
          </w:cols>
          <w:pgMar w:left="440" w:top="121" w:right="439" w:bottom="1440" w:gutter="0" w:footer="0" w:header="0"/>
        </w:sectPr>
      </w:pPr>
    </w:p>
    <w:bookmarkStart w:id="5" w:name="page6"/>
    <w:bookmarkEnd w:id="5"/>
    <w:p>
      <w:pPr>
        <w:ind w:left="98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(except, if a qualifier relating to materiality, Material Adverse Effect or a similar concept applies, such representation or warranty is true and correct in all respects) on and as of the date hereof, except to the extent that such representations and warranties specifically refer to an earlier date, in which case they are true and correct in all material respects (except, if a qualifier relating to materiality, Material Adverse Effect or a similar concept applies, such representation or warranty is true and correct in all respects) as of such earlier date and except that the representations and warranties in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98" w:lineRule="exact"/>
        <w:rPr>
          <w:sz w:val="20"/>
          <w:szCs w:val="20"/>
          <w:color w:val="auto"/>
        </w:rPr>
      </w:pPr>
    </w:p>
    <w:p>
      <w:pPr>
        <w:ind w:left="960" w:right="26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75" w:lineRule="exact"/>
        <w:rPr>
          <w:rFonts w:ascii="Arial" w:cs="Arial" w:eastAsia="Arial" w:hAnsi="Arial"/>
          <w:sz w:val="18"/>
          <w:szCs w:val="18"/>
          <w:color w:val="auto"/>
        </w:rPr>
      </w:pPr>
    </w:p>
    <w:p>
      <w:pPr>
        <w:ind w:left="960" w:right="660" w:hanging="532"/>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has been duly authorized, executed and delivered by, and constitutes a legal, valid and binding obligation of, the Borrower, except as may be limited by general principles of equity or by the effect of any applicable bankruptcy, insolvency, reorganization, moratorium or similar law affecting creditors’ rights generally.</w:t>
      </w:r>
    </w:p>
    <w:p>
      <w:pPr>
        <w:spacing w:after="0" w:line="89"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as of the date hereof or would result after giving effect to this Amendment and the transactions contemplated hereby.</w:t>
      </w:r>
    </w:p>
    <w:p>
      <w:pPr>
        <w:spacing w:after="0" w:line="170" w:lineRule="exact"/>
        <w:rPr>
          <w:sz w:val="20"/>
          <w:szCs w:val="20"/>
          <w:color w:val="auto"/>
        </w:rPr>
      </w:pPr>
    </w:p>
    <w:p>
      <w:pPr>
        <w:ind w:firstLine="436"/>
        <w:spacing w:after="0" w:line="291" w:lineRule="auto"/>
        <w:tabs>
          <w:tab w:leader="none" w:pos="75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Loan Documents (collectively, the “</w:t>
      </w:r>
      <w:r>
        <w:rPr>
          <w:rFonts w:ascii="Arial" w:cs="Arial" w:eastAsia="Arial" w:hAnsi="Arial"/>
          <w:sz w:val="16"/>
          <w:szCs w:val="16"/>
          <w:u w:val="single" w:color="auto"/>
          <w:color w:val="auto"/>
        </w:rPr>
        <w:t>Relevant Documents</w:t>
      </w:r>
      <w:r>
        <w:rPr>
          <w:rFonts w:ascii="Arial" w:cs="Arial" w:eastAsia="Arial" w:hAnsi="Arial"/>
          <w:sz w:val="16"/>
          <w:szCs w:val="16"/>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the Credit Agreement.</w:t>
      </w:r>
    </w:p>
    <w:p>
      <w:pPr>
        <w:spacing w:after="0" w:line="166" w:lineRule="exact"/>
        <w:rPr>
          <w:rFonts w:ascii="Arial" w:cs="Arial" w:eastAsia="Arial" w:hAnsi="Arial"/>
          <w:sz w:val="16"/>
          <w:szCs w:val="16"/>
          <w:color w:val="auto"/>
        </w:rPr>
      </w:pPr>
    </w:p>
    <w:p>
      <w:pPr>
        <w:ind w:right="40" w:firstLine="436"/>
        <w:spacing w:after="0" w:line="259"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Full Force and Effect of Amendment</w:t>
      </w:r>
      <w:r>
        <w:rPr>
          <w:rFonts w:ascii="Arial" w:cs="Arial" w:eastAsia="Arial" w:hAnsi="Arial"/>
          <w:sz w:val="18"/>
          <w:szCs w:val="18"/>
          <w:color w:val="auto"/>
        </w:rPr>
        <w:t>. Except as hereby specifically amended, modified or supplemented, the Credit Agreement and all other Loan Documents are hereby confirmed and ratified in all respects and shall be and remain in full force and effect according to their respective terms. The execution, delivery and performance of this Amendment shall not constitute a waiver of any provision of, or operate as a waiver of any right, power or remedy of any Lender under the Credit Agreement or any of the other Loan Documents.</w:t>
      </w:r>
    </w:p>
    <w:p>
      <w:pPr>
        <w:spacing w:after="0" w:line="186" w:lineRule="exact"/>
        <w:rPr>
          <w:rFonts w:ascii="Arial" w:cs="Arial" w:eastAsia="Arial" w:hAnsi="Arial"/>
          <w:sz w:val="18"/>
          <w:szCs w:val="18"/>
          <w:color w:val="auto"/>
        </w:rPr>
      </w:pPr>
    </w:p>
    <w:p>
      <w:pPr>
        <w:ind w:right="120" w:firstLine="436"/>
        <w:spacing w:after="0" w:line="259"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86" w:lineRule="exact"/>
        <w:rPr>
          <w:rFonts w:ascii="Arial" w:cs="Arial" w:eastAsia="Arial" w:hAnsi="Arial"/>
          <w:sz w:val="18"/>
          <w:szCs w:val="18"/>
          <w:color w:val="auto"/>
        </w:rPr>
      </w:pPr>
    </w:p>
    <w:p>
      <w:pPr>
        <w:ind w:right="360" w:firstLine="436"/>
        <w:spacing w:after="0" w:line="277"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 xml:space="preserve">. This Amendment shall be governed by, and construed in accordance with, the laws of the State of New York, and shall be further subject to the provisions of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of the Credit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1000"/>
          </w:cols>
          <w:pgMar w:left="440" w:top="274" w:right="459" w:bottom="1440" w:gutter="0" w:footer="0" w:header="0"/>
        </w:sectPr>
      </w:pPr>
    </w:p>
    <w:bookmarkStart w:id="6" w:name="page7"/>
    <w:bookmarkEnd w:id="6"/>
    <w:p>
      <w:pPr>
        <w:ind w:firstLine="436"/>
        <w:spacing w:after="0" w:line="277"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70" w:lineRule="exact"/>
        <w:rPr>
          <w:rFonts w:ascii="Arial" w:cs="Arial" w:eastAsia="Arial" w:hAnsi="Arial"/>
          <w:sz w:val="18"/>
          <w:szCs w:val="18"/>
          <w:color w:val="auto"/>
        </w:rPr>
      </w:pPr>
    </w:p>
    <w:p>
      <w:pPr>
        <w:ind w:right="660" w:firstLine="436"/>
        <w:spacing w:after="0" w:line="277"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This Amendment shall constitute a Loan Document and all references in any of the other Loan Documents to the “Credit Agreement” shall mean the Credit Agreement, as amended hereby.</w:t>
      </w:r>
    </w:p>
    <w:p>
      <w:pPr>
        <w:spacing w:after="0" w:line="170" w:lineRule="exact"/>
        <w:rPr>
          <w:rFonts w:ascii="Arial" w:cs="Arial" w:eastAsia="Arial" w:hAnsi="Arial"/>
          <w:sz w:val="18"/>
          <w:szCs w:val="18"/>
          <w:color w:val="auto"/>
        </w:rPr>
      </w:pPr>
    </w:p>
    <w:p>
      <w:pPr>
        <w:jc w:val="both"/>
        <w:ind w:right="320" w:firstLine="436"/>
        <w:spacing w:after="0" w:line="263" w:lineRule="auto"/>
        <w:tabs>
          <w:tab w:leader="none" w:pos="84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Amendment shall be binding upon and inure to the benefit of the Borrower, the Administrative Agent, the Lenders and their respective successors and assignees to the extent such assignees are permitted assignees as provided in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of the Credit Agreement.</w:t>
      </w:r>
    </w:p>
    <w:p>
      <w:pPr>
        <w:spacing w:after="0" w:line="183" w:lineRule="exact"/>
        <w:rPr>
          <w:rFonts w:ascii="Arial" w:cs="Arial" w:eastAsia="Arial" w:hAnsi="Arial"/>
          <w:sz w:val="18"/>
          <w:szCs w:val="18"/>
          <w:color w:val="auto"/>
        </w:rPr>
      </w:pPr>
    </w:p>
    <w:p>
      <w:pPr>
        <w:ind w:right="40" w:firstLine="436"/>
        <w:spacing w:after="0" w:line="257" w:lineRule="auto"/>
        <w:tabs>
          <w:tab w:leader="none" w:pos="83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Amendment is held to be illegal, invalid or 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1000"/>
          </w:cols>
          <w:pgMar w:left="440" w:top="274" w:right="459" w:bottom="1440" w:gutter="0" w:footer="0" w:header="0"/>
        </w:sectPr>
      </w:pPr>
    </w:p>
    <w:bookmarkStart w:id="7" w:name="page8"/>
    <w:bookmarkEnd w:id="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instrument to be made, executed and delivered by their duly authorized officers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REPUBLIC SERVICES,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Calvin R.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Calvin R. Boyd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Assistant Treasurer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1 to 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00"/>
          </w:cols>
          <w:pgMar w:left="440" w:top="270" w:right="459" w:bottom="1440" w:gutter="0" w:footer="0" w:header="0"/>
        </w:sectPr>
      </w:pPr>
    </w:p>
    <w:bookmarkStart w:id="8" w:name="page9"/>
    <w:bookmarkEnd w:id="8"/>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w:t>
      </w:r>
      <w:r>
        <w:rPr>
          <w:rFonts w:ascii="Arial" w:cs="Arial" w:eastAsia="Arial" w:hAnsi="Arial"/>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Administrative Agent</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Mollie S. Canup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Mollie S. Canup</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40"/>
          </w:cols>
          <w:pgMar w:left="1440" w:top="270" w:right="819" w:bottom="1440" w:gutter="0" w:footer="0" w:header="0"/>
        </w:sectPr>
      </w:pPr>
    </w:p>
    <w:bookmarkStart w:id="9" w:name="page10"/>
    <w:bookmarkEnd w:id="9"/>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 xml:space="preserve">BANK OF AMERICA, N.A., </w:t>
      </w:r>
      <w:r>
        <w:rPr>
          <w:rFonts w:ascii="Arial" w:cs="Arial" w:eastAsia="Arial" w:hAnsi="Arial"/>
          <w:sz w:val="16"/>
          <w:szCs w:val="16"/>
          <w:color w:val="auto"/>
        </w:rPr>
        <w:t>as a Lender, L/C Issuer and</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Swing Line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Contreras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60"/>
          </w:cols>
          <w:pgMar w:left="1440" w:top="270" w:right="599" w:bottom="1440" w:gutter="0" w:footer="0" w:header="0"/>
        </w:sectPr>
      </w:pPr>
    </w:p>
    <w:bookmarkStart w:id="10" w:name="page11"/>
    <w:bookmarkEnd w:id="1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JPMORGAN CHASE BANK, N.A.</w:t>
      </w:r>
      <w:r>
        <w:rPr>
          <w:rFonts w:ascii="Arial" w:cs="Arial" w:eastAsia="Arial" w:hAnsi="Arial"/>
          <w:sz w:val="17"/>
          <w:szCs w:val="17"/>
          <w:color w:val="auto"/>
        </w:rPr>
        <w:t>, as a Lender and L/C</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S. Predun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60"/>
          </w:cols>
          <w:pgMar w:left="1440" w:top="270" w:right="599" w:bottom="1440" w:gutter="0" w:footer="0" w:header="0"/>
        </w:sectPr>
      </w:pPr>
    </w:p>
    <w:bookmarkStart w:id="11" w:name="page12"/>
    <w:bookmarkEnd w:id="1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WELLS FARGO BANK, NATIONAL ASSOCIATION</w:t>
      </w:r>
      <w:r>
        <w:rPr>
          <w:rFonts w:ascii="Arial" w:cs="Arial" w:eastAsia="Arial" w:hAnsi="Arial"/>
          <w:sz w:val="17"/>
          <w:szCs w:val="17"/>
          <w:color w:val="auto"/>
        </w:rPr>
        <w: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Kara Treiber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Kara Treiber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80"/>
          </w:cols>
          <w:pgMar w:left="1440" w:top="270" w:right="579" w:bottom="1440" w:gutter="0" w:footer="0" w:header="0"/>
        </w:sectPr>
      </w:pPr>
    </w:p>
    <w:bookmarkStart w:id="12" w:name="page13"/>
    <w:bookmarkEnd w:id="12"/>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BARCLAYS BANK PLC</w:t>
      </w:r>
      <w:r>
        <w:rPr>
          <w:rFonts w:ascii="Arial" w:cs="Arial" w:eastAsia="Arial" w:hAnsi="Arial"/>
          <w:sz w:val="16"/>
          <w:szCs w:val="16"/>
          <w:color w:val="auto"/>
        </w:rPr>
        <w:t>, as a Lender</w:t>
      </w:r>
    </w:p>
    <w:p>
      <w:pPr>
        <w:spacing w:after="0" w:line="25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Jake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Jake Lam</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Assistant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13" w:name="page14"/>
    <w:bookmarkEnd w:id="13"/>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BNP PARIBAS</w:t>
      </w:r>
      <w:r>
        <w:rPr>
          <w:rFonts w:ascii="Arial" w:cs="Arial" w:eastAsia="Arial" w:hAnsi="Arial"/>
          <w:sz w:val="16"/>
          <w:szCs w:val="16"/>
          <w:color w:val="auto"/>
        </w:rPr>
        <w:t>, as a Lender and L/C Issuer</w:t>
      </w:r>
    </w:p>
    <w:p>
      <w:pPr>
        <w:spacing w:after="0" w:line="25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Mike Shryock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Mike Shryock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Claudia Zarate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Claudia Zarate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MIZUHO BANK, LTD.</w:t>
      </w:r>
      <w:r>
        <w:rPr>
          <w:rFonts w:ascii="Arial" w:cs="Arial" w:eastAsia="Arial" w:hAnsi="Arial"/>
          <w:sz w:val="17"/>
          <w:szCs w:val="17"/>
          <w:color w:val="auto"/>
        </w:rPr>
        <w:t>, as a Lender and L/C Issuer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Donna DeMagistris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60"/>
          </w:cols>
          <w:pgMar w:left="1440" w:top="270" w:right="999" w:bottom="1440" w:gutter="0" w:footer="0" w:header="0"/>
        </w:sectPr>
      </w:pPr>
    </w:p>
    <w:bookmarkStart w:id="15" w:name="page16"/>
    <w:bookmarkEnd w:id="15"/>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MUFG BANK, LTD.</w:t>
      </w:r>
      <w:r>
        <w:rPr>
          <w:rFonts w:ascii="Arial" w:cs="Arial" w:eastAsia="Arial" w:hAnsi="Arial"/>
          <w:sz w:val="16"/>
          <w:szCs w:val="16"/>
          <w:color w:val="auto"/>
        </w:rPr>
        <w:t>, as a Lender and L/C Issuer</w:t>
      </w:r>
    </w:p>
    <w:p>
      <w:pPr>
        <w:spacing w:after="0" w:line="25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Maria F. Maia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Maria F. Maia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240"/>
          </w:cols>
          <w:pgMar w:left="1440" w:top="270" w:right="1219"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SUMITOMO MITSUI BANKING CORPORATION</w:t>
      </w:r>
      <w:r>
        <w:rPr>
          <w:rFonts w:ascii="Arial" w:cs="Arial" w:eastAsia="Arial" w:hAnsi="Arial"/>
          <w:sz w:val="18"/>
          <w:szCs w:val="18"/>
          <w:color w:val="auto"/>
        </w:rPr>
        <w:t>, 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 and L/C 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Katie Lee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00"/>
          </w:cols>
          <w:pgMar w:left="1440" w:top="270" w:right="559" w:bottom="1440" w:gutter="0" w:footer="0" w:header="0"/>
        </w:sectPr>
      </w:pPr>
    </w:p>
    <w:bookmarkStart w:id="17" w:name="page18"/>
    <w:bookmarkEnd w:id="17"/>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TRUIST BANK</w:t>
      </w:r>
      <w:r>
        <w:rPr>
          <w:rFonts w:ascii="Arial" w:cs="Arial" w:eastAsia="Arial" w:hAnsi="Arial"/>
          <w:sz w:val="16"/>
          <w:szCs w:val="16"/>
          <w:color w:val="auto"/>
        </w:rPr>
        <w:t>, formerly known as Branch Banking and</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Trust Company and as successor by merger to SunTrust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as a Lender and L/C 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Brett Ross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20"/>
          </w:cols>
          <w:pgMar w:left="1440" w:top="270" w:right="639" w:bottom="1440" w:gutter="0" w:footer="0" w:header="0"/>
        </w:sectPr>
      </w:pPr>
    </w:p>
    <w:bookmarkStart w:id="18" w:name="page19"/>
    <w:bookmarkEnd w:id="18"/>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NOVA SCOTIA</w:t>
      </w:r>
      <w:r>
        <w:rPr>
          <w:rFonts w:ascii="Arial" w:cs="Arial" w:eastAsia="Arial" w:hAnsi="Arial"/>
          <w:sz w:val="17"/>
          <w:szCs w:val="17"/>
          <w:color w:val="auto"/>
        </w:rPr>
        <w:t>, as a Lender and L/C</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Robb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Robb Gass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80"/>
          </w:cols>
          <w:pgMar w:left="1440" w:top="270" w:right="779" w:bottom="1440" w:gutter="0" w:footer="0" w:header="0"/>
        </w:sectPr>
      </w:pPr>
    </w:p>
    <w:bookmarkStart w:id="19" w:name="page20"/>
    <w:bookmarkEnd w:id="19"/>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BANK NATIONAL ASSOCIATION</w:t>
      </w:r>
      <w:r>
        <w:rPr>
          <w:rFonts w:ascii="Arial" w:cs="Arial" w:eastAsia="Arial" w:hAnsi="Arial"/>
          <w:sz w:val="17"/>
          <w:szCs w:val="17"/>
          <w:color w:val="auto"/>
        </w:rPr>
        <w:t>, as a Lender</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L/C 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Marty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Marty McDonald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00"/>
          </w:cols>
          <w:pgMar w:left="1440" w:top="270" w:right="759" w:bottom="1440" w:gutter="0" w:footer="0" w:header="0"/>
        </w:sectPr>
      </w:pPr>
    </w:p>
    <w:bookmarkStart w:id="20" w:name="page21"/>
    <w:bookmarkEnd w:id="20"/>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COBANK, ACB</w:t>
      </w:r>
      <w:r>
        <w:rPr>
          <w:rFonts w:ascii="Arial" w:cs="Arial" w:eastAsia="Arial" w:hAnsi="Arial"/>
          <w:sz w:val="16"/>
          <w:szCs w:val="16"/>
          <w:color w:val="auto"/>
        </w:rPr>
        <w:t>, as a Lender</w:t>
      </w:r>
    </w:p>
    <w:p>
      <w:pPr>
        <w:spacing w:after="0" w:line="25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Ervin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Bryan Ervin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21" w:name="page22"/>
    <w:bookmarkEnd w:id="2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INTESA SANPAOLO S.p.A., New York Branch</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Javier Richard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Javier Richard Cook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Managing Director, Global Relationship Manager</w:t>
      </w:r>
    </w:p>
    <w:p>
      <w:pPr>
        <w:spacing w:after="0" w:line="23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Feldman Facciola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Jennifer Feldman Facciola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Relationship Manager</w:t>
      </w:r>
    </w:p>
    <w:p>
      <w:pPr>
        <w:spacing w:after="0" w:line="14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80"/>
          </w:cols>
          <w:pgMar w:left="1440" w:top="270" w:right="679" w:bottom="1440" w:gutter="0" w:footer="0" w:header="0"/>
        </w:sectPr>
      </w:pPr>
    </w:p>
    <w:bookmarkStart w:id="22" w:name="page23"/>
    <w:bookmarkEnd w:id="2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KEYBANK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A.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Thomas A. Crandell</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40"/>
          </w:cols>
          <w:pgMar w:left="1440" w:top="270" w:right="719" w:bottom="1440" w:gutter="0" w:footer="0" w:header="0"/>
        </w:sectPr>
      </w:pPr>
    </w:p>
    <w:bookmarkStart w:id="23" w:name="page24"/>
    <w:bookmarkEnd w:id="2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PNC BANK, NATIONAL ASSOCIATION</w:t>
      </w:r>
      <w:r>
        <w:rPr>
          <w:rFonts w:ascii="Arial" w:cs="Arial" w:eastAsia="Arial" w:hAnsi="Arial"/>
          <w:sz w:val="17"/>
          <w:szCs w:val="17"/>
          <w:color w:val="auto"/>
        </w:rPr>
        <w:t>, as a Lender</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L/C Issuer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Karl Thomasma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Karl Thomasma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00"/>
          </w:cols>
          <w:pgMar w:left="1440" w:top="270" w:right="659" w:bottom="1440" w:gutter="0" w:footer="0" w:header="0"/>
        </w:sectPr>
      </w:pPr>
    </w:p>
    <w:bookmarkStart w:id="24" w:name="page25"/>
    <w:bookmarkEnd w:id="2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 BANK OF CANADA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Benjamin Lennon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25" w:name="page26"/>
    <w:bookmarkEnd w:id="25"/>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Credit Agreement</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0019"/>
          </w:cols>
          <w:pgMar w:left="440" w:top="270" w:right="1440" w:bottom="1440" w:gutter="0" w:footer="0" w:header="0"/>
        </w:sectPr>
      </w:pPr>
    </w:p>
    <w:bookmarkStart w:id="26" w:name="page27"/>
    <w:bookmarkEnd w:id="26"/>
    <w:p>
      <w:pPr>
        <w:ind w:left="9060"/>
        <w:spacing w:after="0"/>
        <w:rPr>
          <w:sz w:val="20"/>
          <w:szCs w:val="20"/>
          <w:color w:val="auto"/>
        </w:rPr>
      </w:pPr>
      <w:r>
        <w:rPr>
          <w:rFonts w:ascii="Arial" w:cs="Arial" w:eastAsia="Arial" w:hAnsi="Arial"/>
          <w:sz w:val="18"/>
          <w:szCs w:val="18"/>
          <w:b w:val="1"/>
          <w:bCs w:val="1"/>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6"/>
          <w:szCs w:val="16"/>
          <w:b w:val="1"/>
          <w:bCs w:val="1"/>
          <w:u w:val="single" w:color="auto"/>
          <w:color w:val="0000E1"/>
        </w:rPr>
        <w:t>Annex A:</w:t>
      </w:r>
    </w:p>
    <w:p>
      <w:pPr>
        <w:spacing w:after="0" w:line="50" w:lineRule="exact"/>
        <w:rPr>
          <w:sz w:val="20"/>
          <w:szCs w:val="20"/>
          <w:color w:val="auto"/>
        </w:rPr>
      </w:pPr>
    </w:p>
    <w:p>
      <w:pPr>
        <w:ind w:left="7800"/>
        <w:spacing w:after="0"/>
        <w:rPr>
          <w:sz w:val="20"/>
          <w:szCs w:val="20"/>
          <w:color w:val="auto"/>
        </w:rPr>
      </w:pPr>
      <w:r>
        <w:rPr>
          <w:rFonts w:ascii="Arial" w:cs="Arial" w:eastAsia="Arial" w:hAnsi="Arial"/>
          <w:sz w:val="16"/>
          <w:szCs w:val="16"/>
          <w:b w:val="1"/>
          <w:bCs w:val="1"/>
          <w:u w:val="single" w:color="auto"/>
          <w:color w:val="0000E1"/>
        </w:rPr>
        <w:t>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-107315</wp:posOffset>
            </wp:positionV>
            <wp:extent cx="462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29210</wp:posOffset>
            </wp:positionV>
            <wp:extent cx="2040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760760AJ7</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Published Revolver CUSIP Number: 760760AK4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8,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E1"/>
        </w:rPr>
        <w:t>(as amended by Amendment No. 1 to Credit Agreement, dated as of May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23495</wp:posOffset>
            </wp:positionV>
            <wp:extent cx="38233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Swing Line Lender and L/C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BNP PARIBAS, MIZUHO BANK, LTD., MUFG BANK, LTD., SUMITOMO MITSUI BANKING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SUNTRUST BANK, THE BANK OF NOVA SCOTIA,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MERRILL LYNCH, PIERCE, FENNER &amp; SMITH INCORPORATED</w:t>
      </w:r>
      <w:r>
        <w:rPr>
          <w:rFonts w:ascii="Arial" w:cs="Arial" w:eastAsia="Arial" w:hAnsi="Arial"/>
          <w:sz w:val="18"/>
          <w:szCs w:val="18"/>
          <w:b w:val="1"/>
          <w:bCs w:val="1"/>
          <w:u w:val="single" w:color="auto"/>
          <w:color w:val="0000E1"/>
        </w:rPr>
        <w:t>BofA SECURITIES, INC.</w:t>
      </w:r>
      <w:r>
        <w:rPr>
          <w:rFonts w:ascii="Arial" w:cs="Arial" w:eastAsia="Arial" w:hAnsi="Arial"/>
          <w:sz w:val="18"/>
          <w:szCs w:val="18"/>
          <w:b w:val="1"/>
          <w:bCs w:val="1"/>
          <w:color w:val="000000"/>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-121920</wp:posOffset>
            </wp:positionV>
            <wp:extent cx="1268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r>
        <w:rPr>
          <w:rFonts w:ascii="Arial" w:cs="Arial" w:eastAsia="Arial" w:hAnsi="Arial"/>
          <w:sz w:val="18"/>
          <w:szCs w:val="18"/>
          <w:u w:val="single" w:color="auto"/>
          <w:color w:val="0000E1"/>
          <w:strike w:val="1"/>
        </w:rPr>
        <w:t>129624357_3</w:t>
      </w:r>
    </w:p>
    <w:p>
      <w:pPr>
        <w:sectPr>
          <w:pgSz w:w="11900" w:h="16838" w:orient="portrait"/>
          <w:cols w:equalWidth="0" w:num="1">
            <w:col w:w="11020"/>
          </w:cols>
          <w:pgMar w:left="440" w:top="270" w:right="4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4"/>
                <w:szCs w:val="14"/>
                <w:color w:val="auto"/>
              </w:rPr>
              <w:t>Section</w:t>
            </w:r>
          </w:p>
        </w:tc>
        <w:tc>
          <w:tcPr>
            <w:tcW w:w="9480" w:type="dxa"/>
            <w:vAlign w:val="bottom"/>
            <w:vMerge w:val="restart"/>
          </w:tcPr>
          <w:p>
            <w:pPr>
              <w:ind w:left="420"/>
              <w:spacing w:after="0"/>
              <w:rPr>
                <w:sz w:val="20"/>
                <w:szCs w:val="20"/>
                <w:color w:val="auto"/>
              </w:rPr>
            </w:pPr>
            <w:r>
              <w:rPr>
                <w:rFonts w:ascii="Arial" w:cs="Arial" w:eastAsia="Arial" w:hAnsi="Arial"/>
                <w:sz w:val="18"/>
                <w:szCs w:val="18"/>
                <w:color w:val="auto"/>
              </w:rPr>
              <w:t>DEFINITIONS AND ACCOUNTING TERMS</w:t>
            </w:r>
          </w:p>
        </w:tc>
        <w:tc>
          <w:tcPr>
            <w:tcW w:w="440" w:type="dxa"/>
            <w:vAlign w:val="bottom"/>
            <w:gridSpan w:val="3"/>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60" w:type="dxa"/>
            <w:vAlign w:val="bottom"/>
            <w:gridSpan w:val="2"/>
          </w:tcPr>
          <w:p>
            <w:pPr>
              <w:spacing w:after="0"/>
              <w:rPr>
                <w:sz w:val="20"/>
                <w:szCs w:val="20"/>
                <w:color w:val="auto"/>
              </w:rPr>
            </w:pPr>
            <w:r>
              <w:rPr>
                <w:rFonts w:ascii="Arial" w:cs="Arial" w:eastAsia="Arial" w:hAnsi="Arial"/>
                <w:sz w:val="18"/>
                <w:szCs w:val="18"/>
                <w:color w:val="auto"/>
              </w:rPr>
              <w:t>ARTICLE I.</w:t>
            </w:r>
          </w:p>
        </w:tc>
        <w:tc>
          <w:tcPr>
            <w:tcW w:w="9480" w:type="dxa"/>
            <w:vAlign w:val="bottom"/>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948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0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1.02</w:t>
            </w:r>
          </w:p>
        </w:tc>
        <w:tc>
          <w:tcPr>
            <w:tcW w:w="9480" w:type="dxa"/>
            <w:vAlign w:val="bottom"/>
          </w:tcPr>
          <w:p>
            <w:pPr>
              <w:ind w:left="60"/>
              <w:spacing w:after="0" w:line="190" w:lineRule="exact"/>
              <w:rPr>
                <w:sz w:val="20"/>
                <w:szCs w:val="20"/>
                <w:color w:val="auto"/>
              </w:rPr>
            </w:pPr>
            <w:r>
              <w:rPr>
                <w:rFonts w:ascii="Arial" w:cs="Arial" w:eastAsia="Arial" w:hAnsi="Arial"/>
                <w:sz w:val="18"/>
                <w:szCs w:val="18"/>
                <w:color w:val="auto"/>
              </w:rPr>
              <w:t>Other Interpretive Provisions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23</w:t>
            </w:r>
          </w:p>
        </w:tc>
        <w:tc>
          <w:tcPr>
            <w:tcW w:w="180" w:type="dxa"/>
            <w:vAlign w:val="bottom"/>
            <w:tcBorders>
              <w:bottom w:val="single" w:sz="8" w:color="0000E1"/>
            </w:tcBorders>
          </w:tcPr>
          <w:p>
            <w:pPr>
              <w:jc w:val="right"/>
              <w:spacing w:after="0" w:line="190" w:lineRule="exact"/>
              <w:rPr>
                <w:sz w:val="20"/>
                <w:szCs w:val="20"/>
                <w:color w:val="auto"/>
              </w:rPr>
            </w:pPr>
            <w:r>
              <w:rPr>
                <w:rFonts w:ascii="Arial" w:cs="Arial" w:eastAsia="Arial" w:hAnsi="Arial"/>
                <w:sz w:val="18"/>
                <w:szCs w:val="18"/>
                <w:color w:val="0000E1"/>
                <w:w w:val="79"/>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1.03</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Accounting Terms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24</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9480" w:type="dxa"/>
            <w:vAlign w:val="bottom"/>
          </w:tcPr>
          <w:p>
            <w:pPr>
              <w:ind w:left="60"/>
              <w:spacing w:after="0"/>
              <w:rPr>
                <w:sz w:val="20"/>
                <w:szCs w:val="20"/>
                <w:color w:val="auto"/>
              </w:rPr>
            </w:pPr>
            <w:r>
              <w:rPr>
                <w:rFonts w:ascii="Arial" w:cs="Arial" w:eastAsia="Arial" w:hAnsi="Arial"/>
                <w:sz w:val="18"/>
                <w:szCs w:val="18"/>
                <w:color w:val="auto"/>
              </w:rPr>
              <w:t>Rounding</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9480" w:type="dxa"/>
            <w:vAlign w:val="bottom"/>
          </w:tcPr>
          <w:p>
            <w:pPr>
              <w:ind w:left="60"/>
              <w:spacing w:after="0"/>
              <w:rPr>
                <w:sz w:val="20"/>
                <w:szCs w:val="20"/>
                <w:color w:val="auto"/>
              </w:rPr>
            </w:pPr>
            <w:r>
              <w:rPr>
                <w:rFonts w:ascii="Arial" w:cs="Arial" w:eastAsia="Arial" w:hAnsi="Arial"/>
                <w:sz w:val="18"/>
                <w:szCs w:val="18"/>
                <w:color w:val="auto"/>
              </w:rPr>
              <w:t>Times of Day</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9480" w:type="dxa"/>
            <w:vAlign w:val="bottom"/>
          </w:tcPr>
          <w:p>
            <w:pPr>
              <w:ind w:left="60"/>
              <w:spacing w:after="0"/>
              <w:rPr>
                <w:sz w:val="20"/>
                <w:szCs w:val="20"/>
                <w:color w:val="auto"/>
              </w:rPr>
            </w:pPr>
            <w:r>
              <w:rPr>
                <w:rFonts w:ascii="Arial" w:cs="Arial" w:eastAsia="Arial" w:hAnsi="Arial"/>
                <w:sz w:val="18"/>
                <w:szCs w:val="18"/>
                <w:color w:val="auto"/>
              </w:rPr>
              <w:t>Letter of Credit Amounts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3"/>
        </w:trPr>
        <w:tc>
          <w:tcPr>
            <w:tcW w:w="106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9480" w:type="dxa"/>
            <w:vAlign w:val="bottom"/>
          </w:tcPr>
          <w:p>
            <w:pPr>
              <w:ind w:left="420"/>
              <w:spacing w:after="0"/>
              <w:rPr>
                <w:sz w:val="20"/>
                <w:szCs w:val="20"/>
                <w:color w:val="auto"/>
              </w:rPr>
            </w:pPr>
            <w:r>
              <w:rPr>
                <w:rFonts w:ascii="Arial" w:cs="Arial" w:eastAsia="Arial" w:hAnsi="Arial"/>
                <w:sz w:val="18"/>
                <w:szCs w:val="18"/>
                <w:color w:val="auto"/>
              </w:rPr>
              <w:t>THE COMMITMENTS AND CREDIT EXTENSIONS</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25</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2.01</w:t>
            </w:r>
          </w:p>
        </w:tc>
        <w:tc>
          <w:tcPr>
            <w:tcW w:w="9480" w:type="dxa"/>
            <w:vAlign w:val="bottom"/>
          </w:tcPr>
          <w:p>
            <w:pPr>
              <w:ind w:left="60"/>
              <w:spacing w:after="0"/>
              <w:rPr>
                <w:sz w:val="20"/>
                <w:szCs w:val="20"/>
                <w:color w:val="auto"/>
              </w:rPr>
            </w:pPr>
            <w:r>
              <w:rPr>
                <w:rFonts w:ascii="Arial" w:cs="Arial" w:eastAsia="Arial" w:hAnsi="Arial"/>
                <w:sz w:val="18"/>
                <w:szCs w:val="18"/>
                <w:color w:val="auto"/>
              </w:rPr>
              <w:t>Committed Loans</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25</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2.02</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Borrowings, Conversions and Continuations of Committed Loans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25</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948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9480" w:type="dxa"/>
            <w:vAlign w:val="bottom"/>
          </w:tcPr>
          <w:p>
            <w:pPr>
              <w:ind w:left="60"/>
              <w:spacing w:after="0"/>
              <w:rPr>
                <w:sz w:val="20"/>
                <w:szCs w:val="20"/>
                <w:color w:val="auto"/>
              </w:rPr>
            </w:pPr>
            <w:r>
              <w:rPr>
                <w:rFonts w:ascii="Arial" w:cs="Arial" w:eastAsia="Arial" w:hAnsi="Arial"/>
                <w:sz w:val="18"/>
                <w:szCs w:val="18"/>
                <w:color w:val="auto"/>
              </w:rPr>
              <w:t>Swing Line Loans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0"/>
        </w:trPr>
        <w:tc>
          <w:tcPr>
            <w:tcW w:w="10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2.05</w:t>
            </w:r>
          </w:p>
        </w:tc>
        <w:tc>
          <w:tcPr>
            <w:tcW w:w="9480" w:type="dxa"/>
            <w:vAlign w:val="bottom"/>
          </w:tcPr>
          <w:p>
            <w:pPr>
              <w:ind w:left="60"/>
              <w:spacing w:after="0" w:line="190" w:lineRule="exact"/>
              <w:rPr>
                <w:sz w:val="20"/>
                <w:szCs w:val="20"/>
                <w:color w:val="auto"/>
              </w:rPr>
            </w:pPr>
            <w:r>
              <w:rPr>
                <w:rFonts w:ascii="Arial" w:cs="Arial" w:eastAsia="Arial" w:hAnsi="Arial"/>
                <w:sz w:val="18"/>
                <w:szCs w:val="18"/>
                <w:color w:val="auto"/>
              </w:rPr>
              <w:t>Prepayments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E1"/>
            </w:tcBorders>
          </w:tcPr>
          <w:p>
            <w:pPr>
              <w:jc w:val="right"/>
              <w:spacing w:after="0" w:line="190" w:lineRule="exact"/>
              <w:rPr>
                <w:sz w:val="20"/>
                <w:szCs w:val="20"/>
                <w:color w:val="auto"/>
              </w:rPr>
            </w:pPr>
            <w:r>
              <w:rPr>
                <w:rFonts w:ascii="Arial" w:cs="Arial" w:eastAsia="Arial" w:hAnsi="Arial"/>
                <w:sz w:val="18"/>
                <w:szCs w:val="18"/>
                <w:color w:val="0000E1"/>
                <w:w w:val="79"/>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2.06</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Termination or Reduction of Commitments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2.07</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Repayment of Loans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2.08</w:t>
            </w:r>
          </w:p>
        </w:tc>
        <w:tc>
          <w:tcPr>
            <w:tcW w:w="9480" w:type="dxa"/>
            <w:vAlign w:val="bottom"/>
          </w:tcPr>
          <w:p>
            <w:pPr>
              <w:ind w:left="60"/>
              <w:spacing w:after="0"/>
              <w:rPr>
                <w:sz w:val="20"/>
                <w:szCs w:val="20"/>
                <w:color w:val="auto"/>
              </w:rPr>
            </w:pPr>
            <w:r>
              <w:rPr>
                <w:rFonts w:ascii="Arial" w:cs="Arial" w:eastAsia="Arial" w:hAnsi="Arial"/>
                <w:sz w:val="18"/>
                <w:szCs w:val="18"/>
                <w:color w:val="auto"/>
              </w:rPr>
              <w:t>Interest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0"/>
        </w:trPr>
        <w:tc>
          <w:tcPr>
            <w:tcW w:w="10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2.09</w:t>
            </w:r>
          </w:p>
        </w:tc>
        <w:tc>
          <w:tcPr>
            <w:tcW w:w="9480" w:type="dxa"/>
            <w:vAlign w:val="bottom"/>
          </w:tcPr>
          <w:p>
            <w:pPr>
              <w:ind w:left="60"/>
              <w:spacing w:after="0" w:line="190" w:lineRule="exact"/>
              <w:rPr>
                <w:sz w:val="20"/>
                <w:szCs w:val="20"/>
                <w:color w:val="auto"/>
              </w:rPr>
            </w:pPr>
            <w:r>
              <w:rPr>
                <w:rFonts w:ascii="Arial" w:cs="Arial" w:eastAsia="Arial" w:hAnsi="Arial"/>
                <w:sz w:val="18"/>
                <w:szCs w:val="18"/>
                <w:color w:val="auto"/>
              </w:rPr>
              <w:t>Fees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E1"/>
            </w:tcBorders>
          </w:tcPr>
          <w:p>
            <w:pPr>
              <w:jc w:val="right"/>
              <w:spacing w:after="0" w:line="190" w:lineRule="exact"/>
              <w:rPr>
                <w:sz w:val="20"/>
                <w:szCs w:val="20"/>
                <w:color w:val="auto"/>
              </w:rPr>
            </w:pPr>
            <w:r>
              <w:rPr>
                <w:rFonts w:ascii="Arial" w:cs="Arial" w:eastAsia="Arial" w:hAnsi="Arial"/>
                <w:sz w:val="18"/>
                <w:szCs w:val="18"/>
                <w:color w:val="0000E1"/>
                <w:w w:val="79"/>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9480" w:type="dxa"/>
            <w:vAlign w:val="bottom"/>
          </w:tcPr>
          <w:p>
            <w:pPr>
              <w:ind w:left="60"/>
              <w:spacing w:after="0"/>
              <w:rPr>
                <w:sz w:val="20"/>
                <w:szCs w:val="20"/>
                <w:color w:val="auto"/>
              </w:rPr>
            </w:pPr>
            <w:r>
              <w:rPr>
                <w:rFonts w:ascii="Arial" w:cs="Arial" w:eastAsia="Arial" w:hAnsi="Arial"/>
                <w:sz w:val="18"/>
                <w:szCs w:val="18"/>
                <w:color w:val="auto"/>
              </w:rPr>
              <w:t>Computation of Interest and Fees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0"/>
        </w:trPr>
        <w:tc>
          <w:tcPr>
            <w:tcW w:w="106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2.11</w:t>
            </w:r>
          </w:p>
        </w:tc>
        <w:tc>
          <w:tcPr>
            <w:tcW w:w="9480" w:type="dxa"/>
            <w:vAlign w:val="bottom"/>
          </w:tcPr>
          <w:p>
            <w:pPr>
              <w:ind w:left="60"/>
              <w:spacing w:after="0" w:line="190" w:lineRule="exact"/>
              <w:rPr>
                <w:sz w:val="20"/>
                <w:szCs w:val="20"/>
                <w:color w:val="auto"/>
              </w:rPr>
            </w:pPr>
            <w:r>
              <w:rPr>
                <w:rFonts w:ascii="Arial" w:cs="Arial" w:eastAsia="Arial" w:hAnsi="Arial"/>
                <w:sz w:val="18"/>
                <w:szCs w:val="18"/>
                <w:color w:val="auto"/>
              </w:rPr>
              <w:t>Evidence of Debt</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E1"/>
            </w:tcBorders>
          </w:tcPr>
          <w:p>
            <w:pPr>
              <w:jc w:val="right"/>
              <w:spacing w:after="0" w:line="190" w:lineRule="exact"/>
              <w:rPr>
                <w:sz w:val="20"/>
                <w:szCs w:val="20"/>
                <w:color w:val="auto"/>
              </w:rPr>
            </w:pPr>
            <w:r>
              <w:rPr>
                <w:rFonts w:ascii="Arial" w:cs="Arial" w:eastAsia="Arial" w:hAnsi="Arial"/>
                <w:sz w:val="18"/>
                <w:szCs w:val="18"/>
                <w:color w:val="0000E1"/>
                <w:w w:val="79"/>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2.12</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Payments Generally; Administrative Agent’s Clawback</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2.13</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Sharing of Payments by Lenders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2.14</w:t>
            </w:r>
          </w:p>
        </w:tc>
        <w:tc>
          <w:tcPr>
            <w:tcW w:w="9480" w:type="dxa"/>
            <w:vAlign w:val="bottom"/>
          </w:tcPr>
          <w:p>
            <w:pPr>
              <w:ind w:left="60"/>
              <w:spacing w:after="0"/>
              <w:rPr>
                <w:sz w:val="20"/>
                <w:szCs w:val="20"/>
                <w:color w:val="auto"/>
              </w:rPr>
            </w:pPr>
            <w:r>
              <w:rPr>
                <w:rFonts w:ascii="Arial" w:cs="Arial" w:eastAsia="Arial" w:hAnsi="Arial"/>
                <w:sz w:val="18"/>
                <w:szCs w:val="18"/>
                <w:color w:val="auto"/>
              </w:rPr>
              <w:t>Increase in Commitments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0"/>
        </w:trPr>
        <w:tc>
          <w:tcPr>
            <w:tcW w:w="10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2.15</w:t>
            </w:r>
          </w:p>
        </w:tc>
        <w:tc>
          <w:tcPr>
            <w:tcW w:w="9480" w:type="dxa"/>
            <w:vAlign w:val="bottom"/>
          </w:tcPr>
          <w:p>
            <w:pPr>
              <w:ind w:left="60"/>
              <w:spacing w:after="0" w:line="190" w:lineRule="exact"/>
              <w:rPr>
                <w:sz w:val="20"/>
                <w:szCs w:val="20"/>
                <w:color w:val="auto"/>
              </w:rPr>
            </w:pPr>
            <w:r>
              <w:rPr>
                <w:rFonts w:ascii="Arial" w:cs="Arial" w:eastAsia="Arial" w:hAnsi="Arial"/>
                <w:sz w:val="18"/>
                <w:szCs w:val="18"/>
                <w:color w:val="auto"/>
              </w:rPr>
              <w:t>Cash Collateral</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E1"/>
            </w:tcBorders>
          </w:tcPr>
          <w:p>
            <w:pPr>
              <w:jc w:val="right"/>
              <w:spacing w:after="0" w:line="190" w:lineRule="exact"/>
              <w:rPr>
                <w:sz w:val="20"/>
                <w:szCs w:val="20"/>
                <w:color w:val="auto"/>
              </w:rPr>
            </w:pPr>
            <w:r>
              <w:rPr>
                <w:rFonts w:ascii="Arial" w:cs="Arial" w:eastAsia="Arial" w:hAnsi="Arial"/>
                <w:sz w:val="18"/>
                <w:szCs w:val="18"/>
                <w:color w:val="0000E1"/>
                <w:w w:val="79"/>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2.16</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Defaulting Lenders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45</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2.17</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Extension of Maturity Date</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9480" w:type="dxa"/>
            <w:vAlign w:val="bottom"/>
          </w:tcPr>
          <w:p>
            <w:pPr>
              <w:ind w:left="420"/>
              <w:spacing w:after="0"/>
              <w:rPr>
                <w:sz w:val="20"/>
                <w:szCs w:val="20"/>
                <w:color w:val="auto"/>
              </w:rPr>
            </w:pPr>
            <w:r>
              <w:rPr>
                <w:rFonts w:ascii="Arial" w:cs="Arial" w:eastAsia="Arial" w:hAnsi="Arial"/>
                <w:sz w:val="18"/>
                <w:szCs w:val="18"/>
                <w:color w:val="auto"/>
              </w:rPr>
              <w:t>TAXES, YIELD PROTECTION AND ILLEGALITY</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3.01</w:t>
            </w:r>
          </w:p>
        </w:tc>
        <w:tc>
          <w:tcPr>
            <w:tcW w:w="9480" w:type="dxa"/>
            <w:vAlign w:val="bottom"/>
          </w:tcPr>
          <w:p>
            <w:pPr>
              <w:ind w:left="60"/>
              <w:spacing w:after="0"/>
              <w:rPr>
                <w:sz w:val="20"/>
                <w:szCs w:val="20"/>
                <w:color w:val="auto"/>
              </w:rPr>
            </w:pPr>
            <w:r>
              <w:rPr>
                <w:rFonts w:ascii="Arial" w:cs="Arial" w:eastAsia="Arial" w:hAnsi="Arial"/>
                <w:sz w:val="18"/>
                <w:szCs w:val="18"/>
                <w:color w:val="auto"/>
              </w:rPr>
              <w:t>Taxes</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3.02</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Illegality</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3.03</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Inability to Determine Rates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948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3.05</w:t>
            </w:r>
          </w:p>
        </w:tc>
        <w:tc>
          <w:tcPr>
            <w:tcW w:w="9480" w:type="dxa"/>
            <w:vAlign w:val="bottom"/>
          </w:tcPr>
          <w:p>
            <w:pPr>
              <w:ind w:left="60"/>
              <w:spacing w:after="0"/>
              <w:rPr>
                <w:sz w:val="20"/>
                <w:szCs w:val="20"/>
                <w:color w:val="auto"/>
              </w:rPr>
            </w:pPr>
            <w:r>
              <w:rPr>
                <w:rFonts w:ascii="Arial" w:cs="Arial" w:eastAsia="Arial" w:hAnsi="Arial"/>
                <w:sz w:val="18"/>
                <w:szCs w:val="18"/>
                <w:color w:val="auto"/>
              </w:rPr>
              <w:t>Compensation for Losses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0"/>
        </w:trPr>
        <w:tc>
          <w:tcPr>
            <w:tcW w:w="106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3.06</w:t>
            </w:r>
          </w:p>
        </w:tc>
        <w:tc>
          <w:tcPr>
            <w:tcW w:w="9480" w:type="dxa"/>
            <w:vAlign w:val="bottom"/>
          </w:tcPr>
          <w:p>
            <w:pPr>
              <w:ind w:left="60"/>
              <w:spacing w:after="0" w:line="190" w:lineRule="exact"/>
              <w:rPr>
                <w:sz w:val="20"/>
                <w:szCs w:val="20"/>
                <w:color w:val="auto"/>
              </w:rPr>
            </w:pPr>
            <w:r>
              <w:rPr>
                <w:rFonts w:ascii="Arial" w:cs="Arial" w:eastAsia="Arial" w:hAnsi="Arial"/>
                <w:sz w:val="18"/>
                <w:szCs w:val="18"/>
                <w:color w:val="auto"/>
              </w:rPr>
              <w:t>Mitigation Obligations; Replacement of Lenders</w:t>
            </w:r>
          </w:p>
        </w:tc>
        <w:tc>
          <w:tcPr>
            <w:tcW w:w="240" w:type="dxa"/>
            <w:vAlign w:val="bottom"/>
          </w:tcPr>
          <w:p>
            <w:pPr>
              <w:ind w:left="60"/>
              <w:spacing w:after="0" w:line="190" w:lineRule="exact"/>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E1"/>
            </w:tcBorders>
          </w:tcPr>
          <w:p>
            <w:pPr>
              <w:jc w:val="right"/>
              <w:spacing w:after="0" w:line="190" w:lineRule="exact"/>
              <w:rPr>
                <w:sz w:val="20"/>
                <w:szCs w:val="20"/>
                <w:color w:val="auto"/>
              </w:rPr>
            </w:pPr>
            <w:r>
              <w:rPr>
                <w:rFonts w:ascii="Arial" w:cs="Arial" w:eastAsia="Arial" w:hAnsi="Arial"/>
                <w:sz w:val="18"/>
                <w:szCs w:val="18"/>
                <w:color w:val="0000E1"/>
                <w:w w:val="79"/>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3.07</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Survival</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Arial" w:cs="Arial" w:eastAsia="Arial" w:hAnsi="Arial"/>
                <w:sz w:val="18"/>
                <w:szCs w:val="18"/>
                <w:color w:val="auto"/>
              </w:rPr>
              <w:t>ARTICLE IV.</w:t>
            </w:r>
          </w:p>
        </w:tc>
        <w:tc>
          <w:tcPr>
            <w:tcW w:w="9480" w:type="dxa"/>
            <w:vAlign w:val="bottom"/>
          </w:tcPr>
          <w:p>
            <w:pPr>
              <w:ind w:left="420"/>
              <w:spacing w:after="0"/>
              <w:rPr>
                <w:sz w:val="20"/>
                <w:szCs w:val="20"/>
                <w:color w:val="auto"/>
              </w:rPr>
            </w:pPr>
            <w:r>
              <w:rPr>
                <w:rFonts w:ascii="Arial" w:cs="Arial" w:eastAsia="Arial" w:hAnsi="Arial"/>
                <w:sz w:val="18"/>
                <w:szCs w:val="18"/>
                <w:color w:val="auto"/>
              </w:rPr>
              <w:t>CONDITIONS PRECEDENT TO CREDIT EXTENSIONS</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4.01</w:t>
            </w:r>
          </w:p>
        </w:tc>
        <w:tc>
          <w:tcPr>
            <w:tcW w:w="9480" w:type="dxa"/>
            <w:vAlign w:val="bottom"/>
          </w:tcPr>
          <w:p>
            <w:pPr>
              <w:ind w:left="60"/>
              <w:spacing w:after="0"/>
              <w:rPr>
                <w:sz w:val="20"/>
                <w:szCs w:val="20"/>
                <w:color w:val="auto"/>
              </w:rPr>
            </w:pPr>
            <w:r>
              <w:rPr>
                <w:rFonts w:ascii="Arial" w:cs="Arial" w:eastAsia="Arial" w:hAnsi="Arial"/>
                <w:sz w:val="18"/>
                <w:szCs w:val="18"/>
                <w:color w:val="auto"/>
              </w:rPr>
              <w:t>Conditions of Initial Credit Extension</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4.02</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Conditions to all Credit Extensions</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58</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Arial" w:cs="Arial" w:eastAsia="Arial" w:hAnsi="Arial"/>
                <w:sz w:val="18"/>
                <w:szCs w:val="18"/>
                <w:color w:val="auto"/>
              </w:rPr>
              <w:t>ARTICLE V.</w:t>
            </w:r>
          </w:p>
        </w:tc>
        <w:tc>
          <w:tcPr>
            <w:tcW w:w="9480" w:type="dxa"/>
            <w:vAlign w:val="bottom"/>
          </w:tcPr>
          <w:p>
            <w:pPr>
              <w:ind w:left="420"/>
              <w:spacing w:after="0"/>
              <w:rPr>
                <w:sz w:val="20"/>
                <w:szCs w:val="20"/>
                <w:color w:val="auto"/>
              </w:rPr>
            </w:pPr>
            <w:r>
              <w:rPr>
                <w:rFonts w:ascii="Arial" w:cs="Arial" w:eastAsia="Arial" w:hAnsi="Arial"/>
                <w:sz w:val="18"/>
                <w:szCs w:val="18"/>
                <w:color w:val="auto"/>
              </w:rPr>
              <w:t>REPRESENTATIONS AND WARRANTIES</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5.01</w:t>
            </w:r>
          </w:p>
        </w:tc>
        <w:tc>
          <w:tcPr>
            <w:tcW w:w="9480" w:type="dxa"/>
            <w:vAlign w:val="bottom"/>
          </w:tcPr>
          <w:p>
            <w:pPr>
              <w:ind w:left="60"/>
              <w:spacing w:after="0"/>
              <w:rPr>
                <w:sz w:val="20"/>
                <w:szCs w:val="20"/>
                <w:color w:val="auto"/>
              </w:rPr>
            </w:pPr>
            <w:r>
              <w:rPr>
                <w:rFonts w:ascii="Arial" w:cs="Arial" w:eastAsia="Arial" w:hAnsi="Arial"/>
                <w:sz w:val="18"/>
                <w:szCs w:val="18"/>
                <w:color w:val="auto"/>
              </w:rPr>
              <w:t>Corporate Existence and Power</w:t>
            </w:r>
          </w:p>
        </w:tc>
        <w:tc>
          <w:tcPr>
            <w:tcW w:w="240" w:type="dxa"/>
            <w:vAlign w:val="bottom"/>
          </w:tcPr>
          <w:p>
            <w:pPr>
              <w:ind w:left="60"/>
              <w:spacing w:after="0"/>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5.02</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Corporate Authorization; No Contravention</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5.03</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Governmental Authorization</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5.04</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Binding Effect</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5.05</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Litigation</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5.06</w:t>
            </w:r>
          </w:p>
        </w:tc>
        <w:tc>
          <w:tcPr>
            <w:tcW w:w="9480" w:type="dxa"/>
            <w:vAlign w:val="bottom"/>
          </w:tcPr>
          <w:p>
            <w:pPr>
              <w:ind w:left="60"/>
              <w:spacing w:after="0" w:line="196" w:lineRule="exact"/>
              <w:rPr>
                <w:sz w:val="20"/>
                <w:szCs w:val="20"/>
                <w:color w:val="auto"/>
              </w:rPr>
            </w:pPr>
            <w:r>
              <w:rPr>
                <w:rFonts w:ascii="Arial" w:cs="Arial" w:eastAsia="Arial" w:hAnsi="Arial"/>
                <w:sz w:val="18"/>
                <w:szCs w:val="18"/>
                <w:color w:val="auto"/>
              </w:rPr>
              <w:t>No Default</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E1"/>
            </w:tcBorders>
          </w:tcPr>
          <w:p>
            <w:pPr>
              <w:jc w:val="right"/>
              <w:spacing w:after="0" w:line="196" w:lineRule="exact"/>
              <w:rPr>
                <w:sz w:val="20"/>
                <w:szCs w:val="20"/>
                <w:color w:val="auto"/>
              </w:rPr>
            </w:pPr>
            <w:r>
              <w:rPr>
                <w:rFonts w:ascii="Arial" w:cs="Arial" w:eastAsia="Arial" w:hAnsi="Arial"/>
                <w:sz w:val="18"/>
                <w:szCs w:val="18"/>
                <w:color w:val="0000E1"/>
                <w:w w:val="79"/>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ectPr>
          <w:pgSz w:w="11900" w:h="16838" w:orient="portrait"/>
          <w:cols w:equalWidth="0" w:num="1">
            <w:col w:w="10960"/>
          </w:cols>
          <w:pgMar w:left="440" w:top="270" w:right="4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5.07</w:t>
            </w:r>
          </w:p>
        </w:tc>
        <w:tc>
          <w:tcPr>
            <w:tcW w:w="9460" w:type="dxa"/>
            <w:vAlign w:val="bottom"/>
          </w:tcPr>
          <w:p>
            <w:pPr>
              <w:ind w:left="40"/>
              <w:spacing w:after="0"/>
              <w:rPr>
                <w:sz w:val="20"/>
                <w:szCs w:val="20"/>
                <w:color w:val="auto"/>
              </w:rPr>
            </w:pPr>
            <w:r>
              <w:rPr>
                <w:rFonts w:ascii="Arial" w:cs="Arial" w:eastAsia="Arial" w:hAnsi="Arial"/>
                <w:sz w:val="18"/>
                <w:szCs w:val="18"/>
                <w:color w:val="auto"/>
              </w:rPr>
              <w:t>ERISA Compliance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61</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5.08</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Use of Proceeds; Margin Regulations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61</w:t>
            </w:r>
          </w:p>
        </w:tc>
        <w:tc>
          <w:tcPr>
            <w:tcW w:w="20" w:type="dxa"/>
            <w:vAlign w:val="bottom"/>
            <w:tcBorders>
              <w:top w:val="single" w:sz="8" w:color="0000E1"/>
              <w:bottom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5.09</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Title to Properties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61</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5.10</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Taxes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61</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30"/>
              <w:spacing w:after="0"/>
              <w:rPr>
                <w:sz w:val="20"/>
                <w:szCs w:val="20"/>
                <w:color w:val="auto"/>
              </w:rPr>
            </w:pPr>
            <w:r>
              <w:rPr>
                <w:rFonts w:ascii="Arial" w:cs="Arial" w:eastAsia="Arial" w:hAnsi="Arial"/>
                <w:sz w:val="18"/>
                <w:szCs w:val="18"/>
                <w:color w:val="auto"/>
                <w:w w:val="85"/>
              </w:rPr>
              <w:t>5.11</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Financial Condition</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5.12</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Environmental Matters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62</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63</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5.13</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Regulated Entities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62</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5.14</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No Burdensome Restrictions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62</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5.15</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Copyrights, Patents, Trademarks and Licenses, Etc</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62</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5.16</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Subsidiaries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62</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5.17</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Insurance</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62</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5.18</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Solvency</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5.19</w:t>
            </w:r>
          </w:p>
        </w:tc>
        <w:tc>
          <w:tcPr>
            <w:tcW w:w="9460" w:type="dxa"/>
            <w:vAlign w:val="bottom"/>
          </w:tcPr>
          <w:p>
            <w:pPr>
              <w:ind w:left="40"/>
              <w:spacing w:after="0"/>
              <w:rPr>
                <w:sz w:val="20"/>
                <w:szCs w:val="20"/>
                <w:color w:val="auto"/>
              </w:rPr>
            </w:pPr>
            <w:r>
              <w:rPr>
                <w:rFonts w:ascii="Arial" w:cs="Arial" w:eastAsia="Arial" w:hAnsi="Arial"/>
                <w:sz w:val="18"/>
                <w:szCs w:val="18"/>
                <w:color w:val="auto"/>
              </w:rPr>
              <w:t>Full Disclosure</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5.20</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OFAC</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63</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64</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5.21</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Anti-Corruption Laws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63</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5.22</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EEA Financial Institutions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63</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jc w:val="center"/>
              <w:ind w:right="30"/>
              <w:spacing w:after="0"/>
              <w:rPr>
                <w:sz w:val="20"/>
                <w:szCs w:val="20"/>
                <w:color w:val="auto"/>
              </w:rPr>
            </w:pPr>
            <w:r>
              <w:rPr>
                <w:rFonts w:ascii="Arial" w:cs="Arial" w:eastAsia="Arial" w:hAnsi="Arial"/>
                <w:sz w:val="18"/>
                <w:szCs w:val="18"/>
                <w:color w:val="auto"/>
                <w:w w:val="98"/>
              </w:rPr>
              <w:t>ARTICLE VI.</w:t>
            </w:r>
          </w:p>
        </w:tc>
        <w:tc>
          <w:tcPr>
            <w:tcW w:w="9460" w:type="dxa"/>
            <w:vAlign w:val="bottom"/>
          </w:tcPr>
          <w:p>
            <w:pPr>
              <w:ind w:left="400"/>
              <w:spacing w:after="0"/>
              <w:rPr>
                <w:sz w:val="20"/>
                <w:szCs w:val="20"/>
                <w:color w:val="auto"/>
              </w:rPr>
            </w:pPr>
            <w:r>
              <w:rPr>
                <w:rFonts w:ascii="Arial" w:cs="Arial" w:eastAsia="Arial" w:hAnsi="Arial"/>
                <w:sz w:val="18"/>
                <w:szCs w:val="18"/>
                <w:color w:val="auto"/>
              </w:rPr>
              <w:t>AFFIRMATIVE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64</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6.01</w:t>
            </w:r>
          </w:p>
        </w:tc>
        <w:tc>
          <w:tcPr>
            <w:tcW w:w="946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64</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6.02</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Certificates; Other Information</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64</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6.03</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Notices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65</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6.04</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Preservation of Corporate Existence, Etc</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66</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6.05</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Maintenance of Property</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66</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6.06</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Insurance</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6.07</w:t>
            </w:r>
          </w:p>
        </w:tc>
        <w:tc>
          <w:tcPr>
            <w:tcW w:w="9460" w:type="dxa"/>
            <w:vAlign w:val="bottom"/>
          </w:tcPr>
          <w:p>
            <w:pPr>
              <w:ind w:left="40"/>
              <w:spacing w:after="0"/>
              <w:rPr>
                <w:sz w:val="20"/>
                <w:szCs w:val="20"/>
                <w:color w:val="auto"/>
              </w:rPr>
            </w:pPr>
            <w:r>
              <w:rPr>
                <w:rFonts w:ascii="Arial" w:cs="Arial" w:eastAsia="Arial" w:hAnsi="Arial"/>
                <w:sz w:val="18"/>
                <w:szCs w:val="18"/>
                <w:color w:val="auto"/>
              </w:rPr>
              <w:t>Tax Obligations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6.08</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Compliance with Laws; Contractual Obligations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67</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68</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6.09</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Compliance with ERISA</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67</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6.10</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Inspection of Property and Books and Records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67</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30"/>
              <w:spacing w:after="0"/>
              <w:rPr>
                <w:sz w:val="20"/>
                <w:szCs w:val="20"/>
                <w:color w:val="auto"/>
              </w:rPr>
            </w:pPr>
            <w:r>
              <w:rPr>
                <w:rFonts w:ascii="Arial" w:cs="Arial" w:eastAsia="Arial" w:hAnsi="Arial"/>
                <w:sz w:val="18"/>
                <w:szCs w:val="18"/>
                <w:color w:val="auto"/>
                <w:w w:val="85"/>
              </w:rPr>
              <w:t>6.11</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Environmental Laws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6.12</w:t>
            </w:r>
          </w:p>
        </w:tc>
        <w:tc>
          <w:tcPr>
            <w:tcW w:w="946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6.13</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Anti-Corruption Laws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68</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69</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9460" w:type="dxa"/>
            <w:vAlign w:val="bottom"/>
          </w:tcPr>
          <w:p>
            <w:pPr>
              <w:ind w:left="400"/>
              <w:spacing w:after="0"/>
              <w:rPr>
                <w:sz w:val="20"/>
                <w:szCs w:val="20"/>
                <w:color w:val="auto"/>
              </w:rPr>
            </w:pPr>
            <w:r>
              <w:rPr>
                <w:rFonts w:ascii="Arial" w:cs="Arial" w:eastAsia="Arial" w:hAnsi="Arial"/>
                <w:sz w:val="18"/>
                <w:szCs w:val="18"/>
                <w:color w:val="auto"/>
              </w:rPr>
              <w:t>NEGATIVE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69</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7.01</w:t>
            </w:r>
          </w:p>
        </w:tc>
        <w:tc>
          <w:tcPr>
            <w:tcW w:w="9460" w:type="dxa"/>
            <w:vAlign w:val="bottom"/>
          </w:tcPr>
          <w:p>
            <w:pPr>
              <w:ind w:left="40"/>
              <w:spacing w:after="0"/>
              <w:rPr>
                <w:sz w:val="20"/>
                <w:szCs w:val="20"/>
                <w:color w:val="auto"/>
              </w:rPr>
            </w:pPr>
            <w:r>
              <w:rPr>
                <w:rFonts w:ascii="Arial" w:cs="Arial" w:eastAsia="Arial" w:hAnsi="Arial"/>
                <w:sz w:val="18"/>
                <w:szCs w:val="18"/>
                <w:color w:val="auto"/>
              </w:rPr>
              <w:t>Financial Condition Covenants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69</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7.02</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Limitation on Liens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68</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7.03</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Disposition of Assets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7.04</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Consolidations and Mergers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70</w:t>
            </w:r>
          </w:p>
        </w:tc>
        <w:tc>
          <w:tcPr>
            <w:tcW w:w="180" w:type="dxa"/>
            <w:vAlign w:val="bottom"/>
            <w:tcBorders>
              <w:bottom w:val="single" w:sz="8" w:color="0000E1"/>
            </w:tcBorders>
            <w:gridSpan w:val="2"/>
          </w:tcPr>
          <w:p>
            <w:pPr>
              <w:jc w:val="right"/>
              <w:spacing w:after="0" w:line="190" w:lineRule="exact"/>
              <w:rPr>
                <w:sz w:val="20"/>
                <w:szCs w:val="20"/>
                <w:color w:val="auto"/>
              </w:rPr>
            </w:pPr>
            <w:r>
              <w:rPr>
                <w:rFonts w:ascii="Arial" w:cs="Arial" w:eastAsia="Arial" w:hAnsi="Arial"/>
                <w:sz w:val="18"/>
                <w:szCs w:val="18"/>
                <w:color w:val="0000E1"/>
                <w:w w:val="79"/>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7.05</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Loans and Investments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7.06</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Limitation on Subsidiary Indebtedness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E1"/>
            </w:tcBorders>
            <w:gridSpan w:val="2"/>
          </w:tcPr>
          <w:p>
            <w:pPr>
              <w:jc w:val="right"/>
              <w:spacing w:after="0" w:line="190" w:lineRule="exact"/>
              <w:rPr>
                <w:sz w:val="20"/>
                <w:szCs w:val="20"/>
                <w:color w:val="auto"/>
              </w:rPr>
            </w:pPr>
            <w:r>
              <w:rPr>
                <w:rFonts w:ascii="Arial" w:cs="Arial" w:eastAsia="Arial" w:hAnsi="Arial"/>
                <w:sz w:val="18"/>
                <w:szCs w:val="18"/>
                <w:color w:val="0000E1"/>
                <w:w w:val="79"/>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7.07</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Transactions with Affiliates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7.08</w:t>
            </w:r>
          </w:p>
        </w:tc>
        <w:tc>
          <w:tcPr>
            <w:tcW w:w="946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7.09</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Restricted Payments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72</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73</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7.10</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ERISA</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72</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30"/>
              <w:spacing w:after="0" w:line="196" w:lineRule="exact"/>
              <w:rPr>
                <w:sz w:val="20"/>
                <w:szCs w:val="20"/>
                <w:color w:val="auto"/>
              </w:rPr>
            </w:pPr>
            <w:r>
              <w:rPr>
                <w:rFonts w:ascii="Arial" w:cs="Arial" w:eastAsia="Arial" w:hAnsi="Arial"/>
                <w:sz w:val="18"/>
                <w:szCs w:val="18"/>
                <w:color w:val="auto"/>
                <w:w w:val="85"/>
              </w:rPr>
              <w:t>7.11</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Change in Business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72</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7.12</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Burdensome Agreements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94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7.13</w:t>
            </w:r>
          </w:p>
        </w:tc>
        <w:tc>
          <w:tcPr>
            <w:tcW w:w="9460" w:type="dxa"/>
            <w:vAlign w:val="bottom"/>
          </w:tcPr>
          <w:p>
            <w:pPr>
              <w:ind w:left="40"/>
              <w:spacing w:after="0" w:line="190" w:lineRule="exact"/>
              <w:rPr>
                <w:sz w:val="20"/>
                <w:szCs w:val="20"/>
                <w:color w:val="auto"/>
              </w:rPr>
            </w:pPr>
            <w:r>
              <w:rPr>
                <w:rFonts w:ascii="Arial" w:cs="Arial" w:eastAsia="Arial" w:hAnsi="Arial"/>
                <w:sz w:val="18"/>
                <w:szCs w:val="18"/>
                <w:color w:val="auto"/>
              </w:rPr>
              <w:t>Sanctions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73</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74</w:t>
            </w:r>
          </w:p>
        </w:tc>
        <w:tc>
          <w:tcPr>
            <w:tcW w:w="0" w:type="dxa"/>
            <w:vAlign w:val="bottom"/>
          </w:tcPr>
          <w:p>
            <w:pPr>
              <w:spacing w:after="0"/>
              <w:rPr>
                <w:sz w:val="1"/>
                <w:szCs w:val="1"/>
                <w:color w:val="auto"/>
              </w:rPr>
            </w:pPr>
          </w:p>
        </w:tc>
      </w:tr>
      <w:tr>
        <w:trPr>
          <w:trHeight w:val="34"/>
        </w:trPr>
        <w:tc>
          <w:tcPr>
            <w:tcW w:w="1140" w:type="dxa"/>
            <w:vAlign w:val="bottom"/>
            <w:vMerge w:val="restart"/>
          </w:tcPr>
          <w:p>
            <w:pPr>
              <w:jc w:val="center"/>
              <w:ind w:right="10"/>
              <w:spacing w:after="0" w:line="196" w:lineRule="exact"/>
              <w:rPr>
                <w:sz w:val="20"/>
                <w:szCs w:val="20"/>
                <w:color w:val="auto"/>
              </w:rPr>
            </w:pPr>
            <w:r>
              <w:rPr>
                <w:rFonts w:ascii="Arial" w:cs="Arial" w:eastAsia="Arial" w:hAnsi="Arial"/>
                <w:sz w:val="18"/>
                <w:szCs w:val="18"/>
                <w:color w:val="auto"/>
                <w:w w:val="91"/>
              </w:rPr>
              <w:t>7.14</w:t>
            </w:r>
          </w:p>
        </w:tc>
        <w:tc>
          <w:tcPr>
            <w:tcW w:w="946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Anti-Corruption Laws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73</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ectPr>
          <w:pgSz w:w="11900" w:h="16838" w:orient="portrait"/>
          <w:cols w:equalWidth="0" w:num="1">
            <w:col w:w="10960"/>
          </w:cols>
          <w:pgMar w:left="440" w:top="257"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ARTICLE VIII.</w:t>
            </w:r>
          </w:p>
        </w:tc>
        <w:tc>
          <w:tcPr>
            <w:tcW w:w="7540" w:type="dxa"/>
            <w:vAlign w:val="bottom"/>
            <w:gridSpan w:val="13"/>
          </w:tcPr>
          <w:p>
            <w:pPr>
              <w:ind w:left="360"/>
              <w:spacing w:after="0"/>
              <w:rPr>
                <w:sz w:val="20"/>
                <w:szCs w:val="20"/>
                <w:color w:val="auto"/>
              </w:rPr>
            </w:pPr>
            <w:r>
              <w:rPr>
                <w:rFonts w:ascii="Arial" w:cs="Arial" w:eastAsia="Arial" w:hAnsi="Arial"/>
                <w:sz w:val="18"/>
                <w:szCs w:val="18"/>
                <w:color w:val="auto"/>
              </w:rPr>
              <w:t>EVENTS OF DEFAULT AND REMEDIES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FF0000"/>
                <w:strike w:val="1"/>
              </w:rPr>
              <w:t>73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74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ind w:left="360"/>
              <w:spacing w:after="0"/>
              <w:rPr>
                <w:sz w:val="20"/>
                <w:szCs w:val="20"/>
                <w:color w:val="auto"/>
              </w:rPr>
            </w:pPr>
            <w:r>
              <w:rPr>
                <w:rFonts w:ascii="Arial" w:cs="Arial" w:eastAsia="Arial" w:hAnsi="Arial"/>
                <w:sz w:val="18"/>
                <w:szCs w:val="18"/>
                <w:color w:val="auto"/>
              </w:rPr>
              <w:t>8.01</w:t>
            </w:r>
          </w:p>
        </w:tc>
        <w:tc>
          <w:tcPr>
            <w:tcW w:w="480" w:type="dxa"/>
            <w:vAlign w:val="bottom"/>
          </w:tcPr>
          <w:p>
            <w:pPr>
              <w:spacing w:after="0"/>
              <w:rPr>
                <w:sz w:val="21"/>
                <w:szCs w:val="21"/>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Event of Default</w:t>
            </w:r>
          </w:p>
        </w:tc>
        <w:tc>
          <w:tcPr>
            <w:tcW w:w="2000" w:type="dxa"/>
            <w:vAlign w:val="bottom"/>
            <w:gridSpan w:val="2"/>
          </w:tcPr>
          <w:p>
            <w:pPr>
              <w:jc w:val="right"/>
              <w:spacing w:after="0"/>
              <w:rPr>
                <w:sz w:val="20"/>
                <w:szCs w:val="20"/>
                <w:color w:val="auto"/>
              </w:rPr>
            </w:pPr>
            <w:r>
              <w:rPr>
                <w:rFonts w:ascii="Arial" w:cs="Arial" w:eastAsia="Arial" w:hAnsi="Arial"/>
                <w:sz w:val="18"/>
                <w:szCs w:val="18"/>
                <w:color w:val="FF0000"/>
                <w:strike w:val="1"/>
              </w:rPr>
              <w:t>73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74</w:t>
            </w: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8.02</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Remedies</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75</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8.03</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Rights Not Exclusive</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75</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8.04</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Application of Receipts</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75</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40" w:type="dxa"/>
            <w:vAlign w:val="bottom"/>
            <w:gridSpan w:val="3"/>
          </w:tcPr>
          <w:p>
            <w:pPr>
              <w:spacing w:after="0"/>
              <w:rPr>
                <w:sz w:val="20"/>
                <w:szCs w:val="20"/>
                <w:color w:val="auto"/>
              </w:rPr>
            </w:pPr>
            <w:r>
              <w:rPr>
                <w:rFonts w:ascii="Arial" w:cs="Arial" w:eastAsia="Arial" w:hAnsi="Arial"/>
                <w:sz w:val="18"/>
                <w:szCs w:val="18"/>
                <w:color w:val="auto"/>
              </w:rPr>
              <w:t>ARTICLE IX.</w:t>
            </w:r>
          </w:p>
        </w:tc>
        <w:tc>
          <w:tcPr>
            <w:tcW w:w="7540" w:type="dxa"/>
            <w:vAlign w:val="bottom"/>
            <w:gridSpan w:val="13"/>
          </w:tcPr>
          <w:p>
            <w:pPr>
              <w:ind w:left="360"/>
              <w:spacing w:after="0"/>
              <w:rPr>
                <w:sz w:val="20"/>
                <w:szCs w:val="20"/>
                <w:color w:val="auto"/>
              </w:rPr>
            </w:pPr>
            <w:r>
              <w:rPr>
                <w:rFonts w:ascii="Arial" w:cs="Arial" w:eastAsia="Arial" w:hAnsi="Arial"/>
                <w:sz w:val="18"/>
                <w:szCs w:val="18"/>
                <w:color w:val="auto"/>
              </w:rPr>
              <w:t>ADMINISTRATIVE AGENT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FF0000"/>
                <w:strike w:val="1"/>
              </w:rPr>
              <w:t>76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77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ind w:left="360"/>
              <w:spacing w:after="0"/>
              <w:rPr>
                <w:sz w:val="20"/>
                <w:szCs w:val="20"/>
                <w:color w:val="auto"/>
              </w:rPr>
            </w:pPr>
            <w:r>
              <w:rPr>
                <w:rFonts w:ascii="Arial" w:cs="Arial" w:eastAsia="Arial" w:hAnsi="Arial"/>
                <w:sz w:val="18"/>
                <w:szCs w:val="18"/>
                <w:color w:val="auto"/>
              </w:rPr>
              <w:t>9.01</w:t>
            </w:r>
          </w:p>
        </w:tc>
        <w:tc>
          <w:tcPr>
            <w:tcW w:w="480" w:type="dxa"/>
            <w:vAlign w:val="bottom"/>
          </w:tcPr>
          <w:p>
            <w:pPr>
              <w:spacing w:after="0"/>
              <w:rPr>
                <w:sz w:val="21"/>
                <w:szCs w:val="21"/>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Appointment and Authority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FF0000"/>
                <w:strike w:val="1"/>
              </w:rPr>
              <w:t>76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77</w:t>
            </w: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9.02</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Rights as a Lender</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76</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rPr>
                <w:sz w:val="20"/>
                <w:szCs w:val="20"/>
                <w:color w:val="auto"/>
              </w:rPr>
            </w:pPr>
            <w:r>
              <w:rPr>
                <w:rFonts w:ascii="Arial" w:cs="Arial" w:eastAsia="Arial" w:hAnsi="Arial"/>
                <w:sz w:val="18"/>
                <w:szCs w:val="18"/>
                <w:color w:val="auto"/>
              </w:rPr>
              <w:t>9.03</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rPr>
                <w:sz w:val="20"/>
                <w:szCs w:val="20"/>
                <w:color w:val="auto"/>
              </w:rPr>
            </w:pPr>
            <w:r>
              <w:rPr>
                <w:rFonts w:ascii="Arial" w:cs="Arial" w:eastAsia="Arial" w:hAnsi="Arial"/>
                <w:sz w:val="18"/>
                <w:szCs w:val="18"/>
                <w:color w:val="auto"/>
              </w:rPr>
              <w:t>Exculpatory Provisions</w:t>
            </w:r>
          </w:p>
        </w:tc>
        <w:tc>
          <w:tcPr>
            <w:tcW w:w="1900" w:type="dxa"/>
            <w:vAlign w:val="bottom"/>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540" w:type="dxa"/>
            <w:vAlign w:val="bottom"/>
            <w:gridSpan w:val="13"/>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77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rPr>
              <w:t>9.04</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Reliance by Administrative Agent</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0"/>
        </w:trPr>
        <w:tc>
          <w:tcPr>
            <w:tcW w:w="76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9.05</w:t>
            </w:r>
          </w:p>
        </w:tc>
        <w:tc>
          <w:tcPr>
            <w:tcW w:w="480" w:type="dxa"/>
            <w:vAlign w:val="bottom"/>
          </w:tcPr>
          <w:p>
            <w:pPr>
              <w:spacing w:after="0"/>
              <w:rPr>
                <w:sz w:val="16"/>
                <w:szCs w:val="16"/>
                <w:color w:val="auto"/>
              </w:rPr>
            </w:pPr>
          </w:p>
        </w:tc>
        <w:tc>
          <w:tcPr>
            <w:tcW w:w="7540" w:type="dxa"/>
            <w:vAlign w:val="bottom"/>
            <w:gridSpan w:val="13"/>
          </w:tcPr>
          <w:p>
            <w:pPr>
              <w:spacing w:after="0" w:line="190" w:lineRule="exact"/>
              <w:rPr>
                <w:sz w:val="20"/>
                <w:szCs w:val="20"/>
                <w:color w:val="auto"/>
              </w:rPr>
            </w:pPr>
            <w:r>
              <w:rPr>
                <w:rFonts w:ascii="Arial" w:cs="Arial" w:eastAsia="Arial" w:hAnsi="Arial"/>
                <w:sz w:val="18"/>
                <w:szCs w:val="18"/>
                <w:color w:val="auto"/>
              </w:rPr>
              <w:t>Delegation of Duties</w:t>
            </w:r>
          </w:p>
        </w:tc>
        <w:tc>
          <w:tcPr>
            <w:tcW w:w="200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78</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79</w:t>
            </w: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9.06</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Resignation of Administrative Agent</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78</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9.07</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Non-Reliance on Administrative Agent and Other Lenders</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79</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auto"/>
              </w:rPr>
              <w:t>9.08</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line="196" w:lineRule="exact"/>
              <w:rPr>
                <w:sz w:val="20"/>
                <w:szCs w:val="20"/>
                <w:color w:val="auto"/>
              </w:rPr>
            </w:pPr>
            <w:r>
              <w:rPr>
                <w:rFonts w:ascii="Arial" w:cs="Arial" w:eastAsia="Arial" w:hAnsi="Arial"/>
                <w:sz w:val="18"/>
                <w:szCs w:val="18"/>
                <w:color w:val="auto"/>
              </w:rPr>
              <w:t>No Other Duties, Etc</w:t>
            </w:r>
          </w:p>
        </w:tc>
        <w:tc>
          <w:tcPr>
            <w:tcW w:w="20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79</w:t>
            </w:r>
          </w:p>
        </w:tc>
        <w:tc>
          <w:tcPr>
            <w:tcW w:w="20" w:type="dxa"/>
            <w:vAlign w:val="bottom"/>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540" w:type="dxa"/>
            <w:vAlign w:val="bottom"/>
            <w:gridSpan w:val="1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 w:type="dxa"/>
            <w:vAlign w:val="bottom"/>
            <w:tcBorders>
              <w:bottom w:val="single" w:sz="8" w:color="0000E1"/>
            </w:tcBorders>
            <w:vMerge w:val="continue"/>
          </w:tcPr>
          <w:p>
            <w:pPr>
              <w:spacing w:after="0"/>
              <w:rPr>
                <w:sz w:val="12"/>
                <w:szCs w:val="12"/>
                <w:color w:val="auto"/>
              </w:rPr>
            </w:pPr>
          </w:p>
        </w:tc>
        <w:tc>
          <w:tcPr>
            <w:tcW w:w="160" w:type="dxa"/>
            <w:vAlign w:val="bottom"/>
            <w:tcBorders>
              <w:bottom w:val="single" w:sz="8" w:color="0000E1"/>
            </w:tcBorders>
          </w:tcPr>
          <w:p>
            <w:pPr>
              <w:jc w:val="right"/>
              <w:spacing w:after="0" w:line="142" w:lineRule="exact"/>
              <w:rPr>
                <w:sz w:val="20"/>
                <w:szCs w:val="20"/>
                <w:color w:val="auto"/>
              </w:rPr>
            </w:pPr>
            <w:r>
              <w:rPr>
                <w:rFonts w:ascii="Arial" w:cs="Arial" w:eastAsia="Arial" w:hAnsi="Arial"/>
                <w:sz w:val="16"/>
                <w:szCs w:val="16"/>
                <w:color w:val="0000E1"/>
                <w:w w:val="78"/>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rPr>
                <w:sz w:val="20"/>
                <w:szCs w:val="20"/>
                <w:color w:val="auto"/>
              </w:rPr>
            </w:pPr>
            <w:r>
              <w:rPr>
                <w:rFonts w:ascii="Arial" w:cs="Arial" w:eastAsia="Arial" w:hAnsi="Arial"/>
                <w:sz w:val="18"/>
                <w:szCs w:val="18"/>
                <w:color w:val="auto"/>
              </w:rPr>
              <w:t>9.09</w:t>
            </w:r>
          </w:p>
        </w:tc>
        <w:tc>
          <w:tcPr>
            <w:tcW w:w="480" w:type="dxa"/>
            <w:vAlign w:val="bottom"/>
            <w:vMerge w:val="restart"/>
          </w:tcPr>
          <w:p>
            <w:pPr>
              <w:spacing w:after="0"/>
              <w:rPr>
                <w:sz w:val="2"/>
                <w:szCs w:val="2"/>
                <w:color w:val="auto"/>
              </w:rPr>
            </w:pPr>
          </w:p>
        </w:tc>
        <w:tc>
          <w:tcPr>
            <w:tcW w:w="7540" w:type="dxa"/>
            <w:vAlign w:val="bottom"/>
            <w:gridSpan w:val="13"/>
            <w:vMerge w:val="restart"/>
          </w:tcPr>
          <w:p>
            <w:pPr>
              <w:spacing w:after="0"/>
              <w:rPr>
                <w:sz w:val="20"/>
                <w:szCs w:val="20"/>
                <w:color w:val="auto"/>
              </w:rPr>
            </w:pPr>
            <w:r>
              <w:rPr>
                <w:rFonts w:ascii="Arial" w:cs="Arial" w:eastAsia="Arial" w:hAnsi="Arial"/>
                <w:sz w:val="18"/>
                <w:szCs w:val="18"/>
                <w:color w:val="auto"/>
              </w:rPr>
              <w:t>Administrative Agent May File Proofs of Claim</w:t>
            </w:r>
          </w:p>
        </w:tc>
        <w:tc>
          <w:tcPr>
            <w:tcW w:w="1900" w:type="dxa"/>
            <w:vAlign w:val="bottom"/>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540" w:type="dxa"/>
            <w:vAlign w:val="bottom"/>
            <w:gridSpan w:val="13"/>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80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9.10</w:t>
            </w:r>
          </w:p>
        </w:tc>
        <w:tc>
          <w:tcPr>
            <w:tcW w:w="480" w:type="dxa"/>
            <w:vAlign w:val="bottom"/>
          </w:tcPr>
          <w:p>
            <w:pPr>
              <w:spacing w:after="0"/>
              <w:rPr>
                <w:sz w:val="16"/>
                <w:szCs w:val="16"/>
                <w:color w:val="auto"/>
              </w:rPr>
            </w:pPr>
          </w:p>
        </w:tc>
        <w:tc>
          <w:tcPr>
            <w:tcW w:w="500" w:type="dxa"/>
            <w:vAlign w:val="bottom"/>
          </w:tcPr>
          <w:p>
            <w:pPr>
              <w:spacing w:after="0" w:line="190" w:lineRule="exact"/>
              <w:rPr>
                <w:sz w:val="20"/>
                <w:szCs w:val="20"/>
                <w:color w:val="auto"/>
              </w:rPr>
            </w:pPr>
            <w:r>
              <w:rPr>
                <w:rFonts w:ascii="Arial" w:cs="Arial" w:eastAsia="Arial" w:hAnsi="Arial"/>
                <w:sz w:val="18"/>
                <w:szCs w:val="18"/>
                <w:color w:val="FF0000"/>
                <w:strike w:val="1"/>
                <w:w w:val="85"/>
              </w:rPr>
              <w:t>Lender</w:t>
            </w:r>
          </w:p>
        </w:tc>
        <w:tc>
          <w:tcPr>
            <w:tcW w:w="1140" w:type="dxa"/>
            <w:vAlign w:val="bottom"/>
            <w:gridSpan w:val="3"/>
          </w:tcPr>
          <w:p>
            <w:pPr>
              <w:spacing w:after="0" w:line="190" w:lineRule="exact"/>
              <w:rPr>
                <w:sz w:val="20"/>
                <w:szCs w:val="20"/>
                <w:color w:val="auto"/>
              </w:rPr>
            </w:pPr>
            <w:r>
              <w:rPr>
                <w:rFonts w:ascii="Arial" w:cs="Arial" w:eastAsia="Arial" w:hAnsi="Arial"/>
                <w:sz w:val="18"/>
                <w:szCs w:val="18"/>
                <w:color w:val="0000E1"/>
                <w:w w:val="95"/>
              </w:rPr>
              <w:t xml:space="preserve">Certain </w:t>
            </w:r>
            <w:r>
              <w:rPr>
                <w:rFonts w:ascii="Arial" w:cs="Arial" w:eastAsia="Arial" w:hAnsi="Arial"/>
                <w:sz w:val="18"/>
                <w:szCs w:val="18"/>
                <w:color w:val="000000"/>
                <w:w w:val="95"/>
              </w:rPr>
              <w:t>ERISA</w:t>
            </w:r>
          </w:p>
        </w:tc>
        <w:tc>
          <w:tcPr>
            <w:tcW w:w="1080" w:type="dxa"/>
            <w:vAlign w:val="bottom"/>
          </w:tcPr>
          <w:p>
            <w:pPr>
              <w:spacing w:after="0" w:line="190" w:lineRule="exact"/>
              <w:rPr>
                <w:sz w:val="20"/>
                <w:szCs w:val="20"/>
                <w:color w:val="auto"/>
              </w:rPr>
            </w:pPr>
            <w:r>
              <w:rPr>
                <w:rFonts w:ascii="Arial" w:cs="Arial" w:eastAsia="Arial" w:hAnsi="Arial"/>
                <w:sz w:val="18"/>
                <w:szCs w:val="18"/>
                <w:color w:val="FF0000"/>
                <w:strike w:val="1"/>
                <w:w w:val="86"/>
              </w:rPr>
              <w:t>Representation</w:t>
            </w:r>
          </w:p>
        </w:tc>
        <w:tc>
          <w:tcPr>
            <w:tcW w:w="4820" w:type="dxa"/>
            <w:vAlign w:val="bottom"/>
            <w:gridSpan w:val="8"/>
          </w:tcPr>
          <w:p>
            <w:pPr>
              <w:spacing w:after="0" w:line="190" w:lineRule="exact"/>
              <w:rPr>
                <w:sz w:val="20"/>
                <w:szCs w:val="20"/>
                <w:color w:val="auto"/>
              </w:rPr>
            </w:pPr>
            <w:r>
              <w:rPr>
                <w:rFonts w:ascii="Arial" w:cs="Arial" w:eastAsia="Arial" w:hAnsi="Arial"/>
                <w:sz w:val="18"/>
                <w:szCs w:val="18"/>
                <w:color w:val="0000E1"/>
              </w:rPr>
              <w:t>Matters</w:t>
            </w:r>
          </w:p>
        </w:tc>
        <w:tc>
          <w:tcPr>
            <w:tcW w:w="200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80</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E1"/>
                <w:w w:val="79"/>
              </w:rPr>
              <w:t>81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560" w:type="dxa"/>
            <w:vAlign w:val="bottom"/>
            <w:tcBorders>
              <w:top w:val="single" w:sz="8" w:color="0000E1"/>
              <w:bottom w:val="single" w:sz="8" w:color="0000E1"/>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Borders>
              <w:top w:val="single" w:sz="8" w:color="0000E1"/>
              <w:bottom w:val="single" w:sz="8" w:color="0000E1"/>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40" w:type="dxa"/>
            <w:vAlign w:val="bottom"/>
            <w:gridSpan w:val="3"/>
          </w:tcPr>
          <w:p>
            <w:pPr>
              <w:spacing w:after="0"/>
              <w:rPr>
                <w:sz w:val="20"/>
                <w:szCs w:val="20"/>
                <w:color w:val="auto"/>
              </w:rPr>
            </w:pPr>
            <w:r>
              <w:rPr>
                <w:rFonts w:ascii="Arial" w:cs="Arial" w:eastAsia="Arial" w:hAnsi="Arial"/>
                <w:sz w:val="18"/>
                <w:szCs w:val="18"/>
                <w:color w:val="auto"/>
              </w:rPr>
              <w:t>ARTICLE X.</w:t>
            </w:r>
          </w:p>
        </w:tc>
        <w:tc>
          <w:tcPr>
            <w:tcW w:w="7540" w:type="dxa"/>
            <w:vAlign w:val="bottom"/>
            <w:gridSpan w:val="13"/>
          </w:tcPr>
          <w:p>
            <w:pPr>
              <w:ind w:left="360"/>
              <w:spacing w:after="0"/>
              <w:rPr>
                <w:sz w:val="20"/>
                <w:szCs w:val="20"/>
                <w:color w:val="auto"/>
              </w:rPr>
            </w:pPr>
            <w:r>
              <w:rPr>
                <w:rFonts w:ascii="Arial" w:cs="Arial" w:eastAsia="Arial" w:hAnsi="Arial"/>
                <w:sz w:val="18"/>
                <w:szCs w:val="18"/>
                <w:color w:val="auto"/>
              </w:rPr>
              <w:t>MISCELLANEOUS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0"/>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10.01</w:t>
            </w:r>
          </w:p>
        </w:tc>
        <w:tc>
          <w:tcPr>
            <w:tcW w:w="480" w:type="dxa"/>
            <w:vAlign w:val="bottom"/>
          </w:tcPr>
          <w:p>
            <w:pPr>
              <w:spacing w:after="0"/>
              <w:rPr>
                <w:sz w:val="24"/>
                <w:szCs w:val="24"/>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Amendments, Etc</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10.02</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Notices; Effectiveness; Electronic Communication</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10.03</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No Waiver; Cumulative Remedies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10.04</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Expenses; Indemnity; Damage Waiver</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10.05</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Payments Set Aside</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10.06</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Successors and Assigns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10.07</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Treatment of Certain Information; Confidentiality</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10.08</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Right of Setoff</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10.09</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Interest Rate Limitation</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10.10</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Counterparts; Integration; Effectiveness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10.11</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Survival of Representations and Warranties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10.12</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Severability</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10.13</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Replacement of Lenders; Termination of Commitments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10.14</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Governing Law; Jurisdiction; Etc</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10.15</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Waiver of Jury Trial</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10.16</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No Advisory or Fiduciary Responsibility</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10.17</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Electronic Execution of Assignments and Certain Other Documents</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10.18</w:t>
            </w:r>
          </w:p>
        </w:tc>
        <w:tc>
          <w:tcPr>
            <w:tcW w:w="48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USA PATRIOT Act Notice</w:t>
            </w:r>
          </w:p>
        </w:tc>
        <w:tc>
          <w:tcPr>
            <w:tcW w:w="2200" w:type="dxa"/>
            <w:vAlign w:val="bottom"/>
            <w:gridSpan w:val="5"/>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0"/>
        </w:trPr>
        <w:tc>
          <w:tcPr>
            <w:tcW w:w="760" w:type="dxa"/>
            <w:vAlign w:val="bottom"/>
            <w:gridSpan w:val="2"/>
          </w:tcPr>
          <w:p>
            <w:pPr>
              <w:ind w:left="360"/>
              <w:spacing w:after="0" w:line="190" w:lineRule="exact"/>
              <w:rPr>
                <w:sz w:val="20"/>
                <w:szCs w:val="20"/>
                <w:color w:val="auto"/>
              </w:rPr>
            </w:pPr>
            <w:r>
              <w:rPr>
                <w:rFonts w:ascii="Arial" w:cs="Arial" w:eastAsia="Arial" w:hAnsi="Arial"/>
                <w:sz w:val="18"/>
                <w:szCs w:val="18"/>
                <w:color w:val="auto"/>
                <w:w w:val="84"/>
              </w:rPr>
              <w:t>10.19</w:t>
            </w:r>
          </w:p>
        </w:tc>
        <w:tc>
          <w:tcPr>
            <w:tcW w:w="480" w:type="dxa"/>
            <w:vAlign w:val="bottom"/>
          </w:tcPr>
          <w:p>
            <w:pPr>
              <w:spacing w:after="0"/>
              <w:rPr>
                <w:sz w:val="16"/>
                <w:szCs w:val="16"/>
                <w:color w:val="auto"/>
              </w:rPr>
            </w:pPr>
          </w:p>
        </w:tc>
        <w:tc>
          <w:tcPr>
            <w:tcW w:w="3280" w:type="dxa"/>
            <w:vAlign w:val="bottom"/>
            <w:gridSpan w:val="6"/>
          </w:tcPr>
          <w:p>
            <w:pPr>
              <w:spacing w:after="0" w:line="190" w:lineRule="exact"/>
              <w:rPr>
                <w:sz w:val="20"/>
                <w:szCs w:val="20"/>
                <w:color w:val="auto"/>
              </w:rPr>
            </w:pPr>
            <w:r>
              <w:rPr>
                <w:rFonts w:ascii="Arial" w:cs="Arial" w:eastAsia="Arial" w:hAnsi="Arial"/>
                <w:sz w:val="18"/>
                <w:szCs w:val="18"/>
                <w:color w:val="auto"/>
                <w:w w:val="93"/>
              </w:rPr>
              <w:t>Acknowledgement and Consent to Bail-In of</w:t>
            </w:r>
          </w:p>
        </w:tc>
        <w:tc>
          <w:tcPr>
            <w:tcW w:w="340" w:type="dxa"/>
            <w:vAlign w:val="bottom"/>
          </w:tcPr>
          <w:p>
            <w:pPr>
              <w:spacing w:after="0" w:line="190" w:lineRule="exact"/>
              <w:rPr>
                <w:sz w:val="20"/>
                <w:szCs w:val="20"/>
                <w:color w:val="auto"/>
              </w:rPr>
            </w:pPr>
            <w:r>
              <w:rPr>
                <w:rFonts w:ascii="Arial" w:cs="Arial" w:eastAsia="Arial" w:hAnsi="Arial"/>
                <w:sz w:val="18"/>
                <w:szCs w:val="18"/>
                <w:color w:val="FF0000"/>
                <w:strike w:val="1"/>
                <w:w w:val="88"/>
              </w:rPr>
              <w:t>EEA</w:t>
            </w:r>
          </w:p>
        </w:tc>
        <w:tc>
          <w:tcPr>
            <w:tcW w:w="3920" w:type="dxa"/>
            <w:vAlign w:val="bottom"/>
            <w:gridSpan w:val="6"/>
          </w:tcPr>
          <w:p>
            <w:pPr>
              <w:spacing w:after="0" w:line="190" w:lineRule="exact"/>
              <w:rPr>
                <w:sz w:val="20"/>
                <w:szCs w:val="20"/>
                <w:color w:val="auto"/>
              </w:rPr>
            </w:pPr>
            <w:r>
              <w:rPr>
                <w:rFonts w:ascii="Arial" w:cs="Arial" w:eastAsia="Arial" w:hAnsi="Arial"/>
                <w:sz w:val="18"/>
                <w:szCs w:val="18"/>
                <w:color w:val="0000E1"/>
              </w:rPr>
              <w:t xml:space="preserve">Affected </w:t>
            </w:r>
            <w:r>
              <w:rPr>
                <w:rFonts w:ascii="Arial" w:cs="Arial" w:eastAsia="Arial" w:hAnsi="Arial"/>
                <w:sz w:val="18"/>
                <w:szCs w:val="18"/>
                <w:color w:val="000000"/>
              </w:rPr>
              <w:t>Financial Institutions</w:t>
            </w:r>
          </w:p>
        </w:tc>
        <w:tc>
          <w:tcPr>
            <w:tcW w:w="22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rPr>
                <w:sz w:val="20"/>
                <w:szCs w:val="20"/>
                <w:color w:val="auto"/>
              </w:rPr>
            </w:pPr>
            <w:r>
              <w:rPr>
                <w:rFonts w:ascii="Arial" w:cs="Arial" w:eastAsia="Arial" w:hAnsi="Arial"/>
                <w:sz w:val="18"/>
                <w:szCs w:val="18"/>
                <w:color w:val="auto"/>
                <w:w w:val="84"/>
              </w:rPr>
              <w:t>10.20</w:t>
            </w:r>
          </w:p>
        </w:tc>
        <w:tc>
          <w:tcPr>
            <w:tcW w:w="480" w:type="dxa"/>
            <w:vAlign w:val="bottom"/>
            <w:vMerge w:val="restart"/>
          </w:tcPr>
          <w:p>
            <w:pPr>
              <w:spacing w:after="0"/>
              <w:rPr>
                <w:sz w:val="2"/>
                <w:szCs w:val="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8"/>
                <w:szCs w:val="18"/>
                <w:color w:val="auto"/>
              </w:rPr>
              <w:t>Judgment Currency</w:t>
            </w:r>
          </w:p>
        </w:tc>
        <w:tc>
          <w:tcPr>
            <w:tcW w:w="20" w:type="dxa"/>
            <w:vAlign w:val="bottom"/>
            <w:tcBorders>
              <w:top w:val="single" w:sz="8" w:color="0000E1"/>
              <w:bottom w:val="single" w:sz="8" w:color="0000E1"/>
            </w:tcBorders>
            <w:vMerge w:val="restart"/>
          </w:tcPr>
          <w:p>
            <w:pPr>
              <w:spacing w:after="0"/>
              <w:rPr>
                <w:sz w:val="2"/>
                <w:szCs w:val="2"/>
                <w:color w:val="auto"/>
              </w:rPr>
            </w:pPr>
          </w:p>
        </w:tc>
        <w:tc>
          <w:tcPr>
            <w:tcW w:w="12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48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vMerge w:val="restart"/>
          </w:tcPr>
          <w:p>
            <w:pPr>
              <w:spacing w:after="0"/>
              <w:rPr>
                <w:sz w:val="2"/>
                <w:szCs w:val="2"/>
                <w:color w:val="auto"/>
              </w:rPr>
            </w:pPr>
          </w:p>
        </w:tc>
        <w:tc>
          <w:tcPr>
            <w:tcW w:w="3260" w:type="dxa"/>
            <w:vAlign w:val="bottom"/>
            <w:vMerge w:val="restart"/>
          </w:tcPr>
          <w:p>
            <w:pPr>
              <w:spacing w:after="0"/>
              <w:rPr>
                <w:sz w:val="2"/>
                <w:szCs w:val="2"/>
                <w:color w:val="auto"/>
              </w:rPr>
            </w:pPr>
          </w:p>
        </w:tc>
        <w:tc>
          <w:tcPr>
            <w:tcW w:w="2200" w:type="dxa"/>
            <w:vAlign w:val="bottom"/>
            <w:gridSpan w:val="5"/>
            <w:vMerge w:val="restart"/>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8"/>
        </w:trPr>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620" w:type="dxa"/>
            <w:vAlign w:val="bottom"/>
            <w:gridSpan w:val="7"/>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ind w:left="360"/>
              <w:spacing w:after="0" w:line="190" w:lineRule="exact"/>
              <w:rPr>
                <w:sz w:val="20"/>
                <w:szCs w:val="20"/>
                <w:color w:val="auto"/>
              </w:rPr>
            </w:pPr>
            <w:r>
              <w:rPr>
                <w:rFonts w:ascii="Arial" w:cs="Arial" w:eastAsia="Arial" w:hAnsi="Arial"/>
                <w:sz w:val="18"/>
                <w:szCs w:val="18"/>
                <w:color w:val="auto"/>
                <w:w w:val="84"/>
              </w:rPr>
              <w:t>10.21</w:t>
            </w:r>
          </w:p>
        </w:tc>
        <w:tc>
          <w:tcPr>
            <w:tcW w:w="480" w:type="dxa"/>
            <w:vAlign w:val="bottom"/>
          </w:tcPr>
          <w:p>
            <w:pPr>
              <w:spacing w:after="0"/>
              <w:rPr>
                <w:sz w:val="16"/>
                <w:szCs w:val="16"/>
                <w:color w:val="auto"/>
              </w:rPr>
            </w:pPr>
          </w:p>
        </w:tc>
        <w:tc>
          <w:tcPr>
            <w:tcW w:w="3780" w:type="dxa"/>
            <w:vAlign w:val="bottom"/>
            <w:gridSpan w:val="10"/>
          </w:tcPr>
          <w:p>
            <w:pPr>
              <w:spacing w:after="0" w:line="190" w:lineRule="exact"/>
              <w:rPr>
                <w:sz w:val="20"/>
                <w:szCs w:val="20"/>
                <w:color w:val="auto"/>
              </w:rPr>
            </w:pPr>
            <w:r>
              <w:rPr>
                <w:rFonts w:ascii="Arial" w:cs="Arial" w:eastAsia="Arial" w:hAnsi="Arial"/>
                <w:sz w:val="18"/>
                <w:szCs w:val="18"/>
                <w:color w:val="0000E1"/>
                <w:w w:val="91"/>
              </w:rPr>
              <w:t>Acknowledgement Regarding Any Supported QFCs</w:t>
            </w:r>
          </w:p>
        </w:tc>
        <w:tc>
          <w:tcPr>
            <w:tcW w:w="3760" w:type="dxa"/>
            <w:vAlign w:val="bottom"/>
            <w:gridSpan w:val="3"/>
          </w:tcPr>
          <w:p>
            <w:pPr>
              <w:spacing w:after="0"/>
              <w:rPr>
                <w:sz w:val="16"/>
                <w:szCs w:val="16"/>
                <w:color w:val="auto"/>
              </w:rPr>
            </w:pPr>
          </w:p>
        </w:tc>
        <w:tc>
          <w:tcPr>
            <w:tcW w:w="22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0000E1"/>
              </w:rPr>
              <w:t>99</w:t>
            </w:r>
          </w:p>
        </w:tc>
        <w:tc>
          <w:tcPr>
            <w:tcW w:w="0" w:type="dxa"/>
            <w:vAlign w:val="bottom"/>
          </w:tcPr>
          <w:p>
            <w:pPr>
              <w:spacing w:after="0"/>
              <w:rPr>
                <w:sz w:val="1"/>
                <w:szCs w:val="1"/>
                <w:color w:val="auto"/>
              </w:rPr>
            </w:pPr>
          </w:p>
        </w:tc>
      </w:tr>
      <w:tr>
        <w:trPr>
          <w:trHeight w:val="34"/>
        </w:trPr>
        <w:tc>
          <w:tcPr>
            <w:tcW w:w="760" w:type="dxa"/>
            <w:vAlign w:val="bottom"/>
            <w:gridSpan w:val="2"/>
            <w:vMerge w:val="restart"/>
          </w:tcPr>
          <w:p>
            <w:pPr>
              <w:ind w:left="360"/>
              <w:spacing w:after="0" w:line="196" w:lineRule="exact"/>
              <w:rPr>
                <w:sz w:val="20"/>
                <w:szCs w:val="20"/>
                <w:color w:val="auto"/>
              </w:rPr>
            </w:pPr>
            <w:r>
              <w:rPr>
                <w:rFonts w:ascii="Arial" w:cs="Arial" w:eastAsia="Arial" w:hAnsi="Arial"/>
                <w:sz w:val="18"/>
                <w:szCs w:val="18"/>
                <w:color w:val="0000E1"/>
                <w:w w:val="84"/>
              </w:rPr>
              <w:t>10.</w:t>
            </w:r>
            <w:r>
              <w:rPr>
                <w:rFonts w:ascii="Arial" w:cs="Arial" w:eastAsia="Arial" w:hAnsi="Arial"/>
                <w:sz w:val="18"/>
                <w:szCs w:val="18"/>
                <w:u w:val="single" w:color="auto"/>
                <w:color w:val="0000E1"/>
                <w:w w:val="84"/>
              </w:rPr>
              <w:t>22</w:t>
            </w:r>
          </w:p>
        </w:tc>
        <w:tc>
          <w:tcPr>
            <w:tcW w:w="480" w:type="dxa"/>
            <w:vAlign w:val="bottom"/>
          </w:tcPr>
          <w:p>
            <w:pPr>
              <w:spacing w:after="0"/>
              <w:rPr>
                <w:sz w:val="2"/>
                <w:szCs w:val="2"/>
                <w:color w:val="auto"/>
              </w:rPr>
            </w:pPr>
          </w:p>
        </w:tc>
        <w:tc>
          <w:tcPr>
            <w:tcW w:w="50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560" w:type="dxa"/>
            <w:vAlign w:val="bottom"/>
            <w:tcBorders>
              <w:top w:val="single" w:sz="8" w:color="0000E1"/>
              <w:bottom w:val="single" w:sz="8" w:color="0000E1"/>
            </w:tcBorders>
          </w:tcPr>
          <w:p>
            <w:pPr>
              <w:spacing w:after="0"/>
              <w:rPr>
                <w:sz w:val="2"/>
                <w:szCs w:val="2"/>
                <w:color w:val="auto"/>
              </w:rPr>
            </w:pPr>
          </w:p>
        </w:tc>
        <w:tc>
          <w:tcPr>
            <w:tcW w:w="560" w:type="dxa"/>
            <w:vAlign w:val="bottom"/>
            <w:tcBorders>
              <w:top w:val="single" w:sz="8" w:color="0000E1"/>
              <w:bottom w:val="single" w:sz="8" w:color="0000E1"/>
            </w:tcBorders>
          </w:tcPr>
          <w:p>
            <w:pPr>
              <w:spacing w:after="0"/>
              <w:rPr>
                <w:sz w:val="2"/>
                <w:szCs w:val="2"/>
                <w:color w:val="auto"/>
              </w:rPr>
            </w:pPr>
          </w:p>
        </w:tc>
        <w:tc>
          <w:tcPr>
            <w:tcW w:w="1080" w:type="dxa"/>
            <w:vAlign w:val="bottom"/>
            <w:tcBorders>
              <w:top w:val="single" w:sz="8" w:color="0000E1"/>
              <w:bottom w:val="single" w:sz="8" w:color="0000E1"/>
            </w:tcBorders>
          </w:tcPr>
          <w:p>
            <w:pPr>
              <w:spacing w:after="0"/>
              <w:rPr>
                <w:sz w:val="2"/>
                <w:szCs w:val="2"/>
                <w:color w:val="auto"/>
              </w:rPr>
            </w:pPr>
          </w:p>
        </w:tc>
        <w:tc>
          <w:tcPr>
            <w:tcW w:w="560" w:type="dxa"/>
            <w:vAlign w:val="bottom"/>
            <w:tcBorders>
              <w:top w:val="single" w:sz="8" w:color="0000E1"/>
              <w:bottom w:val="single" w:sz="8" w:color="0000E1"/>
            </w:tcBorders>
          </w:tcPr>
          <w:p>
            <w:pPr>
              <w:spacing w:after="0"/>
              <w:rPr>
                <w:sz w:val="2"/>
                <w:szCs w:val="2"/>
                <w:color w:val="auto"/>
              </w:rPr>
            </w:pPr>
          </w:p>
        </w:tc>
        <w:tc>
          <w:tcPr>
            <w:tcW w:w="34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12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3760" w:type="dxa"/>
            <w:vAlign w:val="bottom"/>
            <w:gridSpan w:val="3"/>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760" w:type="dxa"/>
            <w:vAlign w:val="bottom"/>
            <w:gridSpan w:val="9"/>
          </w:tcPr>
          <w:p>
            <w:pPr>
              <w:spacing w:after="0" w:line="142" w:lineRule="exact"/>
              <w:rPr>
                <w:sz w:val="20"/>
                <w:szCs w:val="20"/>
                <w:color w:val="auto"/>
              </w:rPr>
            </w:pPr>
            <w:r>
              <w:rPr>
                <w:rFonts w:ascii="Arial" w:cs="Arial" w:eastAsia="Arial" w:hAnsi="Arial"/>
                <w:sz w:val="16"/>
                <w:szCs w:val="16"/>
                <w:color w:val="auto"/>
              </w:rPr>
              <w:t>ENTIRE AGREEMENT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900" w:type="dxa"/>
            <w:vAlign w:val="bottom"/>
          </w:tcPr>
          <w:p>
            <w:pPr>
              <w:jc w:val="right"/>
              <w:spacing w:after="0" w:line="142" w:lineRule="exact"/>
              <w:rPr>
                <w:sz w:val="20"/>
                <w:szCs w:val="20"/>
                <w:color w:val="auto"/>
              </w:rPr>
            </w:pPr>
            <w:r>
              <w:rPr>
                <w:rFonts w:ascii="Arial" w:cs="Arial" w:eastAsia="Arial" w:hAnsi="Arial"/>
                <w:sz w:val="16"/>
                <w:szCs w:val="16"/>
                <w:color w:val="FF0000"/>
                <w:strike w:val="1"/>
              </w:rPr>
              <w:t>99</w:t>
            </w:r>
          </w:p>
        </w:tc>
        <w:tc>
          <w:tcPr>
            <w:tcW w:w="280" w:type="dxa"/>
            <w:vAlign w:val="bottom"/>
            <w:gridSpan w:val="3"/>
          </w:tcPr>
          <w:p>
            <w:pPr>
              <w:jc w:val="right"/>
              <w:spacing w:after="0" w:line="142" w:lineRule="exact"/>
              <w:rPr>
                <w:sz w:val="20"/>
                <w:szCs w:val="20"/>
                <w:color w:val="auto"/>
              </w:rPr>
            </w:pPr>
            <w:r>
              <w:rPr>
                <w:rFonts w:ascii="Arial" w:cs="Arial" w:eastAsia="Arial" w:hAnsi="Arial"/>
                <w:sz w:val="16"/>
                <w:szCs w:val="16"/>
                <w:color w:val="0000E1"/>
                <w:w w:val="97"/>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400" w:type="dxa"/>
            <w:vAlign w:val="bottom"/>
            <w:tcBorders>
              <w:top w:val="single" w:sz="8" w:color="0000E1"/>
              <w:bottom w:val="single" w:sz="8" w:color="0000E1"/>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2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gridSpan w:val="4"/>
          </w:tcPr>
          <w:p>
            <w:pPr>
              <w:ind w:left="2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ectPr>
          <w:pgSz w:w="11900" w:h="16838" w:orient="portrait"/>
          <w:cols w:equalWidth="0" w:num="1">
            <w:col w:w="10960"/>
          </w:cols>
          <w:pgMar w:left="440" w:top="257"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SCHEDULES</w:t>
      </w:r>
    </w:p>
    <w:p>
      <w:pPr>
        <w:spacing w:after="0" w:line="121"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6"/>
          <w:szCs w:val="16"/>
          <w:color w:val="auto"/>
        </w:rPr>
        <w:t>Allied Unrestricted Subsidiaries</w:t>
      </w:r>
    </w:p>
    <w:p>
      <w:pPr>
        <w:spacing w:after="0" w:line="23"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1.01(b)</w:t>
      </w:r>
      <w:r>
        <w:rPr>
          <w:sz w:val="20"/>
          <w:szCs w:val="20"/>
          <w:color w:val="auto"/>
        </w:rPr>
        <w:tab/>
      </w:r>
      <w:r>
        <w:rPr>
          <w:rFonts w:ascii="Arial" w:cs="Arial" w:eastAsia="Arial" w:hAnsi="Arial"/>
          <w:sz w:val="16"/>
          <w:szCs w:val="16"/>
          <w:color w:val="auto"/>
        </w:rPr>
        <w:t>Excluded Subsidiaries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1.01(c)</w:t>
      </w:r>
      <w:r>
        <w:rPr>
          <w:sz w:val="20"/>
          <w:szCs w:val="20"/>
          <w:color w:val="auto"/>
        </w:rPr>
        <w:tab/>
      </w:r>
      <w:r>
        <w:rPr>
          <w:rFonts w:ascii="Arial" w:cs="Arial" w:eastAsia="Arial" w:hAnsi="Arial"/>
          <w:sz w:val="16"/>
          <w:szCs w:val="16"/>
          <w:color w:val="auto"/>
        </w:rPr>
        <w:t>L/C Issuers and Letter of Credit Commitments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1.01(d)</w:t>
      </w:r>
      <w:r>
        <w:rPr>
          <w:sz w:val="20"/>
          <w:szCs w:val="20"/>
          <w:color w:val="auto"/>
        </w:rPr>
        <w:tab/>
      </w:r>
      <w:r>
        <w:rPr>
          <w:rFonts w:ascii="Arial" w:cs="Arial" w:eastAsia="Arial" w:hAnsi="Arial"/>
          <w:sz w:val="16"/>
          <w:szCs w:val="16"/>
          <w:color w:val="auto"/>
        </w:rPr>
        <w:t>Disqualified Lenders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Existing Letters of Credit</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ERISA Matters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Environmental Matters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Material Subsidiaries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color w:val="auto"/>
        </w:rPr>
        <w:t>Existing Liens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color w:val="auto"/>
        </w:rPr>
        <w:t>Existing Subsidiary Indebtedness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Existing Burdensome Agreements</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Form of</w:t>
      </w:r>
    </w:p>
    <w:p>
      <w:pPr>
        <w:spacing w:after="0" w:line="117" w:lineRule="exact"/>
        <w:rPr>
          <w:sz w:val="20"/>
          <w:szCs w:val="20"/>
          <w:color w:val="auto"/>
        </w:rPr>
      </w:pPr>
    </w:p>
    <w:p>
      <w:pPr>
        <w:ind w:left="1100" w:hanging="7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100" w:hanging="7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9" w:lineRule="exact"/>
        <w:rPr>
          <w:sz w:val="20"/>
          <w:szCs w:val="20"/>
          <w:color w:val="auto"/>
        </w:rPr>
      </w:pPr>
    </w:p>
    <w:p>
      <w:pPr>
        <w:ind w:left="1100" w:hanging="7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1100" w:hanging="7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200" w:lineRule="exact"/>
        <w:rPr>
          <w:sz w:val="20"/>
          <w:szCs w:val="20"/>
          <w:color w:val="auto"/>
        </w:rPr>
      </w:pPr>
    </w:p>
    <w:p>
      <w:pPr>
        <w:spacing w:after="0" w:line="227" w:lineRule="exact"/>
        <w:rPr>
          <w:sz w:val="20"/>
          <w:szCs w:val="20"/>
          <w:color w:val="auto"/>
        </w:rPr>
      </w:pPr>
    </w:p>
    <w:p>
      <w:pPr>
        <w:ind w:left="1100" w:hanging="7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 of Letter of Credit Information</w:t>
      </w:r>
    </w:p>
    <w:p>
      <w:pPr>
        <w:spacing w:after="0" w:line="23" w:lineRule="exact"/>
        <w:rPr>
          <w:sz w:val="20"/>
          <w:szCs w:val="20"/>
          <w:color w:val="auto"/>
        </w:rPr>
      </w:pPr>
    </w:p>
    <w:p>
      <w:pPr>
        <w:ind w:left="1100" w:hanging="7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Tax Compliance Certificates</w:t>
      </w:r>
    </w:p>
    <w:p>
      <w:pPr>
        <w:spacing w:after="0" w:line="143"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1" w:name="page32"/>
    <w:bookmarkEnd w:id="3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AGREEMENT</w:t>
      </w:r>
    </w:p>
    <w:p>
      <w:pPr>
        <w:spacing w:after="0" w:line="229"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This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June 8, 2018 </w:t>
      </w:r>
      <w:r>
        <w:rPr>
          <w:rFonts w:ascii="Arial" w:cs="Arial" w:eastAsia="Arial" w:hAnsi="Arial"/>
          <w:sz w:val="18"/>
          <w:szCs w:val="18"/>
          <w:color w:val="0000E1"/>
        </w:rPr>
        <w:t>(as amended by Amendment No. 1 to Credit Agreement, dated</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as of May 18, 2020)</w:t>
      </w:r>
      <w:r>
        <w:rPr>
          <w:rFonts w:ascii="Arial" w:cs="Arial" w:eastAsia="Arial" w:hAnsi="Arial"/>
          <w:sz w:val="18"/>
          <w:szCs w:val="18"/>
          <w:color w:val="000000"/>
        </w:rPr>
        <w:t>, among REPUBLIC SERVICES, INC., a Delaware corporation (the “</w:t>
      </w:r>
      <w:r>
        <w:rPr>
          <w:rFonts w:ascii="Arial" w:cs="Arial" w:eastAsia="Arial" w:hAnsi="Arial"/>
          <w:sz w:val="18"/>
          <w:szCs w:val="18"/>
          <w:u w:val="single" w:color="auto"/>
          <w:color w:val="000000"/>
        </w:rPr>
        <w:t>Borrower</w:t>
      </w:r>
      <w:r>
        <w:rPr>
          <w:rFonts w:ascii="Arial" w:cs="Arial" w:eastAsia="Arial" w:hAnsi="Arial"/>
          <w:sz w:val="18"/>
          <w:szCs w:val="18"/>
          <w:color w:val="000000"/>
        </w:rPr>
        <w:t>”), each lender from time to time party hereto</w:t>
      </w:r>
      <w:r>
        <w:rPr>
          <w:rFonts w:ascii="Arial" w:cs="Arial" w:eastAsia="Arial" w:hAnsi="Arial"/>
          <w:sz w:val="18"/>
          <w:szCs w:val="18"/>
          <w:color w:val="0000E1"/>
        </w:rPr>
        <w:t xml:space="preserve"> </w:t>
      </w:r>
      <w:r>
        <w:rPr>
          <w:rFonts w:ascii="Arial" w:cs="Arial" w:eastAsia="Arial" w:hAnsi="Arial"/>
          <w:sz w:val="18"/>
          <w:szCs w:val="18"/>
          <w:color w:val="000000"/>
        </w:rPr>
        <w:t>(collectively, the “</w:t>
      </w:r>
      <w:r>
        <w:rPr>
          <w:rFonts w:ascii="Arial" w:cs="Arial" w:eastAsia="Arial" w:hAnsi="Arial"/>
          <w:sz w:val="18"/>
          <w:szCs w:val="18"/>
          <w:u w:val="single" w:color="auto"/>
          <w:color w:val="000000"/>
        </w:rPr>
        <w:t>Lenders</w:t>
      </w:r>
      <w:r>
        <w:rPr>
          <w:rFonts w:ascii="Arial" w:cs="Arial" w:eastAsia="Arial" w:hAnsi="Arial"/>
          <w:sz w:val="18"/>
          <w:szCs w:val="18"/>
          <w:color w:val="000000"/>
        </w:rPr>
        <w:t>” and individually, a “</w:t>
      </w:r>
      <w:r>
        <w:rPr>
          <w:rFonts w:ascii="Arial" w:cs="Arial" w:eastAsia="Arial" w:hAnsi="Arial"/>
          <w:sz w:val="18"/>
          <w:szCs w:val="18"/>
          <w:u w:val="single" w:color="auto"/>
          <w:color w:val="000000"/>
        </w:rPr>
        <w:t>Lender</w:t>
      </w:r>
      <w:r>
        <w:rPr>
          <w:rFonts w:ascii="Arial" w:cs="Arial" w:eastAsia="Arial" w:hAnsi="Arial"/>
          <w:sz w:val="18"/>
          <w:szCs w:val="18"/>
          <w:color w:val="000000"/>
        </w:rPr>
        <w:t>”), and BANK OF AMERICA, N.A., as Administrative Agent, Swing Line Lender and an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-412115</wp:posOffset>
            </wp:positionV>
            <wp:extent cx="28886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-446405</wp:posOffset>
            </wp:positionV>
            <wp:extent cx="28936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36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-274955</wp:posOffset>
            </wp:positionV>
            <wp:extent cx="9258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6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Borrower has requested that the Lenders provide a revolving credit facility, and the Lenders are willing to do so on the terms and conditions set forth herein.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DEFINITIONS AND ACCOUNTING TERMS</w:t>
      </w:r>
    </w:p>
    <w:p>
      <w:pPr>
        <w:spacing w:after="0" w:line="20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Defined Terms. </w:t>
      </w:r>
      <w:r>
        <w:rPr>
          <w:rFonts w:ascii="Arial" w:cs="Arial" w:eastAsia="Arial" w:hAnsi="Arial"/>
          <w:sz w:val="16"/>
          <w:szCs w:val="16"/>
          <w:color w:val="auto"/>
        </w:rPr>
        <w:t>As used in this Agreement, the following terms shall have the meanings set forth below:</w:t>
      </w:r>
    </w:p>
    <w:p>
      <w:pPr>
        <w:spacing w:after="0" w:line="229"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Plan</w:t>
      </w:r>
      <w:r>
        <w:rPr>
          <w:rFonts w:ascii="Arial" w:cs="Arial" w:eastAsia="Arial" w:hAnsi="Arial"/>
          <w:sz w:val="18"/>
          <w:szCs w:val="18"/>
          <w:color w:val="auto"/>
        </w:rPr>
        <w:t>” means any Plan which was originally established and maintained by a Person other than the Borrower or an ERISA Affiliate and which became, or hereafter becomes, a Plan as a result of an Acquisition by the Borrower or any Subsidiary.</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 Person, or of all or substantially all of any business or division of a Person, (b) the acquisition of in excess of 50% of the capital stock, partnership interests, membership interests or equity of any Person, or otherwise causing any Person to become a Subsidiary, or</w:t>
      </w:r>
    </w:p>
    <w:p>
      <w:pPr>
        <w:spacing w:after="0" w:line="2" w:lineRule="exact"/>
        <w:rPr>
          <w:sz w:val="20"/>
          <w:szCs w:val="20"/>
          <w:color w:val="auto"/>
        </w:rPr>
      </w:pPr>
    </w:p>
    <w:p>
      <w:pPr>
        <w:ind w:left="4" w:right="140" w:hanging="4"/>
        <w:spacing w:after="0" w:line="260"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merger or consolidation or any other combination with another Person (other than a Person that is a Subsidiary) provided that the Borrower or the Subsidiary is the surviving entity.</w:t>
      </w:r>
    </w:p>
    <w:p>
      <w:pPr>
        <w:spacing w:after="0" w:line="18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4997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5"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32" w:name="page33"/>
    <w:bookmarkEnd w:id="32"/>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Allied Unrestricted Subsidiary</w:t>
      </w:r>
      <w:r>
        <w:rPr>
          <w:rFonts w:ascii="Arial" w:cs="Arial" w:eastAsia="Arial" w:hAnsi="Arial"/>
          <w:sz w:val="18"/>
          <w:szCs w:val="18"/>
          <w:color w:val="auto"/>
        </w:rPr>
        <w:t xml:space="preserve">” means each Subsidiary of Allied Waste Industries, LLC, a Delaware limited liability company,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and its Affiliates from time to time concerning or relating to bribery or corruption, including without limitation the United States Foreign Corrupt Practices Act of 1977 and the UK Bribery Act of 2010, as each may be amended from time to time.</w:t>
      </w:r>
    </w:p>
    <w:p>
      <w:pPr>
        <w:spacing w:after="0" w:line="18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Pricing Level for the applicable Debt Rating as set forth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w:t>
            </w:r>
          </w:p>
        </w:tc>
        <w:tc>
          <w:tcPr>
            <w:tcW w:w="2280" w:type="dxa"/>
            <w:vAlign w:val="bottom"/>
            <w:gridSpan w:val="2"/>
            <w:vMerge w:val="restart"/>
          </w:tcPr>
          <w:p>
            <w:pPr>
              <w:jc w:val="center"/>
              <w:ind w:right="1380"/>
              <w:spacing w:after="0"/>
              <w:rPr>
                <w:sz w:val="20"/>
                <w:szCs w:val="20"/>
                <w:color w:val="auto"/>
              </w:rPr>
            </w:pPr>
            <w:r>
              <w:rPr>
                <w:rFonts w:ascii="Arial" w:cs="Arial" w:eastAsia="Arial" w:hAnsi="Arial"/>
                <w:sz w:val="14"/>
                <w:szCs w:val="14"/>
                <w:b w:val="1"/>
                <w:bCs w:val="1"/>
                <w:color w:val="auto"/>
                <w:w w:val="94"/>
              </w:rPr>
              <w:t>Debt Rating</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4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7"/>
              </w:rPr>
              <w:t>Applicable Margin for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4"/>
        </w:trPr>
        <w:tc>
          <w:tcPr>
            <w:tcW w:w="182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080" w:type="dxa"/>
            <w:vAlign w:val="bottom"/>
            <w:gridSpan w:val="2"/>
            <w:vMerge w:val="restart"/>
          </w:tcPr>
          <w:p>
            <w:pPr>
              <w:jc w:val="center"/>
              <w:ind w:right="1380"/>
              <w:spacing w:after="0"/>
              <w:rPr>
                <w:sz w:val="20"/>
                <w:szCs w:val="20"/>
                <w:color w:val="auto"/>
              </w:rPr>
            </w:pPr>
            <w:r>
              <w:rPr>
                <w:rFonts w:ascii="Arial" w:cs="Arial" w:eastAsia="Arial" w:hAnsi="Arial"/>
                <w:sz w:val="14"/>
                <w:szCs w:val="14"/>
                <w:b w:val="1"/>
                <w:bCs w:val="1"/>
                <w:color w:val="auto"/>
                <w:w w:val="91"/>
              </w:rPr>
              <w:t>Facility Fee</w:t>
            </w:r>
          </w:p>
        </w:tc>
        <w:tc>
          <w:tcPr>
            <w:tcW w:w="2940" w:type="dxa"/>
            <w:vAlign w:val="bottom"/>
            <w:gridSpan w:val="2"/>
          </w:tcPr>
          <w:p>
            <w:pPr>
              <w:jc w:val="center"/>
              <w:ind w:right="1380"/>
              <w:spacing w:after="0" w:line="145" w:lineRule="exact"/>
              <w:rPr>
                <w:sz w:val="20"/>
                <w:szCs w:val="20"/>
                <w:color w:val="auto"/>
              </w:rPr>
            </w:pPr>
            <w:r>
              <w:rPr>
                <w:rFonts w:ascii="Arial" w:cs="Arial" w:eastAsia="Arial" w:hAnsi="Arial"/>
                <w:sz w:val="14"/>
                <w:szCs w:val="14"/>
                <w:b w:val="1"/>
                <w:bCs w:val="1"/>
                <w:color w:val="auto"/>
                <w:w w:val="93"/>
              </w:rPr>
              <w:t>Eurodollar Rate Loans</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Margin for Base</w:t>
            </w:r>
          </w:p>
        </w:tc>
        <w:tc>
          <w:tcPr>
            <w:tcW w:w="0" w:type="dxa"/>
            <w:vAlign w:val="bottom"/>
          </w:tcPr>
          <w:p>
            <w:pPr>
              <w:spacing w:after="0"/>
              <w:rPr>
                <w:sz w:val="1"/>
                <w:szCs w:val="1"/>
                <w:color w:val="auto"/>
              </w:rPr>
            </w:pP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28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S&amp;P/Moody’s</w:t>
            </w:r>
          </w:p>
        </w:tc>
        <w:tc>
          <w:tcPr>
            <w:tcW w:w="2080" w:type="dxa"/>
            <w:vAlign w:val="bottom"/>
            <w:gridSpan w:val="2"/>
            <w:vMerge w:val="continue"/>
          </w:tcPr>
          <w:p>
            <w:pPr>
              <w:spacing w:after="0"/>
              <w:rPr>
                <w:sz w:val="15"/>
                <w:szCs w:val="15"/>
                <w:color w:val="auto"/>
              </w:rPr>
            </w:pPr>
          </w:p>
        </w:tc>
        <w:tc>
          <w:tcPr>
            <w:tcW w:w="294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4"/>
              </w:rPr>
              <w:t>and Letter of Credit Fees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Rate Loans</w:t>
            </w:r>
          </w:p>
        </w:tc>
        <w:tc>
          <w:tcPr>
            <w:tcW w:w="0" w:type="dxa"/>
            <w:vAlign w:val="bottom"/>
          </w:tcPr>
          <w:p>
            <w:pPr>
              <w:spacing w:after="0"/>
              <w:rPr>
                <w:sz w:val="1"/>
                <w:szCs w:val="1"/>
                <w:color w:val="auto"/>
              </w:rPr>
            </w:pPr>
          </w:p>
        </w:tc>
      </w:tr>
      <w:tr>
        <w:trPr>
          <w:trHeight w:val="203"/>
        </w:trPr>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1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³ A-/A3</w:t>
            </w:r>
          </w:p>
        </w:tc>
        <w:tc>
          <w:tcPr>
            <w:tcW w:w="1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0.090%</w:t>
            </w:r>
          </w:p>
        </w:tc>
        <w:tc>
          <w:tcPr>
            <w:tcW w:w="13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0.910%</w:t>
            </w:r>
          </w:p>
        </w:tc>
        <w:tc>
          <w:tcPr>
            <w:tcW w:w="1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480" w:type="dxa"/>
            <w:vAlign w:val="bottom"/>
          </w:tcPr>
          <w:p>
            <w:pPr>
              <w:spacing w:after="0"/>
              <w:rPr>
                <w:sz w:val="18"/>
                <w:szCs w:val="18"/>
                <w:color w:val="auto"/>
              </w:rPr>
            </w:pPr>
          </w:p>
        </w:tc>
        <w:tc>
          <w:tcPr>
            <w:tcW w:w="2280" w:type="dxa"/>
            <w:vAlign w:val="bottom"/>
            <w:gridSpan w:val="2"/>
          </w:tcPr>
          <w:p>
            <w:pPr>
              <w:jc w:val="center"/>
              <w:ind w:right="1380"/>
              <w:spacing w:after="0"/>
              <w:rPr>
                <w:sz w:val="20"/>
                <w:szCs w:val="20"/>
                <w:color w:val="auto"/>
              </w:rPr>
            </w:pPr>
            <w:r>
              <w:rPr>
                <w:rFonts w:ascii="Arial" w:cs="Arial" w:eastAsia="Arial" w:hAnsi="Arial"/>
                <w:sz w:val="18"/>
                <w:szCs w:val="18"/>
                <w:color w:val="auto"/>
                <w:w w:val="96"/>
              </w:rPr>
              <w:t>BBB+/Baa1</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0.100%</w:t>
            </w:r>
          </w:p>
        </w:tc>
        <w:tc>
          <w:tcPr>
            <w:tcW w:w="13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3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4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3"/>
              </w:rPr>
              <w:t>BBB/Baa2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0.150%</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480" w:type="dxa"/>
            <w:vAlign w:val="bottom"/>
          </w:tcPr>
          <w:p>
            <w:pPr>
              <w:spacing w:after="0"/>
              <w:rPr>
                <w:sz w:val="18"/>
                <w:szCs w:val="18"/>
                <w:color w:val="auto"/>
              </w:rPr>
            </w:pPr>
          </w:p>
        </w:tc>
        <w:tc>
          <w:tcPr>
            <w:tcW w:w="2280" w:type="dxa"/>
            <w:vAlign w:val="bottom"/>
            <w:gridSpan w:val="2"/>
          </w:tcPr>
          <w:p>
            <w:pPr>
              <w:jc w:val="center"/>
              <w:ind w:right="1400"/>
              <w:spacing w:after="0"/>
              <w:rPr>
                <w:sz w:val="20"/>
                <w:szCs w:val="20"/>
                <w:color w:val="auto"/>
              </w:rPr>
            </w:pPr>
            <w:r>
              <w:rPr>
                <w:rFonts w:ascii="Arial" w:cs="Arial" w:eastAsia="Arial" w:hAnsi="Arial"/>
                <w:sz w:val="18"/>
                <w:szCs w:val="18"/>
                <w:color w:val="auto"/>
                <w:w w:val="94"/>
              </w:rPr>
              <w:t>BBB-/Baa3</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0.200%</w:t>
            </w:r>
          </w:p>
        </w:tc>
        <w:tc>
          <w:tcPr>
            <w:tcW w:w="13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1.175%</w:t>
            </w:r>
          </w:p>
        </w:tc>
        <w:tc>
          <w:tcPr>
            <w:tcW w:w="13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0.175%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4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4"/>
              </w:rPr>
              <w:t>£ BB+/Ba1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0.250%</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1.375%</w:t>
            </w: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debt rating of the Borrower’s non-credit-enhanced, senior unsecured long-term debt as determined by either of S&amp;P or Moody’s (each a “</w:t>
      </w:r>
      <w:r>
        <w:rPr>
          <w:rFonts w:ascii="Arial" w:cs="Arial" w:eastAsia="Arial" w:hAnsi="Arial"/>
          <w:sz w:val="18"/>
          <w:szCs w:val="18"/>
          <w:u w:val="single" w:color="auto"/>
          <w:color w:val="auto"/>
        </w:rPr>
        <w:t>Debt Rating</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For purposes of each of the rates set forth in the table above such rates shall be the applicable rate per annum determined as of the day of receipt by the Administrative Agent from the Borrower of evidence satisfactory to the Administrative Agent of the then-applicable Debt Rating. The applicable Debt Rating for determining the Pricing Level shall be the highest Debt Rating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two Debt Ratings differ by more than one level, the Pricing Level applicable to the level that is one level lower than the higher Debt Rating shall apply, (ii) if the Borrower has only one Debt Rating, the Pricing Level applicable to the level of that Debt Rating shall apply, and (iii) if the Borrower does not have any Debt Rating, Pricing Level 5 shall apply. Initially, the Applicable Rate shall be determined based upon the Debt Rating specified in the certificate delivered pursuant to </w:t>
      </w:r>
      <w:r>
        <w:rPr>
          <w:rFonts w:ascii="Arial" w:cs="Arial" w:eastAsia="Arial" w:hAnsi="Arial"/>
          <w:sz w:val="17"/>
          <w:szCs w:val="17"/>
          <w:u w:val="single" w:color="auto"/>
          <w:color w:val="auto"/>
        </w:rPr>
        <w:t>Section 4.01(a)(vi)</w:t>
      </w:r>
      <w:r>
        <w:rPr>
          <w:rFonts w:ascii="Arial" w:cs="Arial" w:eastAsia="Arial" w:hAnsi="Arial"/>
          <w:sz w:val="17"/>
          <w:szCs w:val="17"/>
          <w:color w:val="auto"/>
        </w:rPr>
        <w:t xml:space="preserve">. Thereafter, each change in the Applicable Rate resulting from a publicly announced change in the Debt Rating shall be effective during the period commencing on the date of delivery by the Borrower to the Administrative Agent of notice thereof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 if earlier, on the date that the Administrative Agent becomes aware of such public announcement) and ending on the date immediately preceding the effective date of the next such change.</w:t>
      </w:r>
    </w:p>
    <w:p>
      <w:pPr>
        <w:spacing w:after="0" w:line="18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3" w:name="page34"/>
    <w:bookmarkEnd w:id="33"/>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Arrangers</w:t>
      </w:r>
      <w:r>
        <w:rPr>
          <w:rFonts w:ascii="Arial" w:cs="Arial" w:eastAsia="Arial" w:hAnsi="Arial"/>
          <w:sz w:val="18"/>
          <w:szCs w:val="18"/>
          <w:color w:val="auto"/>
        </w:rPr>
        <w:t xml:space="preserve">” means </w:t>
      </w:r>
      <w:r>
        <w:rPr>
          <w:rFonts w:ascii="Arial" w:cs="Arial" w:eastAsia="Arial" w:hAnsi="Arial"/>
          <w:sz w:val="18"/>
          <w:szCs w:val="18"/>
          <w:color w:val="FF0000"/>
          <w:strike w:val="1"/>
        </w:rPr>
        <w:t>MLPFS</w:t>
      </w:r>
      <w:r>
        <w:rPr>
          <w:rFonts w:ascii="Arial" w:cs="Arial" w:eastAsia="Arial" w:hAnsi="Arial"/>
          <w:sz w:val="18"/>
          <w:szCs w:val="18"/>
          <w:u w:val="single" w:color="auto"/>
          <w:color w:val="0000E1"/>
        </w:rPr>
        <w:t>BofA Securities, Inc.</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and Wells Fargo Securities, LLC (“</w:t>
      </w:r>
      <w:r>
        <w:rPr>
          <w:rFonts w:ascii="Arial" w:cs="Arial" w:eastAsia="Arial" w:hAnsi="Arial"/>
          <w:sz w:val="18"/>
          <w:szCs w:val="18"/>
          <w:u w:val="single" w:color="auto"/>
          <w:color w:val="auto"/>
        </w:rPr>
        <w:t>WFS</w:t>
      </w:r>
      <w:r>
        <w:rPr>
          <w:rFonts w:ascii="Arial" w:cs="Arial" w:eastAsia="Arial" w:hAnsi="Arial"/>
          <w:sz w:val="18"/>
          <w:szCs w:val="18"/>
          <w:color w:val="auto"/>
        </w:rPr>
        <w:t>”), each in its capacity as joint lead arranger and joint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-147955</wp:posOffset>
            </wp:positionV>
            <wp:extent cx="9601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5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with respect to any Person, on any date, (a)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 (b) in respect of any Securitization Transaction, the aggregate principal amount of obligations owed by such Person.</w:t>
      </w:r>
    </w:p>
    <w:p>
      <w:pPr>
        <w:spacing w:after="0" w:line="18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2017, and the related consolidated statements of income or operations, shareholders’ equity and cash flows for such fiscal year of the Borrower and its Subsidiaries, including the notes thereto.</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Effective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-10795</wp:posOffset>
            </wp:positionV>
            <wp:extent cx="3943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5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xml:space="preserve">” means, </w:t>
      </w:r>
      <w:r>
        <w:rPr>
          <w:rFonts w:ascii="Arial" w:cs="Arial" w:eastAsia="Arial" w:hAnsi="Arial"/>
          <w:sz w:val="18"/>
          <w:szCs w:val="18"/>
          <w:u w:val="single" w:color="auto"/>
          <w:color w:val="0000E1"/>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E1"/>
        </w:rPr>
        <w:t>, rule, regulation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u w:val="single" w:color="auto"/>
          <w:color w:val="0000E1"/>
        </w:rPr>
        <w:t>, and (b) with respect to the United Kingdom, Part I of the United Kingdom Banking</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-682625</wp:posOffset>
            </wp:positionV>
            <wp:extent cx="1797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-545465</wp:posOffset>
            </wp:positionV>
            <wp:extent cx="1457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-408305</wp:posOffset>
            </wp:positionV>
            <wp:extent cx="38658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65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78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6262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5911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the Federal Bankruptcy Reform Act of 1978 (11 U.S.C. §101,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rate per annum equal to the highest of (a) the Federal Funds Rate plus 1/2 of 1%,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Browning-Ferris Indenture</w:t>
      </w:r>
      <w:r>
        <w:rPr>
          <w:rFonts w:ascii="Arial" w:cs="Arial" w:eastAsia="Arial" w:hAnsi="Arial"/>
          <w:sz w:val="18"/>
          <w:szCs w:val="18"/>
          <w:color w:val="auto"/>
        </w:rPr>
        <w:t>” means the Restated Indenture dated as of September 1, 1991, between Browning-Ferris Industries, LLC (f/k/a Browning-Ferris Industries, Inc.), a Delaware limited liability company, and The Bank of New York Mellon Trust Company, N.A., as successor trustee to JPMorgan Chase Bank, N.A. (formerly Chase Bank of Texas, N.A.) as successor trustee to First City, Texas-Houston, N.A., including all amendments thereto, all supplements thereto and any amendments and restatements or refinancings thereof.</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w:t>
      </w:r>
      <w:r>
        <w:rPr>
          <w:rFonts w:ascii="Arial" w:cs="Arial" w:eastAsia="Arial" w:hAnsi="Arial"/>
          <w:sz w:val="18"/>
          <w:szCs w:val="18"/>
          <w:color w:val="auto"/>
        </w:rPr>
        <w:t>” means a Letter of Credit which is denominated in Canadian Dollars.</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means, with respect to any Person, any lease of (or other agreement conveying the right to use) any real or personal property by such Person that, in conformity with GAAP, is accounted for as a capital lease on the balance sheet of such Person.</w:t>
      </w:r>
    </w:p>
    <w:p>
      <w:pPr>
        <w:spacing w:after="0" w:line="146"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reasonably satisfactory to (a) the Administrative Agent and (b) the L/C Issuer or the Swing Line Lender (as applicable). “Cash Collateral” shall have a meaning correlative to the foregoing and shall include the proceeds of such cash collateral and other credit support.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5" w:name="page36"/>
    <w:bookmarkEnd w:id="35"/>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ind w:left="440" w:firstLine="419"/>
        <w:spacing w:after="0" w:line="286" w:lineRule="auto"/>
        <w:tabs>
          <w:tab w:leader="none" w:pos="12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other than any Gates Entity (as hereinafter defined)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more than 25% of the equity securities of the Borrower entitled to vote for members of the board of directors or equivalent governing body of the Borrower (“</w:t>
      </w:r>
      <w:r>
        <w:rPr>
          <w:rFonts w:ascii="Arial" w:cs="Arial" w:eastAsia="Arial" w:hAnsi="Arial"/>
          <w:sz w:val="16"/>
          <w:szCs w:val="16"/>
          <w:u w:val="single" w:color="auto"/>
          <w:color w:val="auto"/>
        </w:rPr>
        <w:t>Voting Securities</w:t>
      </w:r>
      <w:r>
        <w:rPr>
          <w:rFonts w:ascii="Arial" w:cs="Arial" w:eastAsia="Arial" w:hAnsi="Arial"/>
          <w:sz w:val="16"/>
          <w:szCs w:val="16"/>
          <w:color w:val="auto"/>
        </w:rPr>
        <w:t>”) on a fully-diluted basis (and taking into account all such securities that such person or group has the right to acquire pursuant to any option right) or (ii) any one or more of Cascade Investment, L.L.C. (“</w:t>
      </w:r>
      <w:r>
        <w:rPr>
          <w:rFonts w:ascii="Arial" w:cs="Arial" w:eastAsia="Arial" w:hAnsi="Arial"/>
          <w:sz w:val="16"/>
          <w:szCs w:val="16"/>
          <w:u w:val="single" w:color="auto"/>
          <w:color w:val="auto"/>
        </w:rPr>
        <w:t>Cascade</w:t>
      </w:r>
      <w:r>
        <w:rPr>
          <w:rFonts w:ascii="Arial" w:cs="Arial" w:eastAsia="Arial" w:hAnsi="Arial"/>
          <w:sz w:val="16"/>
          <w:szCs w:val="16"/>
          <w:color w:val="auto"/>
        </w:rPr>
        <w:t>”), the Bill &amp; Melinda Gates Foundation Trust (the “</w:t>
      </w:r>
      <w:r>
        <w:rPr>
          <w:rFonts w:ascii="Arial" w:cs="Arial" w:eastAsia="Arial" w:hAnsi="Arial"/>
          <w:sz w:val="16"/>
          <w:szCs w:val="16"/>
          <w:u w:val="single" w:color="auto"/>
          <w:color w:val="auto"/>
        </w:rPr>
        <w:t>Trust</w:t>
      </w:r>
      <w:r>
        <w:rPr>
          <w:rFonts w:ascii="Arial" w:cs="Arial" w:eastAsia="Arial" w:hAnsi="Arial"/>
          <w:sz w:val="16"/>
          <w:szCs w:val="16"/>
          <w:color w:val="auto"/>
        </w:rPr>
        <w:t>”), any entity directly or indirectly owned or controlled by Cascade or the Trust, or any Person directly or indirectly controlling Cascade, the Trust or any such entity, or any trustee of any of the foregoing (collectively, the “</w:t>
      </w:r>
      <w:r>
        <w:rPr>
          <w:rFonts w:ascii="Arial" w:cs="Arial" w:eastAsia="Arial" w:hAnsi="Arial"/>
          <w:sz w:val="16"/>
          <w:szCs w:val="16"/>
          <w:u w:val="single" w:color="auto"/>
          <w:color w:val="auto"/>
        </w:rPr>
        <w:t>Gates Entities</w:t>
      </w:r>
      <w:r>
        <w:rPr>
          <w:rFonts w:ascii="Arial" w:cs="Arial" w:eastAsia="Arial" w:hAnsi="Arial"/>
          <w:sz w:val="16"/>
          <w:szCs w:val="16"/>
          <w:color w:val="auto"/>
        </w:rPr>
        <w:t>”) becomes the “beneficial owner”, directly or indirectly, of Voting Securities of the Borrower sufficient to cause the aggregate “beneficial ownership” of Voting Securities of the Borrower by all of the Gates Entities to exceed 49% of the Voting Securities of the Borrower on a fully-diluted basis (and taking into account all such securities that the Gates Entities have the right to acquire pursuant to any option right); or</w:t>
      </w:r>
    </w:p>
    <w:p>
      <w:pPr>
        <w:spacing w:after="0" w:line="65" w:lineRule="exact"/>
        <w:rPr>
          <w:rFonts w:ascii="Arial" w:cs="Arial" w:eastAsia="Arial" w:hAnsi="Arial"/>
          <w:sz w:val="16"/>
          <w:szCs w:val="16"/>
          <w:color w:val="auto"/>
        </w:rPr>
      </w:pPr>
    </w:p>
    <w:p>
      <w:pPr>
        <w:ind w:left="440" w:right="40" w:firstLine="419"/>
        <w:spacing w:after="0" w:line="273" w:lineRule="auto"/>
        <w:tabs>
          <w:tab w:leader="none" w:pos="12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(a) make Committed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(b) purchase participations in L/C Obligations, and (c) purchase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6" w:name="page37"/>
    <w:bookmarkEnd w:id="36"/>
    <w:p>
      <w:pPr>
        <w:ind w:left="4"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w:t>
      </w:r>
    </w:p>
    <w:p>
      <w:pPr>
        <w:spacing w:after="0" w:line="184"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a borrowing consisting of simultaneous Committed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means a notice of (a) a Committed Borrowing, (b) a conversion of Committed Loans from one Type to the other, or</w:t>
      </w:r>
    </w:p>
    <w:p>
      <w:pPr>
        <w:spacing w:after="0" w:line="35" w:lineRule="exact"/>
        <w:rPr>
          <w:sz w:val="20"/>
          <w:szCs w:val="20"/>
          <w:color w:val="auto"/>
        </w:rPr>
      </w:pPr>
    </w:p>
    <w:p>
      <w:pPr>
        <w:ind w:left="4" w:right="20" w:hanging="4"/>
        <w:spacing w:after="0" w:line="255"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Period</w:t>
      </w:r>
      <w:r>
        <w:rPr>
          <w:rFonts w:ascii="Arial" w:cs="Arial" w:eastAsia="Arial" w:hAnsi="Arial"/>
          <w:sz w:val="18"/>
          <w:szCs w:val="18"/>
          <w:color w:val="auto"/>
        </w:rPr>
        <w:t>” means any period of four consecutive fiscal quarters ending on the last day of a fiscal quarter.</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the Borrower and its Subsidiaries for any Computation Period, the sum of, without duplication,</w:t>
      </w:r>
    </w:p>
    <w:p>
      <w:pPr>
        <w:spacing w:after="0" w:line="46" w:lineRule="exact"/>
        <w:rPr>
          <w:sz w:val="20"/>
          <w:szCs w:val="20"/>
          <w:color w:val="auto"/>
        </w:rPr>
      </w:pPr>
    </w:p>
    <w:p>
      <w:pPr>
        <w:ind w:left="4" w:hanging="4"/>
        <w:spacing w:after="0" w:line="281"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Consolidated Net Income during such Computation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following, in each case to the extent deducted in computing Consolidated Net Income during such Computation Period: (i) Consolidated Interest Expense; (ii) taxes on income; (iii) depreciation, amortization and depletion;</w:t>
      </w:r>
    </w:p>
    <w:p>
      <w:pPr>
        <w:spacing w:after="0" w:line="1" w:lineRule="exact"/>
        <w:rPr>
          <w:rFonts w:ascii="Arial" w:cs="Arial" w:eastAsia="Arial" w:hAnsi="Arial"/>
          <w:sz w:val="16"/>
          <w:szCs w:val="16"/>
          <w:color w:val="auto"/>
        </w:rPr>
      </w:pPr>
    </w:p>
    <w:p>
      <w:pPr>
        <w:ind w:left="4" w:right="8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(iv) accretion; (v) loss on extinguishment of Indebtedness, (vi) non-cash charges incurred with respect to Borrower’s withdrawal liabilities disclosed on </w:t>
      </w:r>
      <w:r>
        <w:rPr>
          <w:rFonts w:ascii="Arial" w:cs="Arial" w:eastAsia="Arial" w:hAnsi="Arial"/>
          <w:sz w:val="16"/>
          <w:szCs w:val="16"/>
          <w:u w:val="single" w:color="auto"/>
          <w:color w:val="auto"/>
        </w:rPr>
        <w:t>Schedule 5.07</w:t>
      </w:r>
      <w:r>
        <w:rPr>
          <w:rFonts w:ascii="Arial" w:cs="Arial" w:eastAsia="Arial" w:hAnsi="Arial"/>
          <w:sz w:val="16"/>
          <w:szCs w:val="16"/>
          <w:color w:val="auto"/>
        </w:rPr>
        <w:t xml:space="preserve"> and (vii) non-cash write-downs or write-offs of assets, including non-cash losses on the sale of assets outside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any Acquisition has been consummated during a Computation Period, Consolidated EBITDA shall be computed on a pro forma basis in accordance with Article 11 of Regulation S-X of the SEC or in a manner otherwise approved by the Administrative Agent for the purposes of determining the Total Debt to EBITDA Ratio;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any Computation Period in which pro forma adjustments are made in accordance with the foregoing proviso, the Borrower’s Chief Financial Officer (or other approved Responsible Officer) will, at the time that it submits each applicable Compliance Certificate, include documentation (including calculations) in form and detail satisfactory to the Administrative Agent as to the historical operating results and adjustments included in such Computation Period.</w:t>
      </w:r>
    </w:p>
    <w:p>
      <w:pPr>
        <w:spacing w:after="0" w:line="170"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in respect of any Computation Period the ratio of (a) Consolidated EBITDA for such Computation Period to (b) Consolidated Interest Expense for such Computation Period.</w:t>
      </w:r>
    </w:p>
    <w:p>
      <w:pPr>
        <w:spacing w:after="0" w:line="170"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Computation Period, the gross interest expense of the Borrower and its Subsidiaries, including, (i) the amortization of debt discounts, (ii) the amortization of all fees payable in connection with the incurrence of Indebtedness to the extent included in interest expense, (iii) the portion of any liabilities incurred in connection with Capital Leases allocable to interest expense and (iv) consolidated yield or discount accrued on the aggregate outstanding investment</w:t>
      </w:r>
    </w:p>
    <w:p>
      <w:pPr>
        <w:spacing w:after="0" w:line="119"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claim held by purchasers, assignees or other transferees of (or of interests in) receivables of the Borrower and its Subsidiaries in connection with any Securitization Transaction (regardless of the accounting treatment of such Securitization Transaction).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Computation Period, the gross revenues from operations of the Borrower and its Subsidiaries, less all operating and non-operating expenses of the Borrower and its Subsidiaries, including taxes on income but excluding all non-cash, non-recurring charges and all extraordinary gains or losses.</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the consolidated total assets of the Borrower and its Subsidiaries but excluding goodwill, franchises, licenses, patents, trademarks, trade names, copyrights and any other intangible assets.</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Contingent Obligation</w:t>
      </w:r>
      <w:r>
        <w:rPr>
          <w:rFonts w:ascii="Arial" w:cs="Arial" w:eastAsia="Arial" w:hAnsi="Arial"/>
          <w:sz w:val="16"/>
          <w:szCs w:val="16"/>
          <w:color w:val="auto"/>
        </w:rPr>
        <w:t>” means, as to any Person, any direct or indirect liability of such Person, whether or not contingent, (a) with respect to any Indebtedness, lease, dividend, letter of credit or other obligation (the “primary obligations”) of another Person (the “primary obligor”), including any obligation of such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6"/>
          <w:szCs w:val="16"/>
          <w:u w:val="single" w:color="auto"/>
          <w:color w:val="auto"/>
        </w:rPr>
        <w:t>Guaranty Obligation</w:t>
      </w:r>
      <w:r>
        <w:rPr>
          <w:rFonts w:ascii="Arial" w:cs="Arial" w:eastAsia="Arial" w:hAnsi="Arial"/>
          <w:sz w:val="16"/>
          <w:szCs w:val="16"/>
          <w:color w:val="auto"/>
        </w:rPr>
        <w:t>”); (b) with respect to any Surety Instrument issued for the account of such Person or as to which such Person is otherwise liable for reimbursement of drawings or payments; or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The amount of any Contingent Obligation shall (a) in the case of Guaranty Obligations, be deemed equal to the stated or determinable amount of the primary obligation in respect of which such Guaranty Obligation is made (subject to any limitation set forth in such guaranty) or, if not stated or if indeterminable, the maximum reasonably anticipated liability in respect thereof, and (b) in the case of other Contingent Obligations, be equal to the maximum reasonably anticipated liability in respect thereof.</w:t>
      </w:r>
    </w:p>
    <w:p>
      <w:pPr>
        <w:spacing w:after="0" w:line="16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8" w:name="page39"/>
    <w:bookmarkEnd w:id="38"/>
    <w:p>
      <w:pPr>
        <w:ind w:left="4"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p>
    <w:p>
      <w:pPr>
        <w:spacing w:after="0" w:line="46" w:lineRule="exact"/>
        <w:rPr>
          <w:sz w:val="20"/>
          <w:szCs w:val="20"/>
          <w:color w:val="auto"/>
        </w:rPr>
      </w:pPr>
    </w:p>
    <w:p>
      <w:pPr>
        <w:ind w:left="4" w:hanging="4"/>
        <w:spacing w:after="0" w:line="277"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Eurodollar Rate Loan, the Default Rate shall be an interest rate equal to the interest rate (including any Applicable Rate) otherwise applicable to such Loan plus 2% per annum, and (b) when used with respect to Letter of Credit Fees, a rate equal to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pacing w:after="0" w:line="173"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any Lender that (a) has failed to (i) fund all or any portion of its Loans within three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three Business Days of the date when due, (b) has notified the Borrower, the Administrative Agent, any L/C Issuer, the Swing Line Lender or any Lender in writing that it does not intend to comply with its funding obligations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 (d) has, or has a direct or indirect parent company that has,</w:t>
      </w:r>
    </w:p>
    <w:p>
      <w:pPr>
        <w:spacing w:after="0" w:line="2" w:lineRule="exact"/>
        <w:rPr>
          <w:sz w:val="20"/>
          <w:szCs w:val="20"/>
          <w:color w:val="auto"/>
        </w:rPr>
      </w:pPr>
    </w:p>
    <w:p>
      <w:pPr>
        <w:ind w:left="4" w:right="20" w:hanging="4"/>
        <w:spacing w:after="0" w:line="285" w:lineRule="auto"/>
        <w:tabs>
          <w:tab w:leader="none" w:pos="21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each L/C Issuer, the Swing Line Lender and each Lender promptly following such determination.</w:t>
      </w:r>
    </w:p>
    <w:p>
      <w:pPr>
        <w:spacing w:after="0" w:line="174"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region or territory to the extent that such country, region or territory itself is the subject of any Sanction.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w:t>
      </w:r>
      <w:r>
        <w:rPr>
          <w:rFonts w:ascii="Arial" w:cs="Arial" w:eastAsia="Arial" w:hAnsi="Arial"/>
          <w:sz w:val="18"/>
          <w:szCs w:val="18"/>
          <w:color w:val="auto"/>
        </w:rPr>
        <w:t xml:space="preserve">” means each Person described on </w:t>
      </w:r>
      <w:r>
        <w:rPr>
          <w:rFonts w:ascii="Arial" w:cs="Arial" w:eastAsia="Arial" w:hAnsi="Arial"/>
          <w:sz w:val="18"/>
          <w:szCs w:val="18"/>
          <w:u w:val="single" w:color="auto"/>
          <w:color w:val="auto"/>
        </w:rPr>
        <w:t>Schedule 1.01(d)</w:t>
      </w:r>
      <w:r>
        <w:rPr>
          <w:rFonts w:ascii="Arial" w:cs="Arial" w:eastAsia="Arial" w:hAnsi="Arial"/>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Dividing Person” has the meaning assigned to it in the definition of “Division.”</w:t>
      </w:r>
    </w:p>
    <w:p>
      <w:pPr>
        <w:spacing w:after="0" w:line="225" w:lineRule="exact"/>
        <w:rPr>
          <w:sz w:val="20"/>
          <w:szCs w:val="20"/>
          <w:color w:val="auto"/>
        </w:rPr>
      </w:pPr>
    </w:p>
    <w:p>
      <w:pPr>
        <w:jc w:val="both"/>
        <w:ind w:right="600" w:firstLine="440"/>
        <w:spacing w:after="0" w:line="263" w:lineRule="auto"/>
        <w:rPr>
          <w:sz w:val="20"/>
          <w:szCs w:val="20"/>
          <w:color w:val="auto"/>
        </w:rPr>
      </w:pPr>
      <w:r>
        <w:rPr>
          <w:rFonts w:ascii="Arial" w:cs="Arial" w:eastAsia="Arial" w:hAnsi="Arial"/>
          <w:sz w:val="18"/>
          <w:szCs w:val="18"/>
          <w:u w:val="single" w:color="auto"/>
          <w:color w:val="0000E1"/>
        </w:rPr>
        <w:t>“ 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-551180</wp:posOffset>
            </wp:positionV>
            <wp:extent cx="37115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115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6300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836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885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 Amount</w:t>
      </w:r>
      <w:r>
        <w:rPr>
          <w:rFonts w:ascii="Arial" w:cs="Arial" w:eastAsia="Arial" w:hAnsi="Arial"/>
          <w:sz w:val="17"/>
          <w:szCs w:val="17"/>
          <w:color w:val="auto"/>
        </w:rPr>
        <w:t>” means (a) with respect to any amount denominated in Dollars, such amount, and (b) with respect to a Canadian Dollar amount, the equivalent amount thereof in Dollars as determined by the L/C Issuer, as the case may be, at such time on the basis of the Exchange Rate (determined in respect of the most recent Valuation Date) for the purchase of Dollars with Canadian Dollars.</w:t>
      </w:r>
    </w:p>
    <w:p>
      <w:pPr>
        <w:spacing w:after="0" w:line="16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 (for the avoidance of doubt, excluding Puerto Rico).</w:t>
      </w:r>
    </w:p>
    <w:p>
      <w:pPr>
        <w:spacing w:after="0" w:line="170"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23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all written claims, however asserted, by any Governmental Authority or other Person alleging potential liability or responsibility for violation of any Environmental Law, or for release or injury to the environment.</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other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40" w:name="page41"/>
    <w:bookmarkEnd w:id="40"/>
    <w:p>
      <w:pPr>
        <w:ind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substantial cessation of operations which are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under Section 4041(c) of ERISA, the termination of a Multiemployer Plan under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(f) the imposition of any liability under Title IV of ERISA, other than PBGC premiums due but not delinquent under Section 4007 of ERISA, upon the Borrower or any ERISA Affiliate or (g) the determination that any Pension Plan is considered an at-risk plan or a plan in endangered or critical status within the meaning of Sections 430, 431 and 432 of the Code or Sections 303, 304 and 305 of ERISA.</w:t>
      </w:r>
    </w:p>
    <w:p>
      <w:pPr>
        <w:spacing w:after="0" w:line="16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has the meaning specified in the definition of Eurodollar Rate.</w:t>
      </w:r>
    </w:p>
    <w:p>
      <w:pPr>
        <w:spacing w:after="0" w:line="225"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means (a) for any Interest Period with respect to a Eurodollar Rate Loan and (b) for any Base Rate Loan bearing interest at a rate based on the Eurodollar Rate, a rate per annum determined by the Administrative Agent pursuant to the following formula:</w:t>
      </w:r>
    </w:p>
    <w:p>
      <w:pPr>
        <w:spacing w:after="0" w:line="10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Eurodollar Base Rate</w:t>
      </w:r>
    </w:p>
    <w:p>
      <w:pPr>
        <w:ind w:left="2220"/>
        <w:spacing w:after="0" w:line="195" w:lineRule="auto"/>
        <w:rPr>
          <w:sz w:val="20"/>
          <w:szCs w:val="20"/>
          <w:color w:val="auto"/>
        </w:rPr>
      </w:pPr>
      <w:r>
        <w:rPr>
          <w:rFonts w:ascii="Arial" w:cs="Arial" w:eastAsia="Arial" w:hAnsi="Arial"/>
          <w:sz w:val="13"/>
          <w:szCs w:val="13"/>
          <w:color w:val="auto"/>
        </w:rPr>
        <w:t>Eurodollar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-17780</wp:posOffset>
            </wp:positionV>
            <wp:extent cx="32829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color w:val="auto"/>
        </w:rPr>
        <w:t>1.00 – Eurodollar Reserve Percentage</w:t>
      </w:r>
    </w:p>
    <w:p>
      <w:pPr>
        <w:spacing w:after="0" w:line="14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41" w:name="page42"/>
    <w:bookmarkEnd w:id="41"/>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w:t>
      </w:r>
    </w:p>
    <w:p>
      <w:pPr>
        <w:spacing w:after="0" w:line="117" w:lineRule="exact"/>
        <w:rPr>
          <w:sz w:val="20"/>
          <w:szCs w:val="20"/>
          <w:color w:val="auto"/>
        </w:rPr>
      </w:pPr>
    </w:p>
    <w:p>
      <w:pPr>
        <w:ind w:left="440" w:firstLine="419"/>
        <w:spacing w:after="0" w:line="293" w:lineRule="auto"/>
        <w:tabs>
          <w:tab w:leader="none" w:pos="1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for any Interest Period with respect to a Eurodollar Rate Loan, the rate per annum equal to the London Interbank Offered Rate </w:t>
      </w:r>
      <w:r>
        <w:rPr>
          <w:rFonts w:ascii="Arial" w:cs="Arial" w:eastAsia="Arial" w:hAnsi="Arial"/>
          <w:sz w:val="16"/>
          <w:szCs w:val="16"/>
          <w:color w:val="0000E1"/>
        </w:rPr>
        <w:t>as</w:t>
      </w:r>
      <w:r>
        <w:rPr>
          <w:rFonts w:ascii="Arial" w:cs="Arial" w:eastAsia="Arial" w:hAnsi="Arial"/>
          <w:sz w:val="16"/>
          <w:szCs w:val="16"/>
          <w:color w:val="auto"/>
        </w:rPr>
        <w:t xml:space="preserve"> </w:t>
      </w:r>
      <w:r>
        <w:rPr>
          <w:rFonts w:ascii="Arial" w:cs="Arial" w:eastAsia="Arial" w:hAnsi="Arial"/>
          <w:sz w:val="16"/>
          <w:szCs w:val="16"/>
          <w:u w:val="single" w:color="auto"/>
          <w:color w:val="0000E1"/>
        </w:rPr>
        <w:t>administered by ICE Benchmark Administration (or any other Person that takes over the administration of such rate for U.S. Dollars for a period equal in length to such Interest Period)</w:t>
      </w:r>
      <w:r>
        <w:rPr>
          <w:rFonts w:ascii="Arial" w:cs="Arial" w:eastAsia="Arial" w:hAnsi="Arial"/>
          <w:sz w:val="16"/>
          <w:szCs w:val="16"/>
          <w:color w:val="0000E1"/>
        </w:rPr>
        <w:t xml:space="preserve"> </w:t>
      </w:r>
      <w:r>
        <w:rPr>
          <w:rFonts w:ascii="Arial" w:cs="Arial" w:eastAsia="Arial" w:hAnsi="Arial"/>
          <w:sz w:val="16"/>
          <w:szCs w:val="16"/>
          <w:color w:val="000000"/>
        </w:rPr>
        <w:t>(“</w:t>
      </w:r>
      <w:r>
        <w:rPr>
          <w:rFonts w:ascii="Arial" w:cs="Arial" w:eastAsia="Arial" w:hAnsi="Arial"/>
          <w:sz w:val="16"/>
          <w:szCs w:val="16"/>
          <w:u w:val="single" w:color="auto"/>
          <w:color w:val="000000"/>
        </w:rPr>
        <w:t>LIBOR</w:t>
      </w:r>
      <w:r>
        <w:rPr>
          <w:rFonts w:ascii="Arial" w:cs="Arial" w:eastAsia="Arial" w:hAnsi="Arial"/>
          <w:sz w:val="16"/>
          <w:szCs w:val="16"/>
          <w:color w:val="000000"/>
        </w:rPr>
        <w:t>”) or a comparable or successor rate, which rate is approved by the Administrative Agent, as</w:t>
      </w:r>
      <w:r>
        <w:rPr>
          <w:rFonts w:ascii="Arial" w:cs="Arial" w:eastAsia="Arial" w:hAnsi="Arial"/>
          <w:sz w:val="16"/>
          <w:szCs w:val="16"/>
          <w:color w:val="0000E1"/>
        </w:rPr>
        <w:t xml:space="preserve"> </w:t>
      </w:r>
      <w:r>
        <w:rPr>
          <w:rFonts w:ascii="Arial" w:cs="Arial" w:eastAsia="Arial" w:hAnsi="Arial"/>
          <w:sz w:val="16"/>
          <w:szCs w:val="16"/>
          <w:color w:val="000000"/>
        </w:rPr>
        <w:t>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56" w:lineRule="exact"/>
        <w:rPr>
          <w:rFonts w:ascii="Arial" w:cs="Arial" w:eastAsia="Arial" w:hAnsi="Arial"/>
          <w:sz w:val="16"/>
          <w:szCs w:val="16"/>
          <w:color w:val="auto"/>
        </w:rPr>
      </w:pPr>
    </w:p>
    <w:p>
      <w:pPr>
        <w:ind w:left="440" w:right="120" w:firstLine="419"/>
        <w:spacing w:after="0" w:line="342" w:lineRule="auto"/>
        <w:tabs>
          <w:tab w:leader="none" w:pos="12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for any interest calculation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Base Rate, the rate per annum equal to LIBOR, at or about 11:00 a.m., London time determined two Business Days prior to such date for Dollar deposits with a term of one month commencing that day; and</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Eurodollar Base Rate shall be 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-1210310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6552565</wp:posOffset>
            </wp:positionH>
            <wp:positionV relativeFrom="paragraph">
              <wp:posOffset>-1244600</wp:posOffset>
            </wp:positionV>
            <wp:extent cx="1238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-1073150</wp:posOffset>
            </wp:positionV>
            <wp:extent cx="6609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-935990</wp:posOffset>
            </wp:positionV>
            <wp:extent cx="17659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97" w:lineRule="exact"/>
        <w:rPr>
          <w:sz w:val="20"/>
          <w:szCs w:val="20"/>
          <w:color w:val="auto"/>
        </w:rPr>
      </w:pPr>
    </w:p>
    <w:p>
      <w:pPr>
        <w:ind w:left="440" w:right="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such market practice is not administratively feasible for the Administrative Agent, such approved rate shall be applied in a manner as otherwise reasonably determined by the Administrative Agent.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84" w:lineRule="exact"/>
        <w:rPr>
          <w:sz w:val="20"/>
          <w:szCs w:val="20"/>
          <w:color w:val="auto"/>
        </w:rPr>
      </w:pPr>
    </w:p>
    <w:p>
      <w:pPr>
        <w:ind w:left="440" w:right="100" w:firstLine="42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Eurodollar funding (currently referred to as “Eurodollar liabilities”). The Eurodollar Rate for each outstanding Eurodollar Rate Loan shall be adjusted automatically as of the effective date of any change in the Eurodollar Reserve Percentage.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 Loan</w:t>
      </w:r>
      <w:r>
        <w:rPr>
          <w:rFonts w:ascii="Arial" w:cs="Arial" w:eastAsia="Arial" w:hAnsi="Arial"/>
          <w:sz w:val="17"/>
          <w:szCs w:val="17"/>
          <w:color w:val="auto"/>
        </w:rPr>
        <w:t xml:space="preserve">” means a Committed Loan that bears interest at a rate based on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Eurodollar Rate.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the Spot Rate of Exchange.</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each Subsidiary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and each other Subsidiary that is approved from time to time as an Excluded Subsidiary by the Administrative Agent.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3.01(a)(ii), (a)(iii)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(d) any U.S. federal withholding Taxes imposed pursuant to FATCA.</w:t>
      </w:r>
    </w:p>
    <w:p>
      <w:pPr>
        <w:spacing w:after="0" w:line="181"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collectively, (a) that certain Second Amended and Restated Credit Agreement, dated as of May 2, 2016, among the Borrower, the lenders from time to time party thereto and the Administrative Agent, and (b) that certain Credit Agreement, dated as of June 30, 2014, among the Borrower, the lenders from time to time party thereto and the Administrative Agent, in each case as amended.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xml:space="preserve">” means those standby letters of credit existing on the Effective Date and set forth on </w:t>
      </w:r>
      <w:r>
        <w:rPr>
          <w:rFonts w:ascii="Arial" w:cs="Arial" w:eastAsia="Arial" w:hAnsi="Arial"/>
          <w:sz w:val="16"/>
          <w:szCs w:val="16"/>
          <w:u w:val="single" w:color="auto"/>
          <w:color w:val="auto"/>
        </w:rPr>
        <w:t>Schedule 2.03</w:t>
      </w:r>
      <w:r>
        <w:rPr>
          <w:rFonts w:ascii="Arial" w:cs="Arial" w:eastAsia="Arial" w:hAnsi="Arial"/>
          <w:sz w:val="16"/>
          <w:szCs w:val="16"/>
          <w:color w:val="auto"/>
        </w:rPr>
        <w:t xml:space="preserve"> attached hereto.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4"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w:t>
      </w:r>
      <w:r>
        <w:rPr>
          <w:rFonts w:ascii="Arial" w:cs="Arial" w:eastAsia="Arial" w:hAnsi="Arial"/>
          <w:sz w:val="16"/>
          <w:szCs w:val="16"/>
          <w:color w:val="FF0000"/>
          <w:strike w:val="1"/>
        </w:rPr>
        <w:t>equal to</w:t>
      </w:r>
      <w:r>
        <w:rPr>
          <w:rFonts w:ascii="Arial" w:cs="Arial" w:eastAsia="Arial" w:hAnsi="Arial"/>
          <w:sz w:val="16"/>
          <w:szCs w:val="16"/>
          <w:u w:val="single" w:color="auto"/>
          <w:color w:val="0000E1"/>
        </w:rPr>
        <w:t>calculated by</w:t>
      </w:r>
      <w:r>
        <w:rPr>
          <w:rFonts w:ascii="Arial" w:cs="Arial" w:eastAsia="Arial" w:hAnsi="Arial"/>
          <w:sz w:val="16"/>
          <w:szCs w:val="16"/>
          <w:color w:val="auto"/>
        </w:rPr>
        <w:t xml:space="preserve"> the </w:t>
      </w:r>
      <w:r>
        <w:rPr>
          <w:rFonts w:ascii="Arial" w:cs="Arial" w:eastAsia="Arial" w:hAnsi="Arial"/>
          <w:sz w:val="16"/>
          <w:szCs w:val="16"/>
          <w:color w:val="FF0000"/>
          <w:strike w:val="1"/>
        </w:rPr>
        <w:t>weighted average of the rates on overnight Federal</w:t>
      </w:r>
      <w:r>
        <w:rPr>
          <w:rFonts w:ascii="Arial" w:cs="Arial" w:eastAsia="Arial" w:hAnsi="Arial"/>
          <w:sz w:val="16"/>
          <w:szCs w:val="16"/>
          <w:u w:val="single" w:color="auto"/>
          <w:color w:val="0000E1"/>
        </w:rPr>
        <w:t>Federal</w:t>
      </w:r>
      <w:r>
        <w:rPr>
          <w:rFonts w:ascii="Arial" w:cs="Arial" w:eastAsia="Arial" w:hAnsi="Arial"/>
          <w:sz w:val="16"/>
          <w:szCs w:val="16"/>
          <w:color w:val="auto"/>
        </w:rPr>
        <w:t xml:space="preserve"> </w:t>
      </w:r>
      <w:r>
        <w:rPr>
          <w:rFonts w:ascii="Arial" w:cs="Arial" w:eastAsia="Arial" w:hAnsi="Arial"/>
          <w:sz w:val="16"/>
          <w:szCs w:val="16"/>
          <w:u w:val="single" w:color="auto"/>
          <w:color w:val="0000E1"/>
        </w:rPr>
        <w:t>Reserve Bank of New York based on such day’s federal</w:t>
      </w:r>
      <w:r>
        <w:rPr>
          <w:rFonts w:ascii="Arial" w:cs="Arial" w:eastAsia="Arial" w:hAnsi="Arial"/>
          <w:sz w:val="16"/>
          <w:szCs w:val="16"/>
          <w:color w:val="0000E1"/>
        </w:rPr>
        <w:t xml:space="preserve"> </w:t>
      </w:r>
      <w:r>
        <w:rPr>
          <w:rFonts w:ascii="Arial" w:cs="Arial" w:eastAsia="Arial" w:hAnsi="Arial"/>
          <w:sz w:val="16"/>
          <w:szCs w:val="16"/>
          <w:color w:val="000000"/>
        </w:rPr>
        <w:t>funds transactions</w:t>
      </w:r>
      <w:r>
        <w:rPr>
          <w:rFonts w:ascii="Arial" w:cs="Arial" w:eastAsia="Arial" w:hAnsi="Arial"/>
          <w:sz w:val="16"/>
          <w:szCs w:val="16"/>
          <w:color w:val="0000E1"/>
        </w:rPr>
        <w:t xml:space="preserve"> </w:t>
      </w:r>
      <w:r>
        <w:rPr>
          <w:rFonts w:ascii="Arial" w:cs="Arial" w:eastAsia="Arial" w:hAnsi="Arial"/>
          <w:sz w:val="16"/>
          <w:szCs w:val="16"/>
          <w:color w:val="FF0000"/>
          <w:strike w:val="1"/>
        </w:rPr>
        <w:t>with members of</w:t>
      </w:r>
      <w:r>
        <w:rPr>
          <w:rFonts w:ascii="Arial" w:cs="Arial" w:eastAsia="Arial" w:hAnsi="Arial"/>
          <w:sz w:val="16"/>
          <w:szCs w:val="16"/>
          <w:u w:val="single" w:color="auto"/>
          <w:color w:val="0000E1"/>
        </w:rPr>
        <w:t>by depository institutions (as determined in such manner as</w:t>
      </w:r>
      <w:r>
        <w:rPr>
          <w:rFonts w:ascii="Arial" w:cs="Arial" w:eastAsia="Arial" w:hAnsi="Arial"/>
          <w:sz w:val="16"/>
          <w:szCs w:val="16"/>
          <w:color w:val="0000E1"/>
        </w:rPr>
        <w:t xml:space="preserve"> </w:t>
      </w:r>
      <w:r>
        <w:rPr>
          <w:rFonts w:ascii="Arial" w:cs="Arial" w:eastAsia="Arial" w:hAnsi="Arial"/>
          <w:sz w:val="16"/>
          <w:szCs w:val="16"/>
          <w:color w:val="000000"/>
        </w:rPr>
        <w:t xml:space="preserve">the Federal Reserve </w:t>
      </w:r>
      <w:r>
        <w:rPr>
          <w:rFonts w:ascii="Arial" w:cs="Arial" w:eastAsia="Arial" w:hAnsi="Arial"/>
          <w:sz w:val="16"/>
          <w:szCs w:val="16"/>
          <w:color w:val="FF0000"/>
          <w:strike w:val="1"/>
        </w:rPr>
        <w:t>System, as</w:t>
      </w:r>
      <w:r>
        <w:rPr>
          <w:rFonts w:ascii="Arial" w:cs="Arial" w:eastAsia="Arial" w:hAnsi="Arial"/>
          <w:sz w:val="16"/>
          <w:szCs w:val="16"/>
          <w:u w:val="single" w:color="auto"/>
          <w:color w:val="0000E1"/>
        </w:rPr>
        <w:t>Bank of New York shall set forth on its public website from time to time) and</w:t>
      </w:r>
      <w:r>
        <w:rPr>
          <w:rFonts w:ascii="Arial" w:cs="Arial" w:eastAsia="Arial" w:hAnsi="Arial"/>
          <w:sz w:val="16"/>
          <w:szCs w:val="16"/>
          <w:color w:val="000000"/>
        </w:rPr>
        <w:t xml:space="preserve"> published </w:t>
      </w:r>
      <w:r>
        <w:rPr>
          <w:rFonts w:ascii="Arial" w:cs="Arial" w:eastAsia="Arial" w:hAnsi="Arial"/>
          <w:sz w:val="16"/>
          <w:szCs w:val="16"/>
          <w:color w:val="FF0000"/>
          <w:strike w:val="1"/>
        </w:rPr>
        <w:t>by the Federal Reserve Bank of</w:t>
      </w:r>
      <w:r>
        <w:rPr>
          <w:rFonts w:ascii="Arial" w:cs="Arial" w:eastAsia="Arial" w:hAnsi="Arial"/>
          <w:sz w:val="16"/>
          <w:szCs w:val="16"/>
          <w:color w:val="000000"/>
        </w:rPr>
        <w:t xml:space="preserve"> </w:t>
      </w:r>
      <w:r>
        <w:rPr>
          <w:rFonts w:ascii="Arial" w:cs="Arial" w:eastAsia="Arial" w:hAnsi="Arial"/>
          <w:sz w:val="16"/>
          <w:szCs w:val="16"/>
          <w:color w:val="FF0000"/>
          <w:strike w:val="1"/>
        </w:rPr>
        <w:t>New York</w:t>
      </w:r>
      <w:r>
        <w:rPr>
          <w:rFonts w:ascii="Arial" w:cs="Arial" w:eastAsia="Arial" w:hAnsi="Arial"/>
          <w:sz w:val="16"/>
          <w:szCs w:val="16"/>
          <w:color w:val="FF0000"/>
        </w:rPr>
        <w:t xml:space="preserve"> </w:t>
      </w:r>
      <w:r>
        <w:rPr>
          <w:rFonts w:ascii="Arial" w:cs="Arial" w:eastAsia="Arial" w:hAnsi="Arial"/>
          <w:sz w:val="16"/>
          <w:szCs w:val="16"/>
          <w:color w:val="000000"/>
        </w:rPr>
        <w:t>on the</w:t>
      </w:r>
      <w:r>
        <w:rPr>
          <w:rFonts w:ascii="Arial" w:cs="Arial" w:eastAsia="Arial" w:hAnsi="Arial"/>
          <w:sz w:val="16"/>
          <w:szCs w:val="16"/>
          <w:color w:val="FF0000"/>
        </w:rPr>
        <w:t xml:space="preserve"> </w:t>
      </w:r>
      <w:r>
        <w:rPr>
          <w:rFonts w:ascii="Arial" w:cs="Arial" w:eastAsia="Arial" w:hAnsi="Arial"/>
          <w:sz w:val="16"/>
          <w:szCs w:val="16"/>
          <w:color w:val="FF0000"/>
          <w:strike w:val="1"/>
        </w:rPr>
        <w:t>Business Day</w:t>
      </w:r>
      <w:r>
        <w:rPr>
          <w:rFonts w:ascii="Arial" w:cs="Arial" w:eastAsia="Arial" w:hAnsi="Arial"/>
          <w:sz w:val="16"/>
          <w:szCs w:val="16"/>
          <w:color w:val="FF0000"/>
        </w:rPr>
        <w:t xml:space="preserve"> </w:t>
      </w:r>
      <w:r>
        <w:rPr>
          <w:rFonts w:ascii="Arial" w:cs="Arial" w:eastAsia="Arial" w:hAnsi="Arial"/>
          <w:sz w:val="16"/>
          <w:szCs w:val="16"/>
          <w:color w:val="000000"/>
        </w:rPr>
        <w:t>next succeeding</w:t>
      </w:r>
      <w:r>
        <w:rPr>
          <w:rFonts w:ascii="Arial" w:cs="Arial" w:eastAsia="Arial" w:hAnsi="Arial"/>
          <w:sz w:val="16"/>
          <w:szCs w:val="16"/>
          <w:color w:val="FF0000"/>
        </w:rPr>
        <w:t xml:space="preserve"> </w:t>
      </w:r>
      <w:r>
        <w:rPr>
          <w:rFonts w:ascii="Arial" w:cs="Arial" w:eastAsia="Arial" w:hAnsi="Arial"/>
          <w:sz w:val="16"/>
          <w:szCs w:val="16"/>
          <w:color w:val="FF0000"/>
          <w:strike w:val="1"/>
        </w:rPr>
        <w:t>such day</w:t>
      </w:r>
      <w:r>
        <w:rPr>
          <w:rFonts w:ascii="Arial" w:cs="Arial" w:eastAsia="Arial" w:hAnsi="Arial"/>
          <w:sz w:val="16"/>
          <w:szCs w:val="16"/>
          <w:u w:val="single" w:color="auto"/>
          <w:color w:val="0000E1"/>
        </w:rPr>
        <w:t>Business Day by the Federal Reserve Bank of New York as the federal funds effective rate</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w:t>
      </w:r>
      <w:r>
        <w:rPr>
          <w:rFonts w:ascii="Arial" w:cs="Arial" w:eastAsia="Arial" w:hAnsi="Arial"/>
          <w:sz w:val="16"/>
          <w:szCs w:val="16"/>
          <w:color w:val="FF0000"/>
          <w:strike w:val="1"/>
        </w:rPr>
        <w:t>(a)</w:t>
      </w:r>
      <w:r>
        <w:rPr>
          <w:rFonts w:ascii="Arial" w:cs="Arial" w:eastAsia="Arial" w:hAnsi="Arial"/>
          <w:sz w:val="16"/>
          <w:szCs w:val="16"/>
          <w:color w:val="000000"/>
        </w:rPr>
        <w:t xml:space="preserve"> if </w:t>
      </w:r>
      <w:r>
        <w:rPr>
          <w:rFonts w:ascii="Arial" w:cs="Arial" w:eastAsia="Arial" w:hAnsi="Arial"/>
          <w:sz w:val="16"/>
          <w:szCs w:val="16"/>
          <w:color w:val="FF0000"/>
          <w:strike w:val="1"/>
        </w:rPr>
        <w:t>such day is not a Business Day,</w:t>
      </w:r>
      <w:r>
        <w:rPr>
          <w:rFonts w:ascii="Arial" w:cs="Arial" w:eastAsia="Arial" w:hAnsi="Arial"/>
          <w:sz w:val="16"/>
          <w:szCs w:val="16"/>
          <w:color w:val="000000"/>
        </w:rPr>
        <w:t xml:space="preserve"> the Federal Funds Rate </w:t>
      </w:r>
      <w:r>
        <w:rPr>
          <w:rFonts w:ascii="Arial" w:cs="Arial" w:eastAsia="Arial" w:hAnsi="Arial"/>
          <w:sz w:val="16"/>
          <w:szCs w:val="16"/>
          <w:color w:val="FF0000"/>
          <w:strike w:val="1"/>
        </w:rPr>
        <w:t>for such day shall be such rate on such transactions on the next preceding</w:t>
      </w:r>
      <w:r>
        <w:rPr>
          <w:rFonts w:ascii="Arial" w:cs="Arial" w:eastAsia="Arial" w:hAnsi="Arial"/>
          <w:sz w:val="16"/>
          <w:szCs w:val="16"/>
          <w:color w:val="000000"/>
        </w:rPr>
        <w:t xml:space="preserve"> </w:t>
      </w:r>
      <w:r>
        <w:rPr>
          <w:rFonts w:ascii="Arial" w:cs="Arial" w:eastAsia="Arial" w:hAnsi="Arial"/>
          <w:sz w:val="16"/>
          <w:szCs w:val="16"/>
          <w:color w:val="FF0000"/>
          <w:strike w:val="1"/>
        </w:rPr>
        <w:t>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shall</w:t>
      </w:r>
      <w:r>
        <w:rPr>
          <w:rFonts w:ascii="Arial" w:cs="Arial" w:eastAsia="Arial" w:hAnsi="Arial"/>
          <w:sz w:val="16"/>
          <w:szCs w:val="16"/>
          <w:u w:val="single" w:color="auto"/>
          <w:color w:val="0000E1"/>
          <w:strike w:val="1"/>
        </w:rPr>
        <w:t>as so determined would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be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-1110615</wp:posOffset>
            </wp:positionV>
            <wp:extent cx="6083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-1110615</wp:posOffset>
            </wp:positionV>
            <wp:extent cx="3429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-973455</wp:posOffset>
            </wp:positionV>
            <wp:extent cx="6926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-836295</wp:posOffset>
            </wp:positionV>
            <wp:extent cx="3549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-699135</wp:posOffset>
            </wp:positionV>
            <wp:extent cx="41402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-150495</wp:posOffset>
            </wp:positionV>
            <wp:extent cx="10801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46"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Letters</w:t>
      </w:r>
      <w:r>
        <w:rPr>
          <w:rFonts w:ascii="Arial" w:cs="Arial" w:eastAsia="Arial" w:hAnsi="Arial"/>
          <w:sz w:val="17"/>
          <w:szCs w:val="17"/>
          <w:color w:val="auto"/>
        </w:rPr>
        <w:t xml:space="preserve">” means, collectively, (a) that certain letter agreement, dated May 22, 2018, among the Borrower, the Administrative Agent and </w:t>
      </w:r>
      <w:r>
        <w:rPr>
          <w:rFonts w:ascii="Arial" w:cs="Arial" w:eastAsia="Arial" w:hAnsi="Arial"/>
          <w:sz w:val="17"/>
          <w:szCs w:val="17"/>
          <w:color w:val="FF0000"/>
          <w:strike w:val="1"/>
        </w:rPr>
        <w:t>MLPFS</w:t>
      </w:r>
      <w:r>
        <w:rPr>
          <w:rFonts w:ascii="Arial" w:cs="Arial" w:eastAsia="Arial" w:hAnsi="Arial"/>
          <w:sz w:val="17"/>
          <w:szCs w:val="17"/>
          <w:u w:val="single" w:color="auto"/>
          <w:color w:val="0000E1"/>
        </w:rPr>
        <w:t>BofA Securities, Inc.</w:t>
      </w:r>
      <w:r>
        <w:rPr>
          <w:rFonts w:ascii="Arial" w:cs="Arial" w:eastAsia="Arial" w:hAnsi="Arial"/>
          <w:sz w:val="17"/>
          <w:szCs w:val="17"/>
          <w:color w:val="000000"/>
        </w:rPr>
        <w:t>, and (b) those certain letter agreements between the Borrower and the other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-26035</wp:posOffset>
            </wp:positionV>
            <wp:extent cx="9683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26"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the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43" w:name="page44"/>
    <w:bookmarkEnd w:id="4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Obligation</w:t>
      </w:r>
      <w:r>
        <w:rPr>
          <w:rFonts w:ascii="Arial" w:cs="Arial" w:eastAsia="Arial" w:hAnsi="Arial"/>
          <w:sz w:val="18"/>
          <w:szCs w:val="18"/>
          <w:color w:val="auto"/>
        </w:rPr>
        <w:t>” has the meaning specified in the definition of Contingent Obligation.</w:t>
      </w:r>
    </w:p>
    <w:p>
      <w:pPr>
        <w:spacing w:after="0" w:line="225"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for any Person, without duplication, (a) all indebtedness of such Person for borrowed money; (b) all obligations issued, undertaken or assumed by such Person as the deferred purchase price of property or services (other than trade payables entered into in the ordinary course of business on ordinary terms); (c) all reimbursement or payment obligations of such Person with respect to Surety Instruments; (d) all obligations of such Person evidenced by notes, bonds, debentures or similar instruments; (e) all indebtedness of such Person created or arising under any conditional sale or other title retention agreement, or incurred as financing, in either case with respect to property acquired by such Person (even though the rights and remedies of the seller or lender under such agreement in the event of default are limited to repossession or sale of such property); (f) all obligations of such Person with respect to Capital Leases; (g) Attributable Indebtedness; (h) all indebtedness of the types referred to in </w:t>
      </w:r>
      <w:r>
        <w:rPr>
          <w:rFonts w:ascii="Arial" w:cs="Arial" w:eastAsia="Arial" w:hAnsi="Arial"/>
          <w:sz w:val="16"/>
          <w:szCs w:val="16"/>
          <w:u w:val="single" w:color="auto"/>
          <w:color w:val="auto"/>
        </w:rPr>
        <w:t>clauses</w:t>
      </w:r>
    </w:p>
    <w:p>
      <w:pPr>
        <w:spacing w:after="0" w:line="2" w:lineRule="exact"/>
        <w:rPr>
          <w:sz w:val="20"/>
          <w:szCs w:val="20"/>
          <w:color w:val="auto"/>
        </w:rPr>
      </w:pPr>
    </w:p>
    <w:p>
      <w:pPr>
        <w:jc w:val="both"/>
        <w:ind w:left="4" w:right="40" w:hanging="4"/>
        <w:spacing w:after="0" w:line="253" w:lineRule="auto"/>
        <w:tabs>
          <w:tab w:leader="none" w:pos="249"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provided that the amount of any such Indebtedness shall be deemed to be the lesser of the face principal amount thereof and the fair market value of the property subject to such Lien; and (i) all</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Guaranty Obligations of such Person in respect of Indebtedness of the types described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shall not include obligations arising out of the endorsement of instruments for deposit or collection in the ordinary course of business. For all purposes of this Agreement, the Indebtedness of any Person shall include all Indebtedness of any partnership or joint venture in which such Person is a general partner or a joint venturer (other than any such Indebtedness which is expressly non-recourse to such Person).</w:t>
      </w:r>
    </w:p>
    <w:p>
      <w:pPr>
        <w:spacing w:after="0" w:line="187"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in each case undertaken under any U.S. Federal, state or foreign law, including the Bankruptcy Code.</w:t>
      </w:r>
    </w:p>
    <w:p>
      <w:pPr>
        <w:spacing w:after="0" w:line="188"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Loan other than a Base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first Business Day after the end of each March, June, September and December and the Maturity Date.</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as to each Eurodollar Rate Loan, the period commencing on the date such Eurodollar Rate Loan is disbursed or converted to or continued as a Eurodollar Rate Loan and ending on the date one week (if offered by all Lenders) or one, two, three or six months (or twelve months, if offered by all Lenders) thereafter, as selected by the Borrower in its Committed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sz w:val="20"/>
          <w:szCs w:val="20"/>
          <w:color w:val="auto"/>
        </w:rPr>
      </w:pPr>
    </w:p>
    <w:p>
      <w:pPr>
        <w:ind w:left="440" w:firstLine="419"/>
        <w:spacing w:after="0" w:line="342" w:lineRule="auto"/>
        <w:tabs>
          <w:tab w:leader="none" w:pos="1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w:t>
      </w:r>
    </w:p>
    <w:p>
      <w:pPr>
        <w:spacing w:after="0" w:line="23" w:lineRule="exact"/>
        <w:rPr>
          <w:rFonts w:ascii="Arial" w:cs="Arial" w:eastAsia="Arial" w:hAnsi="Arial"/>
          <w:sz w:val="18"/>
          <w:szCs w:val="18"/>
          <w:color w:val="auto"/>
        </w:rPr>
      </w:pPr>
    </w:p>
    <w:p>
      <w:pPr>
        <w:ind w:left="440" w:right="80"/>
        <w:spacing w:after="0" w:line="260" w:lineRule="auto"/>
        <w:rPr>
          <w:rFonts w:ascii="Arial" w:cs="Arial" w:eastAsia="Arial" w:hAnsi="Arial"/>
          <w:sz w:val="18"/>
          <w:szCs w:val="18"/>
          <w:color w:val="auto"/>
        </w:rPr>
      </w:pPr>
      <w:r>
        <w:rPr>
          <w:rFonts w:ascii="Arial" w:cs="Arial" w:eastAsia="Arial" w:hAnsi="Arial"/>
          <w:sz w:val="18"/>
          <w:szCs w:val="18"/>
          <w:color w:val="auto"/>
        </w:rPr>
        <w:t>corresponding day in the calendar month at the end of such Interest Period) shall end on the last Business Day of the calendar month at the end of such Interest Period; and</w:t>
      </w:r>
    </w:p>
    <w:p>
      <w:pPr>
        <w:spacing w:after="0" w:line="77" w:lineRule="exact"/>
        <w:rPr>
          <w:rFonts w:ascii="Arial" w:cs="Arial" w:eastAsia="Arial" w:hAnsi="Arial"/>
          <w:sz w:val="18"/>
          <w:szCs w:val="18"/>
          <w:color w:val="auto"/>
        </w:rPr>
      </w:pPr>
    </w:p>
    <w:p>
      <w:pPr>
        <w:ind w:left="1240" w:hanging="38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Interest Period shall extend beyond the scheduled Maturity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45" w:name="page46"/>
    <w:bookmarkEnd w:id="45"/>
    <w:p>
      <w:pPr>
        <w:jc w:val="center"/>
        <w:ind w:right="1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instrument entered into by an L/C Issuer and the Borrower (or any Subsidiary) or in favor of such L/C Issuer and relating to any such Letter of Credit.</w:t>
      </w:r>
    </w:p>
    <w:p>
      <w:pPr>
        <w:spacing w:after="0" w:line="234"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regulations, ordinances, codes and administrative or judicial determinations, including the interpretation or administration thereof by any Governmental Authority charged with the enforcement, interpretation or administration thereof, and all administrative orders, licenses and authorizations of any Governmental Authority applicable to Borrower and permits of, and agreements with, any Governmental Authority, applicable to Borrower, any Lender or the Administrative Agent.</w:t>
      </w:r>
    </w:p>
    <w:p>
      <w:pPr>
        <w:spacing w:after="0" w:line="18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Committed Borrowing.</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xml:space="preserve">” means, with respect to any Letter of Credit, the issuance thereof or extension of the expiry date thereof, or the increase of the amount thereof (including any reinstatement pursuant to </w:t>
      </w:r>
      <w:r>
        <w:rPr>
          <w:rFonts w:ascii="Arial" w:cs="Arial" w:eastAsia="Arial" w:hAnsi="Arial"/>
          <w:sz w:val="18"/>
          <w:szCs w:val="18"/>
          <w:u w:val="single" w:color="auto"/>
          <w:color w:val="auto"/>
        </w:rPr>
        <w:t>Section 2.03(b)(iv)</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xml:space="preserve">” means (i) each Lender set forth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for so long as such Lender shall have a Letter of Credit Commitment for the issuance of Letters of Credit by such L/C Issuer under this Agreement, and each L/C Issuer’s Letter of Credit Commitment shall initially be as set forth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(ii) any replacement letter of credit issuer arising under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and (iii) any other Lender or any Affiliate of a Lender which has agreed in a writing (which writing shall set forth the initial Letter of Credit Commitment for all Letters of Credit to be issued by such L/C Issuer under this Agreement, which Letter of Credit Commitment shall automatically be deemed to supplement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 to become an “L/C Issuer” hereunder and has been approved by the Borrower and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Existing Letter of Credit that was issued through an Affiliate of an L/C Issuer, such Letter of Credit shall be deemed for purposes of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to have been issued by such L/C Issuer. All singular references to the L/C Issuer shall mean any L/C Issuer, the L/C Issuer that has issued the applicable Letter of Credit, or all L/C Issuers, as the context may require.</w:t>
      </w:r>
    </w:p>
    <w:p>
      <w:pPr>
        <w:spacing w:after="0" w:line="18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the aggregate of the Dollar amount and, as applicable, the Dollar Equivalent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the Dollar amount and, as applicable, the Dollar Equivalent Amount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w:t>
      </w:r>
      <w:r>
        <w:rPr>
          <w:rFonts w:ascii="Arial" w:cs="Arial" w:eastAsia="Arial" w:hAnsi="Arial"/>
          <w:sz w:val="16"/>
          <w:szCs w:val="16"/>
          <w:u w:val="single" w:color="auto"/>
          <w:color w:val="auto"/>
        </w:rPr>
        <w:t>outstanding</w:t>
      </w:r>
      <w:r>
        <w:rPr>
          <w:rFonts w:ascii="Arial" w:cs="Arial" w:eastAsia="Arial" w:hAnsi="Arial"/>
          <w:sz w:val="16"/>
          <w:szCs w:val="16"/>
          <w:color w:val="auto"/>
        </w:rPr>
        <w:t>” in the amount so remaining available to be drawn.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as the context requires, includes the Swing Line Lender.</w:t>
      </w:r>
    </w:p>
    <w:p>
      <w:pPr>
        <w:spacing w:after="0" w:line="23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00"/>
          </w:cols>
          <w:pgMar w:left="440" w:top="274" w:right="559" w:bottom="1440" w:gutter="0" w:footer="0" w:header="0"/>
        </w:sectPr>
      </w:pPr>
    </w:p>
    <w:bookmarkStart w:id="46" w:name="page47"/>
    <w:bookmarkEnd w:id="46"/>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standby letter of credit issued hereunder (including any Canadian L/C issued pursuant to </w:t>
      </w:r>
      <w:r>
        <w:rPr>
          <w:rFonts w:ascii="Arial" w:cs="Arial" w:eastAsia="Arial" w:hAnsi="Arial"/>
          <w:sz w:val="18"/>
          <w:szCs w:val="18"/>
          <w:u w:val="single" w:color="auto"/>
          <w:color w:val="auto"/>
        </w:rPr>
        <w:t>Section 2.03(a)(iv)</w:t>
      </w:r>
      <w:r>
        <w:rPr>
          <w:rFonts w:ascii="Arial" w:cs="Arial" w:eastAsia="Arial" w:hAnsi="Arial"/>
          <w:sz w:val="18"/>
          <w:szCs w:val="18"/>
          <w:color w:val="auto"/>
        </w:rPr>
        <w:t>) and shall include each Existing Letter of Credit.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xml:space="preserve">” means, as to any L/C Issuer at any time, the amount set forth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(as such schedule may be updated from time to time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otherwise, which update shall be provided to the Administrative Agent for incorporation into such updated </w:t>
      </w:r>
      <w:r>
        <w:rPr>
          <w:rFonts w:ascii="Arial" w:cs="Arial" w:eastAsia="Arial" w:hAnsi="Arial"/>
          <w:sz w:val="18"/>
          <w:szCs w:val="18"/>
          <w:u w:val="single" w:color="auto"/>
          <w:color w:val="auto"/>
        </w:rPr>
        <w:t>Schedule 1.01(c)</w:t>
      </w:r>
      <w:r>
        <w:rPr>
          <w:rFonts w:ascii="Arial" w:cs="Arial" w:eastAsia="Arial" w:hAnsi="Arial"/>
          <w:sz w:val="18"/>
          <w:szCs w:val="18"/>
          <w:color w:val="auto"/>
        </w:rPr>
        <w:t>).</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set forth in the definition of Eurodollar Base Rate.</w:t>
      </w:r>
    </w:p>
    <w:p>
      <w:pPr>
        <w:spacing w:after="0" w:line="225"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6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or other preferential arrangement in the nature of a security interest of any kind or nature whatsoever (including any conditional sale or other title retention agreement, the interest of a lessor under a Capital Lease, and any financing lease having substantially the same economic effect as any of the foregoing, but not including the interest of a lessor under an operating lease).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in Dollars by a Lender to the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 or a Swing Line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w:t>
      </w:r>
      <w:r>
        <w:rPr>
          <w:rFonts w:ascii="Arial" w:cs="Arial" w:eastAsia="Arial" w:hAnsi="Arial"/>
          <w:sz w:val="16"/>
          <w:szCs w:val="16"/>
          <w:color w:val="auto"/>
        </w:rPr>
        <w:t xml:space="preserve">” means each of this Agreement, each Note, each Issuer Document, any agreement creating or perfecting rights in Cash Collateral pursuant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 and the Fee Letters; and “</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two or more of the foregoing.</w:t>
      </w:r>
    </w:p>
    <w:p>
      <w:pPr>
        <w:spacing w:after="0" w:line="12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T, U or X of the FRB.</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change in, or a material adverse effect upon, the operations, business, properties, assets or condition (financial or otherwise) of the Borrower and its Subsidiaries taken as a whole.</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Financial Obligation</w:t>
      </w:r>
      <w:r>
        <w:rPr>
          <w:rFonts w:ascii="Arial" w:cs="Arial" w:eastAsia="Arial" w:hAnsi="Arial"/>
          <w:sz w:val="16"/>
          <w:szCs w:val="16"/>
          <w:color w:val="auto"/>
        </w:rPr>
        <w:t>” means Indebtedness, Attributable Indebtedness, Contingent Obligations and obligations under Swap Contracts of the Borrower or any Subsidiary, and obligations of the Borrower or any Subsidiary in respect of any Securitization Transaction, in an aggregate amount (or, in the case of a Swap Contract, having a Swap Termination Value), for all such Indebtedness, Attributable Indebtedness, Contingent Obligations, obligations under Swap Contracts and obligations in respect of Securitization Transactions, but without duplication, equal to $100,000,000 or more.</w:t>
      </w:r>
    </w:p>
    <w:p>
      <w:pPr>
        <w:spacing w:after="0" w:line="15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as of any date of determination, each direct or indirect Domestic Subsidiary (other than an Excluded Subsidiary) that (a) has total assets (including Equity Interests in other Subsidiaries) equal to or greater than 5% of consolidated total assets of the Borrower and its Subsidiaries (calculated as of the end of the most recent fiscal period for which financial statements are available), or has revenues equal to or greater than 5% of the consolidated total revenues of the Borrower and its Subsidiaries (calculated for the most recent four-fiscal quarter period for which financial statements are available), (b) is designated by the Borrower as a Material Subsidiary, or (c) guarantees any Senior Note Indebtedness.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June 8, 2023, subject to extension (in the case of each Lender consenting thereto) as provided in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23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MLPFS</w:t>
      </w:r>
      <w:r>
        <w:rPr>
          <w:rFonts w:ascii="Arial" w:cs="Arial" w:eastAsia="Arial" w:hAnsi="Arial"/>
          <w:sz w:val="18"/>
          <w:szCs w:val="18"/>
          <w:color w:val="FF0000"/>
          <w:strike w:val="1"/>
        </w:rPr>
        <w:t>” means Merrill Lynch, Pierce, Fenner &amp; Smith Incorporated (or any other registered broker-dealer wholly 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within the meaning of Section 4001(a)(3) of ERISA, with respect to which the Borrower or any ERISA Affiliate (i) may have any liability or (ii) has made or been obligated to contribute to during the preceding five plan years.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2.17(b)</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the Borrower arising under any Loan Document or otherwise with respect to any Loan or Letter of Credit, in each case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48" w:name="page49"/>
    <w:bookmarkEnd w:id="48"/>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 with respect to Committed Loans and Swing Line Loans on any date, the aggregate outstanding principal amount thereof after giving effect to any borrowings and prepayments or repayments of Committed Loans and Swing Line Loans, as the case may be,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Governmental Authority succeeding to any of its principal functions under ERISA.</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 pension plan (as defined in Section 3(2) of ERISA), subject to Title IV of ERISA, other than a Multiemployer Plan, with respect to which the Borrower or any ERISA Affiliate may have any liability.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benefit plan (as defined in Section 3(3) of ERISA), other than a Multiemployer Plan, with respect to which the Borrower or any ERISA Affiliate may have any liability, and includes any Pension Plan.</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Acquisition Date</w:t>
      </w:r>
      <w:r>
        <w:rPr>
          <w:rFonts w:ascii="Arial" w:cs="Arial" w:eastAsia="Arial" w:hAnsi="Arial"/>
          <w:sz w:val="18"/>
          <w:szCs w:val="18"/>
          <w:color w:val="auto"/>
        </w:rPr>
        <w:t>” means, with respect to any Acquired Plan, the first date on which the Borrower or any ERISA Affiliate may have any liability with respect to such Acquired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Indebtedness</w:t>
      </w:r>
      <w:r>
        <w:rPr>
          <w:rFonts w:ascii="Arial" w:cs="Arial" w:eastAsia="Arial" w:hAnsi="Arial"/>
          <w:sz w:val="18"/>
          <w:szCs w:val="18"/>
          <w:color w:val="auto"/>
        </w:rPr>
        <w:t xml:space="preserve">” means, at any time, the sum (determined on a consolidated basis without duplication) of (i) the aggregate outstanding amount of Indebtedness of the Borrower and its Subsidiaries secured by Liens permitted under clause (j) of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of this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Investment or claim held at such time by all purchasers, assignees or other transferees of (or interests in) receivables and other rights to payment in all Securitization Transactions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aggregate outstanding amount of Indebtedness of the Borrower’s Subsidiaries at such time permitted under clause (d) of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the Borrower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Public Accounting Firm</w:t>
      </w:r>
      <w:r>
        <w:rPr>
          <w:rFonts w:ascii="Arial" w:cs="Arial" w:eastAsia="Arial" w:hAnsi="Arial"/>
          <w:sz w:val="18"/>
          <w:szCs w:val="18"/>
          <w:color w:val="auto"/>
        </w:rPr>
        <w:t>” has the meaning specified in the Securities Laws and shall be independent of the Borrower as prescribed in the Securities Laws.</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or the regulations thereunder, other than any such event for which the 30-day notice requirement under ERISA has been waived in regulations issued by the PBGC.</w:t>
      </w:r>
    </w:p>
    <w:p>
      <w:pPr>
        <w:spacing w:after="0" w:line="170"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Republic Indentures</w:t>
      </w:r>
      <w:r>
        <w:rPr>
          <w:rFonts w:ascii="Arial" w:cs="Arial" w:eastAsia="Arial" w:hAnsi="Arial"/>
          <w:sz w:val="16"/>
          <w:szCs w:val="16"/>
          <w:color w:val="auto"/>
        </w:rPr>
        <w:t>” means (i) that certain Indenture dated as of September 8, 2009 between the Borrower and The Bank of New York Mellon Trust Company, N.A., as Trustee, (ii) that certain Indenture dated as of November 25, 2009 between the Borrower and U.S. Bank National Association, as Trustee, and (iii) that certain Indenture dated as of May 21, 2012 between the Borrower and Wells Fargo Bank, National Association, as Trustee, including, in each case, all amendments thereto, supplements thereto and any amendments and restatements or refinancings thereof.</w:t>
      </w:r>
    </w:p>
    <w:p>
      <w:pPr>
        <w:spacing w:after="0" w:line="15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Republic Insurance Entity</w:t>
      </w:r>
      <w:r>
        <w:rPr>
          <w:rFonts w:ascii="Arial" w:cs="Arial" w:eastAsia="Arial" w:hAnsi="Arial"/>
          <w:sz w:val="17"/>
          <w:szCs w:val="17"/>
          <w:color w:val="auto"/>
        </w:rPr>
        <w:t>” means Bon Ambiente Insurance Company, a Cayman Islands exempted company, Republic Services Risk Management, Inc., a Delaware corporation, RSG Cayman Group, Inc., a Delaware corporation, Saguaro National Captive Insurance Company, an Arizona corporation, Global Indemnity Assurance Company, a Vermont insurance company, and each other Subsidiary formed in connection with any captive insurance program that is approved from time to time as a Republic Insurance Entity by the Administrative Agent.</w:t>
      </w:r>
    </w:p>
    <w:p>
      <w:pPr>
        <w:spacing w:after="0" w:line="171"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and the obligation of each L/C Issuer to make L/C Credit Extensions have expired or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50" w:name="page51"/>
    <w:bookmarkEnd w:id="5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otherwise,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8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(statutory or common), treaty, rule or regulation or determination of an arbitrator or of a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E1"/>
        </w:rPr>
        <w:t>“ Resolution Authority” means an EEA Resolution Authority or, with respect to any UK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30480</wp:posOffset>
            </wp:positionV>
            <wp:extent cx="6300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1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the president or any vice president of the Borrower, or any other officer having substantially the same authority and responsibility; or, with respect to financial matters, the chief financial officer, the vice president-finance, vice president - treasury and investor relations, the treasurer or any assistant treasurer of the Borrower, or any other officer having substantially the same authority and responsibility;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the Borrower so designated by any of the foregoing officers in a notice to the Administrative Agent; or, with respect to corporate offices and authority, the secretary or assistant secretary of the Borrower or any other officer having the same authority and responsibility.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65"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Cash</w:t>
      </w:r>
      <w:r>
        <w:rPr>
          <w:rFonts w:ascii="Arial" w:cs="Arial" w:eastAsia="Arial" w:hAnsi="Arial"/>
          <w:sz w:val="16"/>
          <w:szCs w:val="16"/>
          <w:color w:val="auto"/>
        </w:rPr>
        <w:t>” means that amount of cash of the Borrower and its Subsidiaries held by or pledged to trustees for industrial revenue bonds and tax-exempt financings that is included on the balance sheet of the Borrower, at any date of determination, in the line item “Restricted Cash.”</w:t>
      </w:r>
    </w:p>
    <w:p>
      <w:pPr>
        <w:spacing w:after="0" w:line="124"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as to any Person, any dividend or other distribution (whether in cash, securities or other property) with respect to any capital stock or other Equity Interest of such Person,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such Person’s stockholders, partners or members (or the equivalent Person thereof).</w:t>
      </w:r>
    </w:p>
    <w:p>
      <w:pPr>
        <w:spacing w:after="0" w:line="157"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The McGraw-Hill Companies, Inc., and any successor thereto.</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 Oxley</w:t>
      </w:r>
      <w:r>
        <w:rPr>
          <w:rFonts w:ascii="Arial" w:cs="Arial" w:eastAsia="Arial" w:hAnsi="Arial"/>
          <w:sz w:val="18"/>
          <w:szCs w:val="18"/>
          <w:color w:val="auto"/>
        </w:rPr>
        <w:t>” means the Sarbanes Oxley Act of 2002.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the Securities Act of 1933, the Securities Exchange Act of 1934, Sarbanes Oxley and the applicable accounting and auditing principles, rules, standards and practices promulgated, approved or incorporated by the SEC or the Public Company Accounting Oversight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1" w:name="page52"/>
    <w:bookmarkEnd w:id="51"/>
    <w:p>
      <w:pPr>
        <w:ind w:right="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Securitization Subsidiary</w:t>
      </w:r>
      <w:r>
        <w:rPr>
          <w:rFonts w:ascii="Arial" w:cs="Arial" w:eastAsia="Arial" w:hAnsi="Arial"/>
          <w:sz w:val="16"/>
          <w:szCs w:val="16"/>
          <w:color w:val="auto"/>
        </w:rPr>
        <w:t>” means any special purpose, bankruptcy remote Subsidiary of the Borrower that purchases accounts receivable, lease receivables or other payment obligations generated by the Borrower or any of its Subsidiaries in connection with any Securitization Transaction.</w:t>
      </w:r>
    </w:p>
    <w:p>
      <w:pPr>
        <w:spacing w:after="0" w:line="12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means any sale, assignment or other transfer by the Borrower or any Subsidiary of accounts receivable, lease receivables or other payment obligations owing to the Borrower or any Subsidiary or any interest in any of the foregoing, together in each case with any collections and other proceeds thereof, any collection or deposit accounts related thereto, and any collateral, guaranties or other property or claims in favor of the Borrower or such Subsidiary supporting, securing or otherwise relating to any such receivables or other payment obligations.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Indebtedness</w:t>
      </w:r>
      <w:r>
        <w:rPr>
          <w:rFonts w:ascii="Arial" w:cs="Arial" w:eastAsia="Arial" w:hAnsi="Arial"/>
          <w:sz w:val="18"/>
          <w:szCs w:val="18"/>
          <w:color w:val="auto"/>
        </w:rPr>
        <w:t>” means any Indebtedness outstanding under any of the Senior Note Indentures.</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 Indentures</w:t>
      </w:r>
      <w:r>
        <w:rPr>
          <w:rFonts w:ascii="Arial" w:cs="Arial" w:eastAsia="Arial" w:hAnsi="Arial"/>
          <w:sz w:val="17"/>
          <w:szCs w:val="17"/>
          <w:color w:val="auto"/>
        </w:rPr>
        <w:t>” means, collectively, the Republic Indentures, the Browning-Ferris Indenture and any additional Indentures pursuant to which the Borrower or its Subsidiaries from time to time issue any senior notes in accordance with the provisions of this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when used with respect to any Person, that at the time of determination:</w:t>
      </w:r>
    </w:p>
    <w:p>
      <w:pPr>
        <w:spacing w:after="0" w:line="117" w:lineRule="exact"/>
        <w:rPr>
          <w:sz w:val="20"/>
          <w:szCs w:val="20"/>
          <w:color w:val="auto"/>
        </w:rPr>
      </w:pPr>
    </w:p>
    <w:p>
      <w:pPr>
        <w:ind w:left="440" w:firstLine="419"/>
        <w:spacing w:after="0" w:line="277" w:lineRule="auto"/>
        <w:tabs>
          <w:tab w:leader="none" w:pos="12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of its assets (both at fair valuation and at present fair saleable value on an orderly basis) is in excess of the total amount of its liabilities, including Contingent Obligations;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then able and expects to be able to pay its debts as they mature;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has capital sufficient to carry on its business as conducted and as proposed to be conducted.</w:t>
      </w:r>
    </w:p>
    <w:p>
      <w:pPr>
        <w:spacing w:after="0" w:line="225"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 of Exchange</w:t>
      </w:r>
      <w:r>
        <w:rPr>
          <w:rFonts w:ascii="Arial" w:cs="Arial" w:eastAsia="Arial" w:hAnsi="Arial"/>
          <w:sz w:val="16"/>
          <w:szCs w:val="16"/>
          <w:color w:val="auto"/>
        </w:rPr>
        <w:t xml:space="preserve">” for a currency means the rate determined by an L/C Issuer, as applicable, to be the rate quoted by the Person acting in such capacity as the spot rate for the purchase by such Person of Canadian Dollar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L/C Issuer may obtain such spot rate from another financial institution designated by the L/C Issuer if the Person acting in such capacity does not have as of the date of determination a spot buying rate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L/C Issuer may use such spot rate quoted on the date as of which the foreign exchange computation is made in the case of any Letter of Credit denominated in Canadian Dollars.</w:t>
      </w:r>
    </w:p>
    <w:p>
      <w:pPr>
        <w:spacing w:after="0" w:line="164"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Instruments</w:t>
      </w:r>
      <w:r>
        <w:rPr>
          <w:rFonts w:ascii="Arial" w:cs="Arial" w:eastAsia="Arial" w:hAnsi="Arial"/>
          <w:sz w:val="18"/>
          <w:szCs w:val="18"/>
          <w:color w:val="auto"/>
        </w:rPr>
        <w:t>” means all letters of credit (including standby and commercial), banker’s acceptances, bank guaranties, shipside bonds, surety bonds and similar instruments.</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2" w:name="page53"/>
    <w:bookmarkEnd w:id="52"/>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178" w:lineRule="exact"/>
        <w:rPr>
          <w:sz w:val="20"/>
          <w:szCs w:val="20"/>
          <w:color w:val="auto"/>
        </w:rPr>
      </w:pPr>
    </w:p>
    <w:p>
      <w:pPr>
        <w:ind w:left="4" w:right="2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Notice</w:t>
      </w:r>
      <w:r>
        <w:rPr>
          <w:rFonts w:ascii="Arial" w:cs="Arial" w:eastAsia="Arial" w:hAnsi="Arial"/>
          <w:sz w:val="17"/>
          <w:szCs w:val="17"/>
          <w:color w:val="auto"/>
        </w:rPr>
        <w:t xml:space="preserve">” means a notice of a Swing Line Borrowing pursuant to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6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$100,000,000 and (b) the Aggregate Commitments. The Swing Line Sublimit is part of, and not in addition to, the Aggregate Commitments.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left="4" w:right="240" w:hanging="4"/>
        <w:spacing w:after="0" w:line="323" w:lineRule="auto"/>
        <w:tabs>
          <w:tab w:leader="none" w:pos="25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8"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withholdings), assessments, fees or other charges imposed by any Governmental Authority, including any interest, additions to tax or penalties applicable thereto.</w:t>
      </w:r>
    </w:p>
    <w:p>
      <w:pPr>
        <w:spacing w:after="0" w:line="146"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Debt</w:t>
      </w:r>
      <w:r>
        <w:rPr>
          <w:rFonts w:ascii="Arial" w:cs="Arial" w:eastAsia="Arial" w:hAnsi="Arial"/>
          <w:sz w:val="18"/>
          <w:szCs w:val="18"/>
          <w:color w:val="auto"/>
        </w:rPr>
        <w:t>” means, at any time, the sum (determined on a consolidated basis and without duplication) of all Indebtedness of the Borrower and its Subsidiaries, excluding contingent obligations with respect to Surety Instruments (other than any letter of credit issued for the account of the Borrower or any Subsidiary to support Indebtedness of a Person other than the Borrower or any Subsidiary).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53" w:name="page54"/>
    <w:bookmarkEnd w:id="5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Total Debt to EBITDA Ratio</w:t>
      </w:r>
      <w:r>
        <w:rPr>
          <w:rFonts w:ascii="Arial" w:cs="Arial" w:eastAsia="Arial" w:hAnsi="Arial"/>
          <w:sz w:val="18"/>
          <w:szCs w:val="18"/>
          <w:color w:val="auto"/>
        </w:rPr>
        <w:t xml:space="preserve">” means in respect of any Computation Period the ratio of (a) Total Debt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Restricted Cash</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E1"/>
        </w:rPr>
        <w:t>minus any</w:t>
      </w:r>
      <w:r>
        <w:rPr>
          <w:rFonts w:ascii="Arial" w:cs="Arial" w:eastAsia="Arial" w:hAnsi="Arial"/>
          <w:sz w:val="18"/>
          <w:szCs w:val="18"/>
          <w:color w:val="auto"/>
        </w:rPr>
        <w:t xml:space="preserve"> </w:t>
      </w:r>
      <w:r>
        <w:rPr>
          <w:rFonts w:ascii="Arial" w:cs="Arial" w:eastAsia="Arial" w:hAnsi="Arial"/>
          <w:sz w:val="18"/>
          <w:szCs w:val="18"/>
          <w:u w:val="single" w:color="auto"/>
          <w:color w:val="0000E1"/>
        </w:rPr>
        <w:t>outstanding tax-exempt bonds that are included in Total Debt and that are held by the Borrower or a Subsidiary as an Investment included on the balance sheet of the Borrower or a Subsidiary pending the remarketing or repayment thereof, in each case</w:t>
      </w:r>
      <w:r>
        <w:rPr>
          <w:rFonts w:ascii="Arial" w:cs="Arial" w:eastAsia="Arial" w:hAnsi="Arial"/>
          <w:sz w:val="18"/>
          <w:szCs w:val="18"/>
          <w:color w:val="0000E1"/>
        </w:rPr>
        <w:t xml:space="preserve"> </w:t>
      </w:r>
      <w:r>
        <w:rPr>
          <w:rFonts w:ascii="Arial" w:cs="Arial" w:eastAsia="Arial" w:hAnsi="Arial"/>
          <w:sz w:val="18"/>
          <w:szCs w:val="18"/>
          <w:color w:val="000000"/>
        </w:rPr>
        <w:t>as at the end of such Computation Period, to</w:t>
      </w:r>
      <w:r>
        <w:rPr>
          <w:rFonts w:ascii="Arial" w:cs="Arial" w:eastAsia="Arial" w:hAnsi="Arial"/>
          <w:sz w:val="18"/>
          <w:szCs w:val="18"/>
          <w:color w:val="0000E1"/>
        </w:rPr>
        <w:t xml:space="preserve"> </w:t>
      </w:r>
      <w:r>
        <w:rPr>
          <w:rFonts w:ascii="Arial" w:cs="Arial" w:eastAsia="Arial" w:hAnsi="Arial"/>
          <w:sz w:val="18"/>
          <w:szCs w:val="18"/>
          <w:color w:val="000000"/>
        </w:rPr>
        <w:t>(b) Consolidated EBITDA for such Computation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-412115</wp:posOffset>
            </wp:positionV>
            <wp:extent cx="505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86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4457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its character as a Base Rate Loan or a Eurodollar Rate Loan.</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u w:val="single" w:color="auto"/>
          <w:color w:val="0000E1"/>
        </w:rPr>
        <w:t>“ UK Financial Institution”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u w:val="single" w:color="auto"/>
          <w:color w:val="0000E1"/>
        </w:rPr>
        <w:t>“ UK Resolution Authority”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-833755</wp:posOffset>
            </wp:positionV>
            <wp:extent cx="64636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-696595</wp:posOffset>
            </wp:positionV>
            <wp:extent cx="6823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-559435</wp:posOffset>
            </wp:positionV>
            <wp:extent cx="67633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-422275</wp:posOffset>
            </wp:positionV>
            <wp:extent cx="2871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714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-147955</wp:posOffset>
            </wp:positionV>
            <wp:extent cx="65233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337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any of (a) the date of any L/C Borrowing, and (b) with respect to any Letter of Credit each of the following: (i) each date of issuance of a Letter of Credit denominated in Canadian Dollars, (ii) each date of an amendment of any such Letter of Credit having the effect of increasing the amount thereof, (iii) each date of any payment by the L/C Issuer under any Letter of Credit denominated in Canadian Dollars, (iv) in the case of all Existing Letters of Credit denominated in Canadian Dollars, the Effective Date, and (v) such additional dates as the Administrative Agent or the L/C Issuer shall determine or the Required Lenders shall require.</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any Subsidiary in which (other than directors’ qualifying shares required by law) 100% of the capital stock, membership interests or other Equity Interests of each class having ordinary voting power, and 100% of the capital stock, membership interests or other Equity Interests of every other class, in each case, at the time as of which any determination is being made, is owned, beneficially and of record, by the Borrower, or by one or more of the other Wholly-Owned Subsidiaries, or both.</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xml:space="preserve">” means, </w:t>
      </w:r>
      <w:r>
        <w:rPr>
          <w:rFonts w:ascii="Arial" w:cs="Arial" w:eastAsia="Arial" w:hAnsi="Arial"/>
          <w:sz w:val="18"/>
          <w:szCs w:val="18"/>
          <w:u w:val="single" w:color="auto"/>
          <w:color w:val="0000E1"/>
        </w:rPr>
        <w:t>(a)</w:t>
      </w:r>
      <w:r>
        <w:rPr>
          <w:rFonts w:ascii="Arial" w:cs="Arial" w:eastAsia="Arial" w:hAnsi="Arial"/>
          <w:sz w:val="18"/>
          <w:szCs w:val="18"/>
          <w:color w:val="auto"/>
        </w:rPr>
        <w:t xml:space="preserve"> with respect to any EEA Resolution Authority, the write-down and conversion powers of such EEA Resolution Authority from time to time under the Bail-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-147955</wp:posOffset>
            </wp:positionV>
            <wp:extent cx="1543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4" w:name="page55"/>
    <w:bookmarkEnd w:id="5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Legislation for the applicable EEA Member Country, which write-down and conversion powers are described in the EU Bail-In Legislation Schedule</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-682625</wp:posOffset>
            </wp:positionV>
            <wp:extent cx="260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9005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8491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60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7894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040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8"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ind w:firstLine="436"/>
        <w:spacing w:after="0" w:line="268" w:lineRule="auto"/>
        <w:tabs>
          <w:tab w:leader="none" w:pos="68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“will”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4" w:lineRule="exact"/>
        <w:rPr>
          <w:rFonts w:ascii="Arial" w:cs="Arial" w:eastAsia="Arial" w:hAnsi="Arial"/>
          <w:sz w:val="17"/>
          <w:szCs w:val="17"/>
          <w:color w:val="auto"/>
        </w:rPr>
      </w:pPr>
    </w:p>
    <w:p>
      <w:pPr>
        <w:ind w:right="40" w:firstLine="436"/>
        <w:spacing w:after="0" w:line="277" w:lineRule="auto"/>
        <w:tabs>
          <w:tab w:leader="none" w:pos="8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940" w:firstLine="43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ind w:right="20" w:firstLine="436"/>
        <w:spacing w:after="0" w:line="255" w:lineRule="auto"/>
        <w:tabs>
          <w:tab w:leader="none" w:pos="875" w:val="left"/>
        </w:tabs>
        <w:numPr>
          <w:ilvl w:val="0"/>
          <w:numId w:val="28"/>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5919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8580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9691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005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60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540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68"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1.03 Accounting Terms; LIBOR</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and without giving effect to any change in GAAP which would require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to “mark-for-market” its obligations under Swap Contracts (unless (i) the Borrower and the Required Lenders agree to give effect to such changes or (ii) the Borrower has recognized a gain or loss as a result of such Swap Contract).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8" w:lineRule="exact"/>
        <w:rPr>
          <w:sz w:val="20"/>
          <w:szCs w:val="20"/>
          <w:color w:val="auto"/>
        </w:rPr>
      </w:pPr>
    </w:p>
    <w:p>
      <w:pPr>
        <w:ind w:right="200" w:firstLine="436"/>
        <w:spacing w:after="0" w:line="253"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94" w:lineRule="exact"/>
        <w:rPr>
          <w:rFonts w:ascii="Arial" w:cs="Arial" w:eastAsia="Arial" w:hAnsi="Arial"/>
          <w:sz w:val="18"/>
          <w:szCs w:val="18"/>
          <w:color w:val="auto"/>
        </w:rPr>
      </w:pPr>
    </w:p>
    <w:p>
      <w:pPr>
        <w:jc w:val="both"/>
        <w:ind w:right="100" w:firstLine="436"/>
        <w:spacing w:after="0" w:line="259"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86" w:lineRule="exact"/>
        <w:rPr>
          <w:rFonts w:ascii="Arial" w:cs="Arial" w:eastAsia="Arial" w:hAnsi="Arial"/>
          <w:sz w:val="18"/>
          <w:szCs w:val="18"/>
          <w:color w:val="auto"/>
        </w:rPr>
      </w:pPr>
    </w:p>
    <w:p>
      <w:pPr>
        <w:ind w:right="260" w:firstLine="436"/>
        <w:spacing w:after="0" w:line="263"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Rate Determinations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0" w:lineRule="exact"/>
        <w:rPr>
          <w:sz w:val="20"/>
          <w:szCs w:val="20"/>
          <w:color w:val="auto"/>
        </w:rPr>
      </w:pPr>
    </w:p>
    <w:p>
      <w:pPr>
        <w:jc w:val="both"/>
        <w:ind w:right="80" w:firstLine="440"/>
        <w:spacing w:after="0" w:line="289" w:lineRule="auto"/>
        <w:rPr>
          <w:sz w:val="20"/>
          <w:szCs w:val="20"/>
          <w:color w:val="auto"/>
        </w:rPr>
      </w:pPr>
      <w:r>
        <w:rPr>
          <w:rFonts w:ascii="Arial" w:cs="Arial" w:eastAsia="Arial" w:hAnsi="Arial"/>
          <w:sz w:val="17"/>
          <w:szCs w:val="17"/>
          <w:b w:val="1"/>
          <w:bCs w:val="1"/>
          <w:color w:val="auto"/>
        </w:rPr>
        <w:t>1.04 Rounding</w:t>
      </w:r>
      <w:r>
        <w:rPr>
          <w:rFonts w:ascii="Arial" w:cs="Arial" w:eastAsia="Arial" w:hAnsi="Arial"/>
          <w:sz w:val="17"/>
          <w:szCs w:val="17"/>
          <w:color w:val="auto"/>
        </w:rPr>
        <w:t>. Any financial ratios required to be maintained by the Borrower pursuant to this Agreement shall be calculated by dividing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8"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1.06 Letter of Credit Amounts</w:t>
      </w:r>
      <w:r>
        <w:rPr>
          <w:rFonts w:ascii="Arial" w:cs="Arial" w:eastAsia="Arial" w:hAnsi="Arial"/>
          <w:sz w:val="17"/>
          <w:szCs w:val="17"/>
          <w:color w:val="auto"/>
        </w:rPr>
        <w:t>. Unless otherwise specified herein, the amount of a Letter of Credit at any time shall be deemed to be the stated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or, in the case of a Canadian L/C, the Dollar Equivalent Amount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or, in the case of a Canadian L/C, the Dollar Equivalent Amount of the maximum stated amount, of such Letter of Credit after giving effect to all such increases, whether or not such maximum stated amount is in effect at such time.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6" w:name="page57"/>
    <w:bookmarkEnd w:id="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07"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6"/>
          <w:szCs w:val="16"/>
          <w:b w:val="1"/>
          <w:bCs w:val="1"/>
          <w:color w:val="auto"/>
        </w:rPr>
        <w:t>2.01 Committed Loans</w:t>
      </w:r>
      <w:r>
        <w:rPr>
          <w:rFonts w:ascii="Arial" w:cs="Arial" w:eastAsia="Arial" w:hAnsi="Arial"/>
          <w:sz w:val="16"/>
          <w:szCs w:val="16"/>
          <w:color w:val="auto"/>
        </w:rPr>
        <w:t>. Subject to the terms and conditions set forth herein, each Lender severally agrees to make loans in Dollars (each such</w:t>
      </w:r>
      <w:r>
        <w:rPr>
          <w:rFonts w:ascii="Arial" w:cs="Arial" w:eastAsia="Arial" w:hAnsi="Arial"/>
          <w:sz w:val="16"/>
          <w:szCs w:val="16"/>
          <w:b w:val="1"/>
          <w:bCs w:val="1"/>
          <w:color w:val="auto"/>
        </w:rPr>
        <w:t xml:space="preserve"> </w:t>
      </w:r>
      <w:r>
        <w:rPr>
          <w:rFonts w:ascii="Arial" w:cs="Arial" w:eastAsia="Arial" w:hAnsi="Arial"/>
          <w:sz w:val="16"/>
          <w:szCs w:val="16"/>
          <w:color w:val="auto"/>
        </w:rPr>
        <w:t>loan, a “</w:t>
      </w:r>
      <w:r>
        <w:rPr>
          <w:rFonts w:ascii="Arial" w:cs="Arial" w:eastAsia="Arial" w:hAnsi="Arial"/>
          <w:sz w:val="16"/>
          <w:szCs w:val="16"/>
          <w:u w:val="single" w:color="auto"/>
          <w:color w:val="auto"/>
        </w:rPr>
        <w:t>Committed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Committed Borrowing,</w:t>
      </w:r>
    </w:p>
    <w:p>
      <w:pPr>
        <w:spacing w:after="0" w:line="2" w:lineRule="exact"/>
        <w:rPr>
          <w:sz w:val="20"/>
          <w:szCs w:val="20"/>
          <w:color w:val="auto"/>
        </w:rPr>
      </w:pPr>
    </w:p>
    <w:p>
      <w:pPr>
        <w:ind w:left="4" w:hanging="4"/>
        <w:spacing w:after="0" w:line="271" w:lineRule="auto"/>
        <w:tabs>
          <w:tab w:leader="none" w:pos="219"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Total Outstandings shall not exceed the Aggregate Commitments, and (ii)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shall not exceed such Lender’s Commitment. Within the limits of each Lender’s Commitment, and subject to the other terms and conditions hereof, 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Committed Loans may be Base Rate Loans or Eurodollar Rate Loans, as further provided herein.</w:t>
      </w:r>
    </w:p>
    <w:p>
      <w:pPr>
        <w:spacing w:after="0" w:line="28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Committed Loans</w:t>
      </w:r>
      <w:r>
        <w:rPr>
          <w:rFonts w:ascii="Arial" w:cs="Arial" w:eastAsia="Arial" w:hAnsi="Arial"/>
          <w:sz w:val="16"/>
          <w:szCs w:val="16"/>
          <w:color w:val="auto"/>
        </w:rPr>
        <w:t>.</w:t>
      </w:r>
    </w:p>
    <w:p>
      <w:pPr>
        <w:spacing w:after="0" w:line="121" w:lineRule="exact"/>
        <w:rPr>
          <w:sz w:val="20"/>
          <w:szCs w:val="20"/>
          <w:color w:val="auto"/>
        </w:rPr>
      </w:pPr>
    </w:p>
    <w:p>
      <w:pPr>
        <w:ind w:left="4" w:firstLine="436"/>
        <w:spacing w:after="0" w:line="285" w:lineRule="auto"/>
        <w:tabs>
          <w:tab w:leader="none" w:pos="8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Eurodollar Rate Loans shall be made upon the Borrower’s irrevocable notice to the Administrative Agent, which may be given by (A) 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Committed Loan Notice. Each such Committed Loan Notice must be received by the Administrative Agent not later than </w:t>
      </w:r>
      <w:r>
        <w:rPr>
          <w:rFonts w:ascii="Arial" w:cs="Arial" w:eastAsia="Arial" w:hAnsi="Arial"/>
          <w:sz w:val="16"/>
          <w:szCs w:val="16"/>
          <w:color w:val="FF0000"/>
          <w:strike w:val="1"/>
        </w:rPr>
        <w:t>1:00</w:t>
      </w:r>
      <w:r>
        <w:rPr>
          <w:rFonts w:ascii="Arial" w:cs="Arial" w:eastAsia="Arial" w:hAnsi="Arial"/>
          <w:sz w:val="16"/>
          <w:szCs w:val="16"/>
          <w:u w:val="single" w:color="auto"/>
          <w:color w:val="0000E1"/>
        </w:rPr>
        <w:t>2:00</w:t>
      </w:r>
      <w:r>
        <w:rPr>
          <w:rFonts w:ascii="Arial" w:cs="Arial" w:eastAsia="Arial" w:hAnsi="Arial"/>
          <w:sz w:val="16"/>
          <w:szCs w:val="16"/>
          <w:color w:val="auto"/>
        </w:rPr>
        <w:t xml:space="preserve"> p.m. (i) three Business Days prior to the requested date of any Borrowing of, conversion to or continuation of Eurodollar Rate Loans, and (ii) on the requested date of any Borrowing of or conversion to Base Rate Committed Loans. Each Borrowing of, conversion to or continuation of Eurodollar Rate Loans shall be in a principal amount of $5,000,000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Committed Loans shall be in a principal amount of $5,000,000 or a whole multiple of $1,000,000 in excess thereof. Each Committed Loan Notice shall specify (i) whether the Borrower is requesting a Committed Borrowing, a conversion of Committed Loans from one Type to the other, or a continuation of Eurodollar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and (v) if applicable, the duration of the Interest Period with respect thereto. If the Borrower fails to specify a Type of Committed Loan in a Committed Loan Notice or if the Borrower fails to give a timely notice requesting a conversion or continuation, then the applicable Committed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Committed Loan Notice, but fails to specify an Interest Period, it will be deemed to have specified an Interest Period of one month.</w:t>
      </w:r>
    </w:p>
    <w:p>
      <w:pPr>
        <w:spacing w:after="0" w:line="173" w:lineRule="exact"/>
        <w:rPr>
          <w:rFonts w:ascii="Arial" w:cs="Arial" w:eastAsia="Arial" w:hAnsi="Arial"/>
          <w:sz w:val="16"/>
          <w:szCs w:val="16"/>
          <w:color w:val="auto"/>
        </w:rPr>
      </w:pPr>
    </w:p>
    <w:p>
      <w:pPr>
        <w:ind w:left="4" w:right="20" w:firstLine="436"/>
        <w:spacing w:after="0" w:line="291" w:lineRule="auto"/>
        <w:tabs>
          <w:tab w:leader="none" w:pos="8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of the applicable Committed Loans, and if no timely notice of a conversion or continuation is provided by the Borrower,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immediately available funds at the Administrative Agent’s Office not later than </w:t>
      </w:r>
      <w:r>
        <w:rPr>
          <w:rFonts w:ascii="Arial" w:cs="Arial" w:eastAsia="Arial" w:hAnsi="Arial"/>
          <w:sz w:val="16"/>
          <w:szCs w:val="16"/>
          <w:color w:val="FF0000"/>
          <w:strike w:val="1"/>
        </w:rPr>
        <w:t>3:00</w:t>
      </w:r>
      <w:r>
        <w:rPr>
          <w:rFonts w:ascii="Arial" w:cs="Arial" w:eastAsia="Arial" w:hAnsi="Arial"/>
          <w:sz w:val="16"/>
          <w:szCs w:val="16"/>
          <w:u w:val="single" w:color="auto"/>
          <w:color w:val="0000E1"/>
        </w:rPr>
        <w:t>4:00</w:t>
      </w:r>
      <w:r>
        <w:rPr>
          <w:rFonts w:ascii="Arial" w:cs="Arial" w:eastAsia="Arial" w:hAnsi="Arial"/>
          <w:sz w:val="16"/>
          <w:szCs w:val="16"/>
          <w:color w:val="auto"/>
        </w:rPr>
        <w:t xml:space="preserve">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the Administrative Agent shall make all funds so received available to the Borrower in like funds as received by the Administrative Agent either by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-2893695</wp:posOffset>
            </wp:positionV>
            <wp:extent cx="2057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-287655</wp:posOffset>
            </wp:positionV>
            <wp:extent cx="2057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57" w:name="page58"/>
    <w:bookmarkEnd w:id="5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Committed Loan Notice with respect to such Borrowing is given by the Borrower, there are L/C Borrowings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88" w:lineRule="exact"/>
        <w:rPr>
          <w:sz w:val="20"/>
          <w:szCs w:val="20"/>
          <w:color w:val="auto"/>
        </w:rPr>
      </w:pPr>
    </w:p>
    <w:p>
      <w:pPr>
        <w:ind w:right="300" w:firstLine="436"/>
        <w:spacing w:after="0" w:line="263"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3" w:lineRule="exact"/>
        <w:rPr>
          <w:rFonts w:ascii="Arial" w:cs="Arial" w:eastAsia="Arial" w:hAnsi="Arial"/>
          <w:sz w:val="18"/>
          <w:szCs w:val="18"/>
          <w:color w:val="auto"/>
        </w:rPr>
      </w:pPr>
    </w:p>
    <w:p>
      <w:pPr>
        <w:ind w:right="40" w:firstLine="436"/>
        <w:spacing w:after="0" w:line="259" w:lineRule="auto"/>
        <w:tabs>
          <w:tab w:leader="none" w:pos="8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jc w:val="both"/>
        <w:ind w:right="200" w:firstLine="436"/>
        <w:spacing w:after="0" w:line="263" w:lineRule="auto"/>
        <w:tabs>
          <w:tab w:leader="none" w:pos="8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giving effect to all Committed Borrowings, all conversions of Committed Loans from one Type to the other, and all continuations of Committed Loans as the same Type, unless the Administrative Agent otherwise consents, there shall not be more than fifteen Interest Periods in effect with respect to Committed Loans.</w:t>
      </w:r>
    </w:p>
    <w:p>
      <w:pPr>
        <w:spacing w:after="0" w:line="183" w:lineRule="exact"/>
        <w:rPr>
          <w:rFonts w:ascii="Arial" w:cs="Arial" w:eastAsia="Arial" w:hAnsi="Arial"/>
          <w:sz w:val="18"/>
          <w:szCs w:val="18"/>
          <w:color w:val="auto"/>
        </w:rPr>
      </w:pPr>
    </w:p>
    <w:p>
      <w:pPr>
        <w:ind w:right="80" w:firstLine="436"/>
        <w:spacing w:after="0" w:line="26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8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121" w:lineRule="exact"/>
        <w:rPr>
          <w:sz w:val="20"/>
          <w:szCs w:val="20"/>
          <w:color w:val="auto"/>
        </w:rPr>
      </w:pPr>
    </w:p>
    <w:p>
      <w:pPr>
        <w:ind w:left="820" w:hanging="38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7" w:lineRule="auto"/>
        <w:tabs>
          <w:tab w:leader="none" w:pos="1213"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each L/C Issuer agrees, in reliance upon the agreements of the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Effective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and (2) to honor drawings properly drawn under the Letters of Credit; and (B) the Lenders severally agree to participate in Letters of Credit issued for the account of the Borrower or its Subsidiaries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(w) the Total Outstandings shall not exceed the Aggregate Commitments, (x)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shall not exceed such Lender’s Commitment, and (y) the aggregate amount available to be drawn under all Letters of Credit issued by the applicable L/C Issuer issuing such Letter of Credit shall not exceed such L/C Issuer’s Letter of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L/C Issuer may, following a request from the Borrower and in its sole discretion, issue Letters of Credit in an aggregate available amount in excess of such L/C Issuer’s Letter of Credit Commitment so long as the other conditions to the issuance of any such Letters of Credit are satisfied).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Effective Date shall be subject to and governed by the terms and conditions hereof. The Borrower agrees to promptly notify the Administrative Agent of the designation of any Lender or Affiliate of a Lender as an L/C Issuer.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8" w:name="page59"/>
    <w:bookmarkEnd w:id="58"/>
    <w:p>
      <w:pPr>
        <w:ind w:left="1260" w:hanging="401"/>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L/C Issuer shall issue any Letter of Credit, if:</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810"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eighteen months after the date of issuance or last extension, unless the Required Lenders have approved such expiry date; or</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801"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980" w:firstLine="408"/>
        <w:spacing w:after="0" w:line="290" w:lineRule="auto"/>
        <w:tabs>
          <w:tab w:leader="none" w:pos="1810" w:val="left"/>
        </w:tabs>
        <w:numPr>
          <w:ilvl w:val="2"/>
          <w:numId w:val="34"/>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Effective Date, or shall impose upon such L/C Issuer any unreimbursed loss, cost or expense which was not applicable on the Effective Date and which such L/C Issuer in good faith deems material to it (it being understood that the applicable L/C Issuer shall promptly notify the Borrower and the Administrative Agent of any of the foregoing events or circumstances);</w:t>
      </w:r>
    </w:p>
    <w:p>
      <w:pPr>
        <w:spacing w:after="0" w:line="57" w:lineRule="exact"/>
        <w:rPr>
          <w:rFonts w:ascii="Arial" w:cs="Arial" w:eastAsia="Arial" w:hAnsi="Arial"/>
          <w:sz w:val="16"/>
          <w:szCs w:val="16"/>
          <w:color w:val="auto"/>
        </w:rPr>
      </w:pPr>
    </w:p>
    <w:p>
      <w:pPr>
        <w:ind w:left="1800" w:hanging="412"/>
        <w:spacing w:after="0"/>
        <w:tabs>
          <w:tab w:leader="none" w:pos="18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applicable policies of such L/C Issuer;</w:t>
      </w:r>
    </w:p>
    <w:p>
      <w:pPr>
        <w:spacing w:after="0" w:line="117" w:lineRule="exact"/>
        <w:rPr>
          <w:rFonts w:ascii="Arial" w:cs="Arial" w:eastAsia="Arial" w:hAnsi="Arial"/>
          <w:sz w:val="18"/>
          <w:szCs w:val="18"/>
          <w:color w:val="auto"/>
        </w:rPr>
      </w:pPr>
    </w:p>
    <w:p>
      <w:pPr>
        <w:ind w:left="980" w:right="340" w:firstLine="408"/>
        <w:spacing w:after="0" w:line="277" w:lineRule="auto"/>
        <w:tabs>
          <w:tab w:leader="none" w:pos="1801" w:val="left"/>
        </w:tabs>
        <w:numPr>
          <w:ilvl w:val="2"/>
          <w:numId w:val="34"/>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 or, only in the case of Bank of America as L/C Issuer, in a currency other than Dollars or Canadian Dollars;</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2"/>
          <w:numId w:val="34"/>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w:t>
      </w:r>
    </w:p>
    <w:p>
      <w:pPr>
        <w:spacing w:after="0" w:line="140" w:lineRule="exact"/>
        <w:rPr>
          <w:rFonts w:ascii="Arial" w:cs="Arial" w:eastAsia="Arial" w:hAnsi="Arial"/>
          <w:sz w:val="16"/>
          <w:szCs w:val="16"/>
          <w:color w:val="auto"/>
        </w:rPr>
      </w:pPr>
    </w:p>
    <w:p>
      <w:pPr>
        <w:ind w:left="980" w:right="20" w:firstLine="408"/>
        <w:spacing w:after="0" w:line="296" w:lineRule="auto"/>
        <w:tabs>
          <w:tab w:leader="none" w:pos="1790" w:val="left"/>
        </w:tabs>
        <w:numPr>
          <w:ilvl w:val="2"/>
          <w:numId w:val="34"/>
        </w:numPr>
        <w:rPr>
          <w:rFonts w:ascii="Arial" w:cs="Arial" w:eastAsia="Arial" w:hAnsi="Arial"/>
          <w:sz w:val="16"/>
          <w:szCs w:val="16"/>
          <w:color w:val="auto"/>
        </w:rPr>
      </w:pPr>
      <w:r>
        <w:rPr>
          <w:rFonts w:ascii="Arial" w:cs="Arial" w:eastAsia="Arial" w:hAnsi="Arial"/>
          <w:sz w:val="16"/>
          <w:szCs w:val="16"/>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with respect to the Defaulting Lender arising from either (i) the Letter of Credit then proposed to be issued as to which the L/C Issuer has potential Fronting Exposure or (ii) that Letter of Credit and all other L/C Obligations as to which the L/C Issuer has actual Fronting Exposure, in each case, as it may elect in its sole discretion; or</w:t>
      </w:r>
    </w:p>
    <w:p>
      <w:pPr>
        <w:spacing w:after="0" w:line="53" w:lineRule="exact"/>
        <w:rPr>
          <w:rFonts w:ascii="Arial" w:cs="Arial" w:eastAsia="Arial" w:hAnsi="Arial"/>
          <w:sz w:val="16"/>
          <w:szCs w:val="16"/>
          <w:color w:val="auto"/>
        </w:rPr>
      </w:pPr>
    </w:p>
    <w:p>
      <w:pPr>
        <w:ind w:left="980" w:right="200" w:firstLine="408"/>
        <w:spacing w:after="0" w:line="263" w:lineRule="auto"/>
        <w:tabs>
          <w:tab w:leader="none" w:pos="1781"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Outstanding Amount of the L/C Obligations with respect to Letters of Credit issued by such L/C issuer would exceed the sublimit established by such L/C Issuer in accordance with the definition thereof (which, in all cases will be less than or equal to Aggregate Commitments).</w:t>
      </w:r>
    </w:p>
    <w:p>
      <w:pPr>
        <w:spacing w:after="0" w:line="75" w:lineRule="exact"/>
        <w:rPr>
          <w:rFonts w:ascii="Arial" w:cs="Arial" w:eastAsia="Arial" w:hAnsi="Arial"/>
          <w:sz w:val="18"/>
          <w:szCs w:val="18"/>
          <w:color w:val="auto"/>
        </w:rPr>
      </w:pPr>
    </w:p>
    <w:p>
      <w:pPr>
        <w:ind w:left="440" w:right="200" w:firstLine="419"/>
        <w:spacing w:after="0" w:line="284" w:lineRule="auto"/>
        <w:tabs>
          <w:tab w:leader="none" w:pos="1303"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On the terms and conditions set forth herein any L/C Issuer may issue upon request and for the account of the Borrower (or the applicable Subsidiary) a standby Canadian L/C. For purposes of determining L/C Obligations, any Canadian L/C shall be recorded in the Administrative Agent’s account in Dollars based on the Dollar Equivalent Amount on the date of issuance of such Canadian L/C;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L/C Issuer shall determine the Dollar Equivalent Amount of any Canadian L/C on the Valuation Date for the purpose of determining L/C Obligations. In the case of a Letter of Credit denominated in Canadian Dollars, the Borrower shall reimburse the L/C Issuer in Canadian Dollars, unless (A) the L/C Issuer (at its option) shall have specified in such notice that it will require reimbursement in Dollars, or</w:t>
      </w:r>
    </w:p>
    <w:p>
      <w:pPr>
        <w:spacing w:after="0" w:line="4" w:lineRule="exact"/>
        <w:rPr>
          <w:rFonts w:ascii="Arial" w:cs="Arial" w:eastAsia="Arial" w:hAnsi="Arial"/>
          <w:sz w:val="16"/>
          <w:szCs w:val="16"/>
          <w:color w:val="auto"/>
        </w:rPr>
      </w:pPr>
    </w:p>
    <w:p>
      <w:pPr>
        <w:ind w:left="720" w:hanging="284"/>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absence of any such requirement for reimbursement in Dollars, the Borrower shall have notified the L/C Issuer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59" w:name="page60"/>
    <w:bookmarkEnd w:id="59"/>
    <w:p>
      <w:pPr>
        <w:ind w:left="44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following receipt of the notice of drawing that the Borrower will reimburse the L/C Issuer in Dollars. In the case of any such reimbursement in Dollars of a drawing under a Letter of Credit denominated in Canadian Dollars, the L/C Issuer shall notify the Borrower of the Dollar Equivalent Amount of the drawing promptly following the determination thereof. If at any time there is a drawing under a Canadian L/C and the Borrower shall not promptly reimburse such drawing as provided in </w:t>
      </w:r>
      <w:r>
        <w:rPr>
          <w:rFonts w:ascii="Arial" w:cs="Arial" w:eastAsia="Arial" w:hAnsi="Arial"/>
          <w:sz w:val="17"/>
          <w:szCs w:val="17"/>
          <w:u w:val="single" w:color="auto"/>
          <w:color w:val="auto"/>
        </w:rPr>
        <w:t>Section 2.03(c)</w:t>
      </w:r>
      <w:r>
        <w:rPr>
          <w:rFonts w:ascii="Arial" w:cs="Arial" w:eastAsia="Arial" w:hAnsi="Arial"/>
          <w:sz w:val="17"/>
          <w:szCs w:val="17"/>
          <w:color w:val="auto"/>
        </w:rPr>
        <w:t>, the Borrower shall be obligated to immediately repay to the Administrative Agent for the benefit of the Lenders an amount in Dollars equal to the Dollar Equivalent Amount of the Canadian Dollars paid by the applicable L/C Issuer to the beneficiary of such Canadian L/C on the date of such drawing.</w:t>
      </w:r>
    </w:p>
    <w:p>
      <w:pPr>
        <w:spacing w:after="0" w:line="70" w:lineRule="exact"/>
        <w:rPr>
          <w:sz w:val="20"/>
          <w:szCs w:val="20"/>
          <w:color w:val="auto"/>
        </w:rPr>
      </w:pPr>
    </w:p>
    <w:p>
      <w:pPr>
        <w:ind w:left="440" w:right="80" w:firstLine="419"/>
        <w:spacing w:after="0" w:line="277" w:lineRule="auto"/>
        <w:tabs>
          <w:tab w:leader="none" w:pos="12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3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75" w:lineRule="exact"/>
        <w:rPr>
          <w:rFonts w:ascii="Arial" w:cs="Arial" w:eastAsia="Arial" w:hAnsi="Arial"/>
          <w:sz w:val="18"/>
          <w:szCs w:val="18"/>
          <w:color w:val="auto"/>
        </w:rPr>
      </w:pPr>
    </w:p>
    <w:p>
      <w:pPr>
        <w:ind w:left="440" w:right="20" w:firstLine="419"/>
        <w:spacing w:after="0" w:line="275" w:lineRule="auto"/>
        <w:tabs>
          <w:tab w:leader="none" w:pos="1353"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each L/C Issuer with respect to such acts or omissions, and (B) as additionally provided herein with respect to each L/C Issuer.</w:t>
      </w:r>
    </w:p>
    <w:p>
      <w:pPr>
        <w:spacing w:after="0" w:line="176" w:lineRule="exact"/>
        <w:rPr>
          <w:rFonts w:ascii="Arial" w:cs="Arial" w:eastAsia="Arial" w:hAnsi="Arial"/>
          <w:sz w:val="17"/>
          <w:szCs w:val="17"/>
          <w:color w:val="auto"/>
        </w:rPr>
      </w:pPr>
    </w:p>
    <w:p>
      <w:pPr>
        <w:ind w:left="820" w:hanging="384"/>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Procedures for Issuance and Amendment of Letters of Credit; Auto-Extension Letters of Credit; Auto-Reinstatement Letters of Credit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firstLine="419"/>
        <w:spacing w:after="0" w:line="284" w:lineRule="auto"/>
        <w:tabs>
          <w:tab w:leader="none" w:pos="1213"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(or through such other procedures as may otherwise be approved by the applicable L/C Issuer and the Administrative Agent, including electronic communications in accordance with </w:t>
      </w:r>
      <w:r>
        <w:rPr>
          <w:rFonts w:ascii="Arial" w:cs="Arial" w:eastAsia="Arial" w:hAnsi="Arial"/>
          <w:sz w:val="16"/>
          <w:szCs w:val="16"/>
          <w:u w:val="single" w:color="auto"/>
          <w:color w:val="auto"/>
        </w:rPr>
        <w:t>subsection 10.02(b)</w:t>
      </w:r>
      <w:r>
        <w:rPr>
          <w:rFonts w:ascii="Arial" w:cs="Arial" w:eastAsia="Arial" w:hAnsi="Arial"/>
          <w:sz w:val="16"/>
          <w:szCs w:val="16"/>
          <w:color w:val="auto"/>
        </w:rPr>
        <w:t>). Such Letter of Credit Application must be received by the applicable L/C Issuer and the Administrative Agent not later than 1:00 p.m. at least two Business Days (or such later date and time as such L/C Issuer may agree in its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thereof;</w:t>
      </w:r>
    </w:p>
    <w:p>
      <w:pPr>
        <w:ind w:left="440" w:right="100"/>
        <w:spacing w:after="0" w:line="268" w:lineRule="auto"/>
        <w:rPr>
          <w:rFonts w:ascii="Arial" w:cs="Arial" w:eastAsia="Arial" w:hAnsi="Arial"/>
          <w:sz w:val="16"/>
          <w:szCs w:val="16"/>
          <w:color w:val="auto"/>
        </w:rPr>
      </w:pPr>
      <w:r>
        <w:rPr>
          <w:rFonts w:ascii="Arial" w:cs="Arial" w:eastAsia="Arial" w:hAnsi="Arial"/>
          <w:sz w:val="17"/>
          <w:szCs w:val="17"/>
          <w:color w:val="auto"/>
        </w:rPr>
        <w:t>(C)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the applicable L/C Issuer may reasonably require. Additionally, the Borrower shall furnish to the applicable L/C Issuer and the Administrative Agent such other documents and information pertaining to such requested Letter of Credit issuance or amendment, including any Issuer Documents, as such L/C Issuer or the Administrative Agent may require.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0" w:name="page61"/>
    <w:bookmarkEnd w:id="60"/>
    <w:p>
      <w:pPr>
        <w:ind w:left="440" w:firstLine="419"/>
        <w:spacing w:after="0" w:line="269" w:lineRule="auto"/>
        <w:tabs>
          <w:tab w:leader="none" w:pos="1263"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the product of such Lender’s Applicable Percentage times the amount of such Letter of Credit.</w:t>
      </w:r>
    </w:p>
    <w:p>
      <w:pPr>
        <w:spacing w:after="0" w:line="77" w:lineRule="exact"/>
        <w:rPr>
          <w:rFonts w:ascii="Arial" w:cs="Arial" w:eastAsia="Arial" w:hAnsi="Arial"/>
          <w:sz w:val="17"/>
          <w:szCs w:val="17"/>
          <w:color w:val="auto"/>
        </w:rPr>
      </w:pPr>
    </w:p>
    <w:p>
      <w:pPr>
        <w:ind w:left="440" w:firstLine="419"/>
        <w:spacing w:after="0" w:line="286" w:lineRule="auto"/>
        <w:tabs>
          <w:tab w:leader="none" w:pos="1313"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such L/C Issuer not to permit such extension.</w:t>
      </w:r>
    </w:p>
    <w:p>
      <w:pPr>
        <w:spacing w:after="0" w:line="62" w:lineRule="exact"/>
        <w:rPr>
          <w:rFonts w:ascii="Arial" w:cs="Arial" w:eastAsia="Arial" w:hAnsi="Arial"/>
          <w:sz w:val="16"/>
          <w:szCs w:val="16"/>
          <w:color w:val="auto"/>
        </w:rPr>
      </w:pPr>
    </w:p>
    <w:p>
      <w:pPr>
        <w:ind w:left="440" w:right="40" w:firstLine="419"/>
        <w:spacing w:after="0" w:line="269" w:lineRule="auto"/>
        <w:tabs>
          <w:tab w:leader="none" w:pos="1303"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an L/C Issuer may, in its sole and absolute discretion, agree to issue a Letter of Credit that permits the automatic reinstatement of all or a portion of the stated amount thereof after any drawing thereunder (each, an “</w:t>
      </w:r>
      <w:r>
        <w:rPr>
          <w:rFonts w:ascii="Arial" w:cs="Arial" w:eastAsia="Arial" w:hAnsi="Arial"/>
          <w:sz w:val="17"/>
          <w:szCs w:val="17"/>
          <w:u w:val="single" w:color="auto"/>
          <w:color w:val="auto"/>
        </w:rPr>
        <w:t>Auto-Reinstatement Letter of Credit</w:t>
      </w:r>
      <w:r>
        <w:rPr>
          <w:rFonts w:ascii="Arial" w:cs="Arial" w:eastAsia="Arial" w:hAnsi="Arial"/>
          <w:sz w:val="17"/>
          <w:szCs w:val="17"/>
          <w:color w:val="auto"/>
        </w:rPr>
        <w:t>”). Unless otherwise directed by such L/C Issuer, the Borrower shall not be required to make a specific request to such L/C Issuer to permit such reinstatement. Once an Auto-Reinstatement Letter of Credit has been issued, except as provided in the following sentence, the Lenders shall be deemed to have authorized (but may not require) the applicable L/C Issuer to reinstate all or a portion of the stated amount thereof in accordance with the provisions of such Letter of Credit. Notwithstanding the foregoing, if such Auto-Reinstatement Letter of Credit permits an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7"/>
          <w:szCs w:val="17"/>
          <w:u w:val="single" w:color="auto"/>
          <w:color w:val="auto"/>
        </w:rPr>
        <w:t>Non-Reinstatement Deadline</w:t>
      </w:r>
      <w:r>
        <w:rPr>
          <w:rFonts w:ascii="Arial" w:cs="Arial" w:eastAsia="Arial" w:hAnsi="Arial"/>
          <w:sz w:val="17"/>
          <w:szCs w:val="17"/>
          <w:color w:val="auto"/>
        </w:rPr>
        <w:t>”), such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1" w:name="page62"/>
    <w:bookmarkEnd w:id="61"/>
    <w:p>
      <w:pPr>
        <w:ind w:left="440"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reinstatement or (B) from the Administrative Agent, any Lender or the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or that such reinstatement would violate the proviso to the first sentence of </w:t>
      </w:r>
      <w:r>
        <w:rPr>
          <w:rFonts w:ascii="Arial" w:cs="Arial" w:eastAsia="Arial" w:hAnsi="Arial"/>
          <w:sz w:val="16"/>
          <w:szCs w:val="16"/>
          <w:u w:val="single" w:color="auto"/>
          <w:color w:val="auto"/>
        </w:rPr>
        <w:t>Section 2.03(a)(i)</w:t>
      </w:r>
      <w:r>
        <w:rPr>
          <w:rFonts w:ascii="Arial" w:cs="Arial" w:eastAsia="Arial" w:hAnsi="Arial"/>
          <w:sz w:val="16"/>
          <w:szCs w:val="16"/>
          <w:color w:val="auto"/>
        </w:rPr>
        <w:t xml:space="preserve"> (treating such reinstatement as an L/C Credit Extension for purposes of this clause) and, in each case, directing such L/C Issuer not to permit such reinstatement.</w:t>
      </w:r>
    </w:p>
    <w:p>
      <w:pPr>
        <w:spacing w:after="0" w:line="41" w:lineRule="exact"/>
        <w:rPr>
          <w:sz w:val="20"/>
          <w:szCs w:val="20"/>
          <w:color w:val="auto"/>
        </w:rPr>
      </w:pPr>
    </w:p>
    <w:p>
      <w:pPr>
        <w:jc w:val="both"/>
        <w:ind w:left="440" w:right="20" w:firstLine="419"/>
        <w:spacing w:after="0" w:line="263" w:lineRule="auto"/>
        <w:tabs>
          <w:tab w:leader="none" w:pos="12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291" w:lineRule="exact"/>
        <w:rPr>
          <w:rFonts w:ascii="Arial" w:cs="Arial" w:eastAsia="Arial" w:hAnsi="Arial"/>
          <w:sz w:val="18"/>
          <w:szCs w:val="18"/>
          <w:color w:val="auto"/>
        </w:rPr>
      </w:pPr>
    </w:p>
    <w:p>
      <w:pPr>
        <w:ind w:left="820" w:hanging="38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6" w:lineRule="auto"/>
        <w:tabs>
          <w:tab w:leader="none" w:pos="1213" w:val="left"/>
        </w:tabs>
        <w:numPr>
          <w:ilvl w:val="1"/>
          <w:numId w:val="40"/>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applicable L/C Issuer shall notify the Borrower and the Administrative Agent thereof. Not later than 1:00 p.m. on the date of any payment by the applicable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xml:space="preserve">”), the Borrower shall reimburse such L/C Issuer through the Administrative Agent in an amount equal to the amount of such drawing;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payment is made by an L/C Issuer after 1:00 p.m. on an Honor Date, such reimbursement shall occur not later than 1:00 p.m. on the first Business Day occurring after such Honor Date. If the Borrower fails to so reimburse the applicable L/C Issuer by such time, the Administrative Agent shall 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Borrower shall be deemed to have requested a Committed Borrowing of Base Rate Loans in Dollars to be disbursed on the Honor Date in an amount equal to the Unreimbursed Amount (or, in the case of any Unreimbursed Amount in respect of any Canadian L/C, in an amount equal to the Dollar Equivalent Amount of such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Any notice given by the applicable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63" w:lineRule="exact"/>
        <w:rPr>
          <w:sz w:val="20"/>
          <w:szCs w:val="20"/>
          <w:color w:val="auto"/>
        </w:rPr>
      </w:pPr>
    </w:p>
    <w:p>
      <w:pPr>
        <w:ind w:left="440" w:right="380" w:firstLine="419"/>
        <w:spacing w:after="0" w:line="255" w:lineRule="auto"/>
        <w:tabs>
          <w:tab w:leader="none" w:pos="1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Each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to the Administrative Agent (and the Administrative Agent may apply Cash Collateral provided for this purpose) for the account of the applicable L/C Issuer at the Administrative Agent’s Office in an amount equal to its Applicable Percentage of the Unreimbursed Amount not later than 3:00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Lender that so makes funds available shall be deemed to have made a Base Rate Committed Loan to the Borrower in such amount. The Administrative Agent shall remit the funds so received to the applicable L/C Issuer.</w:t>
      </w:r>
    </w:p>
    <w:p>
      <w:pPr>
        <w:spacing w:after="0" w:line="84" w:lineRule="exact"/>
        <w:rPr>
          <w:rFonts w:ascii="Arial" w:cs="Arial" w:eastAsia="Arial" w:hAnsi="Arial"/>
          <w:sz w:val="18"/>
          <w:szCs w:val="18"/>
          <w:color w:val="auto"/>
        </w:rPr>
      </w:pPr>
    </w:p>
    <w:p>
      <w:pPr>
        <w:ind w:left="440" w:right="40" w:firstLine="419"/>
        <w:spacing w:after="0" w:line="293" w:lineRule="auto"/>
        <w:tabs>
          <w:tab w:leader="none" w:pos="130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Committed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40" w:firstLine="419"/>
        <w:spacing w:after="0" w:line="263" w:lineRule="auto"/>
        <w:tabs>
          <w:tab w:leader="none" w:pos="13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Until each Lender funds its Committed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Percentage of such amount shall be solely for the account of the applicable L/C Issuer.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62" w:name="page63"/>
    <w:bookmarkEnd w:id="62"/>
    <w:p>
      <w:pPr>
        <w:ind w:left="440" w:right="40" w:firstLine="419"/>
        <w:spacing w:after="0" w:line="290" w:lineRule="auto"/>
        <w:tabs>
          <w:tab w:leader="none" w:pos="1253" w:val="left"/>
        </w:tabs>
        <w:numPr>
          <w:ilvl w:val="1"/>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Each Lender’s obligation to make Committed Loans or L/C Advances to reimburse the applicable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applicable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Committed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Committed Loan Notice). No such making of an L/C Advance shall relieve or otherwise impair the obligation of the Borrower to reimburse the applicable L/C Issuer for the amount of any payment made by such L/C Issuer under any Letter of Credit, together with interest as provided herein.</w:t>
      </w:r>
    </w:p>
    <w:p>
      <w:pPr>
        <w:spacing w:after="0" w:line="57" w:lineRule="exact"/>
        <w:rPr>
          <w:rFonts w:ascii="Arial" w:cs="Arial" w:eastAsia="Arial" w:hAnsi="Arial"/>
          <w:sz w:val="16"/>
          <w:szCs w:val="16"/>
          <w:color w:val="auto"/>
        </w:rPr>
      </w:pPr>
    </w:p>
    <w:p>
      <w:pPr>
        <w:ind w:left="440" w:right="60" w:firstLine="419"/>
        <w:spacing w:after="0" w:line="288" w:lineRule="auto"/>
        <w:tabs>
          <w:tab w:leader="none" w:pos="1303"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(other than interest and fees as aforesaid)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be conclusive absent manifest error.</w:t>
      </w:r>
    </w:p>
    <w:p>
      <w:pPr>
        <w:spacing w:after="0" w:line="276" w:lineRule="exact"/>
        <w:rPr>
          <w:rFonts w:ascii="Arial" w:cs="Arial" w:eastAsia="Arial" w:hAnsi="Arial"/>
          <w:sz w:val="16"/>
          <w:szCs w:val="16"/>
          <w:color w:val="auto"/>
        </w:rPr>
      </w:pPr>
    </w:p>
    <w:p>
      <w:pPr>
        <w:ind w:left="820" w:hanging="38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73" w:lineRule="auto"/>
        <w:tabs>
          <w:tab w:leader="none" w:pos="1203"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At any time after the applicable L/C Issuer has made a payment under any Letter of Credit and has received from any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69" w:lineRule="exact"/>
        <w:rPr>
          <w:rFonts w:ascii="Arial" w:cs="Arial" w:eastAsia="Arial" w:hAnsi="Arial"/>
          <w:sz w:val="17"/>
          <w:szCs w:val="17"/>
          <w:color w:val="auto"/>
        </w:rPr>
      </w:pPr>
    </w:p>
    <w:p>
      <w:pPr>
        <w:ind w:left="440" w:right="40" w:firstLine="419"/>
        <w:spacing w:after="0" w:line="273" w:lineRule="auto"/>
        <w:tabs>
          <w:tab w:leader="none" w:pos="1263"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applicable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such L/C Issuer in its discretion), each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ind w:right="260" w:firstLine="436"/>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applicable L/C Issuer for each drawing under each Letter of Credit and to repay each L/C Borrowing shall be absolute,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3" w:name="page64"/>
    <w:bookmarkEnd w:id="63"/>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unconditional and irrevocable, and shall be paid strictly in accordance with the terms of this Agreement under all circumstances, including the following:</w:t>
      </w:r>
    </w:p>
    <w:p>
      <w:pPr>
        <w:spacing w:after="0" w:line="62" w:lineRule="exact"/>
        <w:rPr>
          <w:sz w:val="20"/>
          <w:szCs w:val="20"/>
          <w:color w:val="auto"/>
        </w:rPr>
      </w:pPr>
    </w:p>
    <w:p>
      <w:pPr>
        <w:ind w:left="1200" w:hanging="34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440" w:right="340" w:firstLine="419"/>
        <w:spacing w:after="0" w:line="279" w:lineRule="auto"/>
        <w:tabs>
          <w:tab w:leader="none" w:pos="126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63" w:lineRule="exact"/>
        <w:rPr>
          <w:rFonts w:ascii="Arial" w:cs="Arial" w:eastAsia="Arial" w:hAnsi="Arial"/>
          <w:sz w:val="17"/>
          <w:szCs w:val="17"/>
          <w:color w:val="auto"/>
        </w:rPr>
      </w:pPr>
    </w:p>
    <w:p>
      <w:pPr>
        <w:ind w:left="440" w:right="100" w:firstLine="419"/>
        <w:spacing w:after="0" w:line="263" w:lineRule="auto"/>
        <w:tabs>
          <w:tab w:leader="none" w:pos="13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3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waiver by an L/C Issuer of any requirement that exists for such L/C Issuer’s protection and not the protection of the Borrower or any waiver by an L/C Issuer which does not in fact materially prejudice the Borrower;</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140" w:lineRule="exact"/>
        <w:rPr>
          <w:rFonts w:ascii="Arial" w:cs="Arial" w:eastAsia="Arial" w:hAnsi="Arial"/>
          <w:sz w:val="16"/>
          <w:szCs w:val="16"/>
          <w:color w:val="auto"/>
        </w:rPr>
      </w:pPr>
    </w:p>
    <w:p>
      <w:pPr>
        <w:ind w:left="440" w:right="40" w:firstLine="419"/>
        <w:spacing w:after="0" w:line="263" w:lineRule="auto"/>
        <w:tabs>
          <w:tab w:leader="none" w:pos="13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payment made by an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75" w:lineRule="exact"/>
        <w:rPr>
          <w:rFonts w:ascii="Arial" w:cs="Arial" w:eastAsia="Arial" w:hAnsi="Arial"/>
          <w:sz w:val="18"/>
          <w:szCs w:val="18"/>
          <w:color w:val="auto"/>
        </w:rPr>
      </w:pPr>
    </w:p>
    <w:p>
      <w:pPr>
        <w:ind w:left="440" w:firstLine="419"/>
        <w:spacing w:after="0" w:line="25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79" w:lineRule="exact"/>
        <w:rPr>
          <w:rFonts w:ascii="Arial" w:cs="Arial" w:eastAsia="Arial" w:hAnsi="Arial"/>
          <w:sz w:val="18"/>
          <w:szCs w:val="18"/>
          <w:color w:val="auto"/>
        </w:rPr>
      </w:pPr>
    </w:p>
    <w:p>
      <w:pPr>
        <w:ind w:left="440" w:right="220" w:firstLine="419"/>
        <w:spacing w:after="0" w:line="277" w:lineRule="auto"/>
        <w:tabs>
          <w:tab w:leader="none" w:pos="14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the applicable L/C Issuer and its correspondents unless such notice is given as aforesaid.</w:t>
      </w:r>
    </w:p>
    <w:p>
      <w:pPr>
        <w:spacing w:after="0" w:line="187" w:lineRule="exact"/>
        <w:rPr>
          <w:sz w:val="20"/>
          <w:szCs w:val="20"/>
          <w:color w:val="auto"/>
        </w:rPr>
      </w:pPr>
    </w:p>
    <w:p>
      <w:pPr>
        <w:jc w:val="both"/>
        <w:ind w:right="80" w:firstLine="436"/>
        <w:spacing w:after="0" w:line="287"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Each Lender and the Borrower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2"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None of the applicable L/C Issuer, the Administrative Agent, any of their respective Related Parties nor any correspondent, participant or assignee of the applicable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assumption is not intended to, and shall not,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4" w:name="page65"/>
    <w:bookmarkEnd w:id="6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preclude the Borrower’s pursuing such rights and remedies as it may have against the beneficiary or transferee at law or under any other agreement. None of the applicable L/C Issuer, the Administrative Agent, any of their respective Related Parties nor any correspondent, participant or assignee of such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such L/C Issuer, and such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174" w:lineRule="exact"/>
        <w:rPr>
          <w:sz w:val="20"/>
          <w:szCs w:val="20"/>
          <w:color w:val="auto"/>
        </w:rPr>
      </w:pPr>
    </w:p>
    <w:p>
      <w:pPr>
        <w:ind w:firstLine="436"/>
        <w:spacing w:after="0" w:line="254" w:lineRule="auto"/>
        <w:tabs>
          <w:tab w:leader="none" w:pos="83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applicable L/C Issuer and the Borrower when a Letter of Credit is issued (including any such agreement applicable to an Existing Letter of Credit), the rules of the ISP shall apply to each Letter of Credit.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an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1" w:lineRule="exact"/>
        <w:rPr>
          <w:rFonts w:ascii="Arial" w:cs="Arial" w:eastAsia="Arial" w:hAnsi="Arial"/>
          <w:sz w:val="18"/>
          <w:szCs w:val="18"/>
          <w:color w:val="auto"/>
        </w:rPr>
      </w:pPr>
    </w:p>
    <w:p>
      <w:pPr>
        <w:ind w:firstLine="436"/>
        <w:spacing w:after="0" w:line="286" w:lineRule="auto"/>
        <w:tabs>
          <w:tab w:leader="none" w:pos="83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or in the case of a Canadian L/C the Dollar Equivalent Amount of such daily amount available to be drawn under such Canadian L/C;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has not provided Cash Collateral satisfactory to the L/C Issuer pursuant to </w:t>
      </w:r>
      <w:r>
        <w:rPr>
          <w:rFonts w:ascii="Arial" w:cs="Arial" w:eastAsia="Arial" w:hAnsi="Arial"/>
          <w:sz w:val="16"/>
          <w:szCs w:val="16"/>
          <w:u w:val="single" w:color="auto"/>
          <w:color w:val="auto"/>
        </w:rPr>
        <w:t>Section 2.16(b)</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5" w:name="page66"/>
    <w:bookmarkEnd w:id="65"/>
    <w:p>
      <w:pPr>
        <w:ind w:left="4" w:firstLine="436"/>
        <w:spacing w:after="0" w:line="289" w:lineRule="auto"/>
        <w:tabs>
          <w:tab w:leader="none" w:pos="79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Fronting Fee and Documentary and Processing Charges Payable to L/C Issuer</w:t>
      </w:r>
      <w:r>
        <w:rPr>
          <w:rFonts w:ascii="Arial" w:cs="Arial" w:eastAsia="Arial" w:hAnsi="Arial"/>
          <w:sz w:val="16"/>
          <w:szCs w:val="16"/>
          <w:color w:val="auto"/>
        </w:rPr>
        <w:t xml:space="preserve">. The Borrower shall pay directly to each L/C Issuer for its own account a fronting fee with respect to each Letter of Credit issued by such L/C Issuer in an amount to be determined by the Borrower and the applicable L/C Issuer. Such fronting fee shall be due and payable in full by the Borrower to the applicable L/C Issuers, with respect to each Letter of Credit, quarterly in arrears on the first Business Day after the end of each March, June, September and December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unless otherwise agreed with the applicable L/C Issuer,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66" w:lineRule="exact"/>
        <w:rPr>
          <w:rFonts w:ascii="Arial" w:cs="Arial" w:eastAsia="Arial" w:hAnsi="Arial"/>
          <w:sz w:val="16"/>
          <w:szCs w:val="16"/>
          <w:color w:val="auto"/>
        </w:rPr>
      </w:pPr>
    </w:p>
    <w:p>
      <w:pPr>
        <w:ind w:left="4" w:right="520" w:firstLine="436"/>
        <w:spacing w:after="0" w:line="277" w:lineRule="auto"/>
        <w:tabs>
          <w:tab w:leader="none" w:pos="79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ind w:left="4" w:right="40" w:firstLine="436"/>
        <w:spacing w:after="0" w:line="257" w:lineRule="auto"/>
        <w:tabs>
          <w:tab w:leader="none" w:pos="83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Reporting of Letter of Credit Information</w:t>
      </w:r>
      <w:r>
        <w:rPr>
          <w:rFonts w:ascii="Arial" w:cs="Arial" w:eastAsia="Arial" w:hAnsi="Arial"/>
          <w:sz w:val="18"/>
          <w:szCs w:val="18"/>
          <w:color w:val="auto"/>
        </w:rPr>
        <w:t xml:space="preserve">. For so long as any Letter of Credit issued by an L/C Issuer other than the Administrative Agent is outstanding, such L/C Issuer shall deliver to the Administrative Agent on the last Business Day of each calendar month, and on each date that an L/C Credit Extension occurs with respect to any such Letter of Credit, a report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appropriately completed with the information for every outstanding Letter of Credit issued by such L/C Issuer. The Administrative Agent shall deliver to the Lenders on a monthly basis a report of all outstanding Letters of Credit.</w:t>
      </w:r>
    </w:p>
    <w:p>
      <w:pPr>
        <w:spacing w:after="0" w:line="187" w:lineRule="exact"/>
        <w:rPr>
          <w:rFonts w:ascii="Arial" w:cs="Arial" w:eastAsia="Arial" w:hAnsi="Arial"/>
          <w:sz w:val="18"/>
          <w:szCs w:val="18"/>
          <w:color w:val="auto"/>
        </w:rPr>
      </w:pPr>
    </w:p>
    <w:p>
      <w:pPr>
        <w:ind w:left="4" w:right="100" w:firstLine="436"/>
        <w:spacing w:after="0" w:line="279" w:lineRule="auto"/>
        <w:tabs>
          <w:tab w:leader="none" w:pos="79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7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Swing Line Loans</w:t>
      </w:r>
      <w:r>
        <w:rPr>
          <w:rFonts w:ascii="Arial" w:cs="Arial" w:eastAsia="Arial" w:hAnsi="Arial"/>
          <w:sz w:val="16"/>
          <w:szCs w:val="16"/>
          <w:color w:val="auto"/>
        </w:rPr>
        <w:t>.</w:t>
      </w:r>
    </w:p>
    <w:p>
      <w:pPr>
        <w:spacing w:after="0" w:line="121" w:lineRule="exact"/>
        <w:rPr>
          <w:sz w:val="20"/>
          <w:szCs w:val="20"/>
          <w:color w:val="auto"/>
        </w:rPr>
      </w:pPr>
    </w:p>
    <w:p>
      <w:pPr>
        <w:ind w:left="4" w:right="60" w:firstLine="436"/>
        <w:spacing w:after="0" w:line="285" w:lineRule="auto"/>
        <w:tabs>
          <w:tab w:leader="none" w:pos="68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in Dollars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4" w:right="100" w:hanging="4"/>
        <w:spacing w:after="0" w:line="267" w:lineRule="auto"/>
        <w:tabs>
          <w:tab w:leader="none" w:pos="259"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after giving effect to any Swing Line Loan, (i) the Total Outstandings shall not exceed the Aggregate Commitments, and (ii)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shall not exceed such Lender’s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 deemed a Base Rate Loan notwithstanding anything to the contrary in </w:t>
      </w:r>
      <w:r>
        <w:rPr>
          <w:rFonts w:ascii="Arial" w:cs="Arial" w:eastAsia="Arial" w:hAnsi="Arial"/>
          <w:sz w:val="17"/>
          <w:szCs w:val="17"/>
          <w:u w:val="single" w:color="auto"/>
          <w:color w:val="auto"/>
        </w:rPr>
        <w:t>Section 2.08(a)(iii)</w:t>
      </w:r>
      <w:r>
        <w:rPr>
          <w:rFonts w:ascii="Arial" w:cs="Arial" w:eastAsia="Arial" w:hAnsi="Arial"/>
          <w:sz w:val="17"/>
          <w:szCs w:val="17"/>
          <w:color w:val="auto"/>
        </w:rPr>
        <w:t xml:space="preserve"> regarding the interest rate applicable to such Swing Line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66" w:name="page67"/>
    <w:bookmarkEnd w:id="66"/>
    <w:p>
      <w:pPr>
        <w:ind w:left="4" w:right="20" w:firstLine="436"/>
        <w:spacing w:after="0" w:line="283" w:lineRule="auto"/>
        <w:tabs>
          <w:tab w:leader="none" w:pos="83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Borrowing Procedures</w:t>
      </w:r>
      <w:r>
        <w:rPr>
          <w:rFonts w:ascii="Arial" w:cs="Arial" w:eastAsia="Arial" w:hAnsi="Arial"/>
          <w:sz w:val="16"/>
          <w:szCs w:val="16"/>
          <w:color w:val="auto"/>
        </w:rPr>
        <w:t>. Each Swing Line Borrowing shall be made upon the Borrower’s irrevocable notice to the Swing Line Lender and the 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3:00 p.m. on the requested borrowing date, and shall specify (i) the amount to be borrowed, which shall be a minimum of $1,000,000 or an integral multiple thereof,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Lender) prior to 3:30 p.m. on the date of the proposed Swing Line Borrowing</w:t>
      </w:r>
    </w:p>
    <w:p>
      <w:pPr>
        <w:spacing w:after="0" w:line="5" w:lineRule="exact"/>
        <w:rPr>
          <w:rFonts w:ascii="Arial" w:cs="Arial" w:eastAsia="Arial" w:hAnsi="Arial"/>
          <w:sz w:val="16"/>
          <w:szCs w:val="16"/>
          <w:color w:val="auto"/>
        </w:rPr>
      </w:pPr>
    </w:p>
    <w:p>
      <w:pPr>
        <w:ind w:left="4" w:right="20" w:hanging="4"/>
        <w:spacing w:after="0" w:line="253" w:lineRule="auto"/>
        <w:tabs>
          <w:tab w:leader="none" w:pos="2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will, not later than 4:00 p.m. on the borrowing date specified in such Swing Line Loan Notice, make the amount of its Swing Line Loan available to the Borrower at its office by crediting the account of the Borrower on the books of the Swing Line Lender in immediately available funds.</w:t>
      </w:r>
    </w:p>
    <w:p>
      <w:pPr>
        <w:spacing w:after="0" w:line="298" w:lineRule="exact"/>
        <w:rPr>
          <w:rFonts w:ascii="Arial" w:cs="Arial" w:eastAsia="Arial" w:hAnsi="Arial"/>
          <w:sz w:val="18"/>
          <w:szCs w:val="18"/>
          <w:color w:val="auto"/>
        </w:rPr>
      </w:pPr>
    </w:p>
    <w:p>
      <w:pPr>
        <w:ind w:left="824" w:hanging="384"/>
        <w:spacing w:after="0"/>
        <w:tabs>
          <w:tab w:leader="none" w:pos="82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419"/>
        <w:spacing w:after="0" w:line="287" w:lineRule="auto"/>
        <w:tabs>
          <w:tab w:leader="none" w:pos="1213" w:val="left"/>
        </w:tabs>
        <w:numPr>
          <w:ilvl w:val="2"/>
          <w:numId w:val="51"/>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Borrower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3:00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to the Borrower in such amount. The Administrative Agent shall remit the funds so received to the Swing Line Lender.</w:t>
      </w:r>
    </w:p>
    <w:p>
      <w:pPr>
        <w:spacing w:after="0" w:line="59" w:lineRule="exact"/>
        <w:rPr>
          <w:rFonts w:ascii="Arial" w:cs="Arial" w:eastAsia="Arial" w:hAnsi="Arial"/>
          <w:sz w:val="16"/>
          <w:szCs w:val="16"/>
          <w:color w:val="auto"/>
        </w:rPr>
      </w:pPr>
    </w:p>
    <w:p>
      <w:pPr>
        <w:ind w:left="444" w:right="80" w:firstLine="419"/>
        <w:spacing w:after="0" w:line="301" w:lineRule="auto"/>
        <w:tabs>
          <w:tab w:leader="none" w:pos="1267" w:val="left"/>
        </w:tabs>
        <w:numPr>
          <w:ilvl w:val="2"/>
          <w:numId w:val="51"/>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49" w:lineRule="exact"/>
        <w:rPr>
          <w:rFonts w:ascii="Arial" w:cs="Arial" w:eastAsia="Arial" w:hAnsi="Arial"/>
          <w:sz w:val="16"/>
          <w:szCs w:val="16"/>
          <w:color w:val="auto"/>
        </w:rPr>
      </w:pPr>
    </w:p>
    <w:p>
      <w:pPr>
        <w:ind w:left="444" w:right="20" w:firstLine="419"/>
        <w:spacing w:after="0" w:line="301" w:lineRule="auto"/>
        <w:tabs>
          <w:tab w:leader="none" w:pos="1317" w:val="left"/>
        </w:tabs>
        <w:numPr>
          <w:ilvl w:val="2"/>
          <w:numId w:val="51"/>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67" w:name="page68"/>
    <w:bookmarkEnd w:id="67"/>
    <w:p>
      <w:pPr>
        <w:jc w:val="both"/>
        <w:ind w:left="440"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(other than interest and fees as aforesaid)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70" w:lineRule="exact"/>
        <w:rPr>
          <w:sz w:val="20"/>
          <w:szCs w:val="20"/>
          <w:color w:val="auto"/>
        </w:rPr>
      </w:pPr>
    </w:p>
    <w:p>
      <w:pPr>
        <w:ind w:left="440" w:firstLine="419"/>
        <w:spacing w:after="0" w:line="254" w:lineRule="auto"/>
        <w:tabs>
          <w:tab w:leader="none" w:pos="1303"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Each Lender’s obligation to make Committed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302" w:lineRule="exact"/>
        <w:rPr>
          <w:rFonts w:ascii="Arial" w:cs="Arial" w:eastAsia="Arial" w:hAnsi="Arial"/>
          <w:sz w:val="18"/>
          <w:szCs w:val="18"/>
          <w:color w:val="auto"/>
        </w:rPr>
      </w:pPr>
    </w:p>
    <w:p>
      <w:pPr>
        <w:ind w:left="820" w:hanging="384"/>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419"/>
        <w:spacing w:after="0" w:line="259" w:lineRule="auto"/>
        <w:tabs>
          <w:tab w:leader="none" w:pos="120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78" w:lineRule="exact"/>
        <w:rPr>
          <w:rFonts w:ascii="Arial" w:cs="Arial" w:eastAsia="Arial" w:hAnsi="Arial"/>
          <w:sz w:val="18"/>
          <w:szCs w:val="18"/>
          <w:color w:val="auto"/>
        </w:rPr>
      </w:pPr>
    </w:p>
    <w:p>
      <w:pPr>
        <w:ind w:left="440" w:firstLine="419"/>
        <w:spacing w:after="0" w:line="273" w:lineRule="auto"/>
        <w:tabs>
          <w:tab w:leader="none" w:pos="1263"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ind w:right="40" w:firstLine="436"/>
        <w:spacing w:after="0" w:line="259"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Lender funds its Base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86" w:lineRule="exact"/>
        <w:rPr>
          <w:rFonts w:ascii="Arial" w:cs="Arial" w:eastAsia="Arial" w:hAnsi="Arial"/>
          <w:sz w:val="18"/>
          <w:szCs w:val="18"/>
          <w:color w:val="auto"/>
        </w:rPr>
      </w:pPr>
    </w:p>
    <w:p>
      <w:pPr>
        <w:ind w:right="40" w:firstLine="436"/>
        <w:spacing w:after="0" w:line="27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27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Prepayments</w:t>
      </w:r>
      <w:r>
        <w:rPr>
          <w:rFonts w:ascii="Arial" w:cs="Arial" w:eastAsia="Arial" w:hAnsi="Arial"/>
          <w:sz w:val="15"/>
          <w:szCs w:val="15"/>
          <w:color w:val="auto"/>
        </w:rPr>
        <w:t>.</w:t>
      </w:r>
    </w:p>
    <w:p>
      <w:pPr>
        <w:spacing w:after="0" w:line="121" w:lineRule="exact"/>
        <w:rPr>
          <w:sz w:val="20"/>
          <w:szCs w:val="20"/>
          <w:color w:val="auto"/>
        </w:rPr>
      </w:pPr>
    </w:p>
    <w:p>
      <w:pPr>
        <w:ind w:firstLine="436"/>
        <w:spacing w:after="0" w:line="273" w:lineRule="auto"/>
        <w:tabs>
          <w:tab w:leader="none" w:pos="6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Borrower may, upon notice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in a form reasonably acceptable to the Administrative Agent and be received by the Administrative Agent not later than </w:t>
      </w:r>
      <w:r>
        <w:rPr>
          <w:rFonts w:ascii="Arial" w:cs="Arial" w:eastAsia="Arial" w:hAnsi="Arial"/>
          <w:sz w:val="17"/>
          <w:szCs w:val="17"/>
          <w:color w:val="FF0000"/>
          <w:strike w:val="1"/>
        </w:rPr>
        <w:t>1:00</w:t>
      </w:r>
      <w:r>
        <w:rPr>
          <w:rFonts w:ascii="Arial" w:cs="Arial" w:eastAsia="Arial" w:hAnsi="Arial"/>
          <w:sz w:val="17"/>
          <w:szCs w:val="17"/>
          <w:u w:val="single" w:color="auto"/>
          <w:color w:val="0000E1"/>
        </w:rPr>
        <w:t>2:00</w:t>
      </w:r>
      <w:r>
        <w:rPr>
          <w:rFonts w:ascii="Arial" w:cs="Arial" w:eastAsia="Arial" w:hAnsi="Arial"/>
          <w:sz w:val="17"/>
          <w:szCs w:val="17"/>
          <w:color w:val="auto"/>
        </w:rPr>
        <w:t xml:space="preserve"> p.m. (A) three Business Days prior to any date of prepayment of Eurodollar Rate Loans and (B) on the date of prepayment of Base Rate Committed Loans; (ii) any prepayment of Eurodollar Rate Loans shall be in a principal amount of $5,000,000 or a whole multiple of $1,000,000 in excess thereof; and (iii) any prepayment of Base Rate Committed Loans shall be in a principal amount of $500,000 or a whole multiple of $100,000 in excess thereof or, in each case, if less, the entire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-417195</wp:posOffset>
            </wp:positionV>
            <wp:extent cx="1968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8" w:name="page69"/>
    <w:bookmarkEnd w:id="6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principal amount thereof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Borrowing of Base Rate Loans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results in the aggregate principal amount of Base Rate Loans not being an integral multiple of $100,000, then the next prepayment of Base Rate Loans shall be in an amount that will cause the aggregate principal amount of all Base Rate Loans to be in an amount equal to an integral multiple of $100,000. Each such notice shall specify the date and amount of such prepayment and the Type(s) of Committed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each such prepayment shall be applied to the Committed Loans of the Lenders in accordance with their respective Applicable Percentages.</w:t>
      </w:r>
    </w:p>
    <w:p>
      <w:pPr>
        <w:spacing w:after="0" w:line="166" w:lineRule="exact"/>
        <w:rPr>
          <w:sz w:val="20"/>
          <w:szCs w:val="20"/>
          <w:color w:val="auto"/>
        </w:rPr>
      </w:pPr>
    </w:p>
    <w:p>
      <w:pPr>
        <w:ind w:right="40" w:firstLine="436"/>
        <w:spacing w:after="0" w:line="255" w:lineRule="auto"/>
        <w:tabs>
          <w:tab w:leader="none" w:pos="8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Lender and the Administrative Agent not later than 3:00 p.m. on the date of the prepayment, and (ii) any such prepayment shall be in a minimum principal amount of $100,000 or an integral multiple thereof.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92" w:lineRule="exact"/>
        <w:rPr>
          <w:rFonts w:ascii="Arial" w:cs="Arial" w:eastAsia="Arial" w:hAnsi="Arial"/>
          <w:sz w:val="18"/>
          <w:szCs w:val="18"/>
          <w:color w:val="auto"/>
        </w:rPr>
      </w:pPr>
    </w:p>
    <w:p>
      <w:pPr>
        <w:ind w:right="260" w:firstLine="436"/>
        <w:spacing w:after="0" w:line="259"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for any reason the Total Outstandings at any time exceed the Aggregate Commitments then in effect, the Borrower shall immediately prepay Loans and/or Cash Collateralize the L/C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not be required to Cash Collateralize the L/C Obligations pursuant to this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unless after the prepayment in full of the Loans the Total Outstandings exceed the Aggregate Commitments then in effect.</w:t>
      </w:r>
    </w:p>
    <w:p>
      <w:pPr>
        <w:spacing w:after="0" w:line="7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2.06 Termination or Reduction of Commitments</w:t>
      </w:r>
      <w:r>
        <w:rPr>
          <w:rFonts w:ascii="Arial" w:cs="Arial" w:eastAsia="Arial" w:hAnsi="Arial"/>
          <w:sz w:val="17"/>
          <w:szCs w:val="17"/>
          <w:color w:val="auto"/>
        </w:rPr>
        <w:t>. The Borrower may, upon notice to the Administrative Agent, terminate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Commitments, or from time to time permanently reduce the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Administrative Agent not later than </w:t>
      </w:r>
      <w:r>
        <w:rPr>
          <w:rFonts w:ascii="Arial" w:cs="Arial" w:eastAsia="Arial" w:hAnsi="Arial"/>
          <w:sz w:val="17"/>
          <w:szCs w:val="17"/>
          <w:color w:val="FF0000"/>
          <w:strike w:val="1"/>
        </w:rPr>
        <w:t>1:00</w:t>
      </w:r>
      <w:r>
        <w:rPr>
          <w:rFonts w:ascii="Arial" w:cs="Arial" w:eastAsia="Arial" w:hAnsi="Arial"/>
          <w:sz w:val="17"/>
          <w:szCs w:val="17"/>
          <w:u w:val="single" w:color="auto"/>
          <w:color w:val="0000E1"/>
        </w:rPr>
        <w:t>2:00</w:t>
      </w:r>
      <w:r>
        <w:rPr>
          <w:rFonts w:ascii="Arial" w:cs="Arial" w:eastAsia="Arial" w:hAnsi="Arial"/>
          <w:sz w:val="17"/>
          <w:szCs w:val="17"/>
          <w:color w:val="auto"/>
        </w:rPr>
        <w:t xml:space="preserve"> p.m. three Business Days prior to the date of termination or reduction (except that if no Loans are outstanding hereunder and no Letters of Credit are issued and outstanding hereunder or the effectiveness of a new credit facility for the Borrower is conditioned on the termination of this Agreement, any notice terminating the Aggregate Commitments may be received on the date of termination), (ii) any such partial reduction shall be in an aggregate amount of $5,000,000 or any whole multiple of $1,000,000 in excess thereof, and (iii) the Borrower shall not terminate or reduce the Aggregate Commitments if, after giving effect thereto and to any concurrent prepayments hereunder, the Total Outstandings would exceed the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terminate the Aggregate Commitments if all Loans have been paid in full, the Borrower has Cash Collateralized, or provided other support acceptable to the applicable L/C Issuer(s) for, all outstanding Letters of Credit, and there are no outstanding L/C Borrowings.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-1376045</wp:posOffset>
            </wp:positionV>
            <wp:extent cx="1968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26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121" w:lineRule="exact"/>
        <w:rPr>
          <w:sz w:val="20"/>
          <w:szCs w:val="20"/>
          <w:color w:val="auto"/>
        </w:rPr>
      </w:pPr>
    </w:p>
    <w:p>
      <w:pPr>
        <w:ind w:left="820" w:hanging="384"/>
        <w:spacing w:after="0"/>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Borrower shall repay to the Lenders on the Maturity Date the aggregate principal amount of Committed Loans outstanding on such date.</w:t>
      </w:r>
    </w:p>
    <w:p>
      <w:pPr>
        <w:spacing w:after="0" w:line="248" w:lineRule="exact"/>
        <w:rPr>
          <w:rFonts w:ascii="Arial" w:cs="Arial" w:eastAsia="Arial" w:hAnsi="Arial"/>
          <w:sz w:val="16"/>
          <w:szCs w:val="16"/>
          <w:color w:val="auto"/>
        </w:rPr>
      </w:pPr>
    </w:p>
    <w:p>
      <w:pPr>
        <w:ind w:right="160" w:firstLine="436"/>
        <w:spacing w:after="0" w:line="277" w:lineRule="auto"/>
        <w:tabs>
          <w:tab w:leader="none" w:pos="8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shall repay each Swing Line Loan on the earlier to occur of (i) the fourth Business Day following the giving of notice by the Swing Line Lender to the Borrower and (ii) the Maturity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69" w:name="page70"/>
    <w:bookmarkEnd w:id="69"/>
    <w:p>
      <w:pPr>
        <w:ind w:left="44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2.08</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121" w:lineRule="exact"/>
        <w:rPr>
          <w:sz w:val="20"/>
          <w:szCs w:val="20"/>
          <w:color w:val="auto"/>
        </w:rPr>
      </w:pPr>
    </w:p>
    <w:p>
      <w:pPr>
        <w:ind w:right="100" w:firstLine="436"/>
        <w:spacing w:after="0" w:line="272" w:lineRule="auto"/>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(i) each Eurodollar Rate Loan shall bear interest on the outstanding principal amount thereof for each Interest Period at a rate per annum equal to the Eurodollar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 each Base Rate Committed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or such other rate as may be agreed to from time to time by the Borrower and the Swing Line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any purchase by the Lenders of a participation in any Swing Line Loan, the rate of interest on such Swing Line Loan shall not be less than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69" w:lineRule="exact"/>
        <w:rPr>
          <w:rFonts w:ascii="Arial" w:cs="Arial" w:eastAsia="Arial" w:hAnsi="Arial"/>
          <w:sz w:val="17"/>
          <w:szCs w:val="17"/>
          <w:color w:val="auto"/>
        </w:rPr>
      </w:pPr>
    </w:p>
    <w:p>
      <w:pPr>
        <w:ind w:left="440" w:right="120" w:hanging="4"/>
        <w:spacing w:after="0" w:line="263" w:lineRule="auto"/>
        <w:tabs>
          <w:tab w:leader="none" w:pos="8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jc w:val="both"/>
        <w:ind w:left="440" w:firstLine="419"/>
        <w:spacing w:after="0" w:line="259" w:lineRule="auto"/>
        <w:tabs>
          <w:tab w:leader="none" w:pos="1263"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(after giving effect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ind w:left="440" w:firstLine="419"/>
        <w:spacing w:after="0" w:line="263" w:lineRule="auto"/>
        <w:tabs>
          <w:tab w:leader="none" w:pos="13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ind w:left="1280" w:hanging="421"/>
        <w:spacing w:after="0"/>
        <w:tabs>
          <w:tab w:leader="none" w:pos="12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ind w:right="60" w:firstLine="436"/>
        <w:spacing w:after="0" w:line="263"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(h)</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ind w:right="80" w:firstLine="436"/>
        <w:spacing w:after="0" w:line="289"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The Borrower shall pay to the Administrative Agent for the account of each Lender in accordance with its Applicable Percentage, a facility fee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Aggregate Commitments (or, if the Aggregate Commitments have terminated, on the Outstanding Amount of all Committed Loans, Swing Line Loans and L/C Obligations), regardless of usage,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first Business Day after the end of each March, June, September and December, commencing with the first such date to occur after the Effective Date, and on the Maturity Date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74" w:lineRule="exact"/>
        <w:rPr>
          <w:rFonts w:ascii="Arial" w:cs="Arial" w:eastAsia="Arial" w:hAnsi="Arial"/>
          <w:sz w:val="16"/>
          <w:szCs w:val="16"/>
          <w:color w:val="auto"/>
        </w:rPr>
      </w:pPr>
    </w:p>
    <w:p>
      <w:pPr>
        <w:ind w:left="820" w:hanging="38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308" w:lineRule="auto"/>
        <w:tabs>
          <w:tab w:leader="none" w:pos="1209"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Borrower shall pay to the Arrangers and the Administrative Agent for their own respective accounts fees in the amounts and at the times specified in the Fee Letters. Such fees shall be fully earned when paid and shall not be refundable for any reason whatsoever.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70" w:name="page71"/>
    <w:bookmarkEnd w:id="70"/>
    <w:p>
      <w:pPr>
        <w:ind w:left="440" w:right="140" w:firstLine="419"/>
        <w:spacing w:after="0" w:line="277" w:lineRule="auto"/>
        <w:tabs>
          <w:tab w:leader="none" w:pos="1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58"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2.10 Computation of Interest and Fees</w:t>
      </w:r>
      <w:r>
        <w:rPr>
          <w:rFonts w:ascii="Arial" w:cs="Arial" w:eastAsia="Arial" w:hAnsi="Arial"/>
          <w:sz w:val="16"/>
          <w:szCs w:val="16"/>
          <w:color w:val="auto"/>
        </w:rPr>
        <w:t>. All computations of interest for Base Rate Loans shall be made on the basis of a year of 365 or 366</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268"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89" w:lineRule="auto"/>
        <w:tabs>
          <w:tab w:leader="none" w:pos="81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66" w:lineRule="exact"/>
        <w:rPr>
          <w:rFonts w:ascii="Arial" w:cs="Arial" w:eastAsia="Arial" w:hAnsi="Arial"/>
          <w:sz w:val="16"/>
          <w:szCs w:val="16"/>
          <w:color w:val="auto"/>
        </w:rPr>
      </w:pPr>
    </w:p>
    <w:p>
      <w:pPr>
        <w:ind w:right="80" w:firstLine="436"/>
        <w:spacing w:after="0" w:line="301" w:lineRule="auto"/>
        <w:tabs>
          <w:tab w:leader="none" w:pos="83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subsection (a)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6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121" w:lineRule="exact"/>
        <w:rPr>
          <w:sz w:val="20"/>
          <w:szCs w:val="20"/>
          <w:color w:val="auto"/>
        </w:rPr>
      </w:pPr>
    </w:p>
    <w:p>
      <w:pPr>
        <w:ind w:right="40" w:firstLine="436"/>
        <w:spacing w:after="0" w:line="253"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3:00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88" w:lineRule="exact"/>
        <w:rPr>
          <w:rFonts w:ascii="Arial" w:cs="Arial" w:eastAsia="Arial" w:hAnsi="Arial"/>
          <w:sz w:val="18"/>
          <w:szCs w:val="18"/>
          <w:color w:val="auto"/>
        </w:rPr>
      </w:pPr>
    </w:p>
    <w:p>
      <w:pPr>
        <w:ind w:left="440" w:right="200" w:hanging="4"/>
        <w:spacing w:after="0" w:line="259" w:lineRule="auto"/>
        <w:tabs>
          <w:tab w:leader="none" w:pos="8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Committed Borrowing of Eurodollar Rate Loans (or, in the case of any Committed Borrowing of Base Rate Loans, prior to </w:t>
      </w:r>
      <w:r>
        <w:rPr>
          <w:rFonts w:ascii="Arial" w:cs="Arial" w:eastAsia="Arial" w:hAnsi="Arial"/>
          <w:sz w:val="18"/>
          <w:szCs w:val="18"/>
          <w:color w:val="FF0000"/>
          <w:strike w:val="1"/>
        </w:rPr>
        <w:t>2:00</w:t>
      </w:r>
      <w:r>
        <w:rPr>
          <w:rFonts w:ascii="Arial" w:cs="Arial" w:eastAsia="Arial" w:hAnsi="Arial"/>
          <w:sz w:val="18"/>
          <w:szCs w:val="18"/>
          <w:u w:val="single" w:color="auto"/>
          <w:color w:val="0000E1"/>
        </w:rPr>
        <w:t>3:00</w:t>
      </w:r>
      <w:r>
        <w:rPr>
          <w:rFonts w:ascii="Arial" w:cs="Arial" w:eastAsia="Arial" w:hAnsi="Arial"/>
          <w:sz w:val="18"/>
          <w:szCs w:val="18"/>
          <w:color w:val="auto"/>
        </w:rPr>
        <w:t xml:space="preserve"> p.m. on the date of such Committed Borrowing) that such Lender will not make available to the Administrative Agent such Lender’s share of such 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-137795</wp:posOffset>
            </wp:positionV>
            <wp:extent cx="2057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71" w:name="page72"/>
    <w:bookmarkEnd w:id="71"/>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Committed Borrowing available to the Administrative Agent, then the applicable Lender and the Borrower severally agree to pay to the Administrative Agent forthwith on demand such corresponding amount in immediately available funds with interest thereon, for each day from the date such amount is made available to the Borrower to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the applicable Borrowing.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Committed Borrowing to the Administrative Agent, then the amount so paid shall constitute such Lender’s Committed Loan included in such Committed Borrowing. Any payment by the Borrower shall be without prejudice to any claim the Borrower may have against a Lender that shall have failed to make such payment to the Administrative Agent.</w:t>
      </w:r>
    </w:p>
    <w:p>
      <w:pPr>
        <w:spacing w:after="0" w:line="63" w:lineRule="exact"/>
        <w:rPr>
          <w:sz w:val="20"/>
          <w:szCs w:val="20"/>
          <w:color w:val="auto"/>
        </w:rPr>
      </w:pPr>
    </w:p>
    <w:p>
      <w:pPr>
        <w:ind w:left="440" w:right="60" w:firstLine="419"/>
        <w:spacing w:after="0" w:line="270" w:lineRule="auto"/>
        <w:tabs>
          <w:tab w:leader="none" w:pos="1263"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Lenders or such L/C Issuer, as the case may be, the amount due. In such event, if the Borrower has not in fact made such payment, then each of the Lenders or the applicable L/C Issuer, as the case may be, severally agrees to repay to the Administrative Agent forthwith on demand the amount so distributed to such Lender or such L/C Issuer, in immediately available funds with interest thereon, for each day from the date such amount is distributed to it to the date of payment to the Administrative Agent, at the greater of the Federal Funds Rate and a rate determined by the Administrative Agent in accordance with banking industry rules on interbank compensation.</w:t>
      </w:r>
    </w:p>
    <w:p>
      <w:pPr>
        <w:spacing w:after="0" w:line="18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ind w:right="180" w:firstLine="436"/>
        <w:spacing w:after="0" w:line="301"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57" w:lineRule="exact"/>
        <w:rPr>
          <w:rFonts w:ascii="Arial" w:cs="Arial" w:eastAsia="Arial" w:hAnsi="Arial"/>
          <w:sz w:val="16"/>
          <w:szCs w:val="16"/>
          <w:color w:val="auto"/>
        </w:rPr>
      </w:pPr>
    </w:p>
    <w:p>
      <w:pPr>
        <w:ind w:right="120" w:firstLine="436"/>
        <w:spacing w:after="0" w:line="275" w:lineRule="auto"/>
        <w:tabs>
          <w:tab w:leader="none" w:pos="83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Committed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2" w:name="page73"/>
    <w:bookmarkEnd w:id="72"/>
    <w:p>
      <w:pPr>
        <w:ind w:firstLine="436"/>
        <w:spacing w:after="0" w:line="308" w:lineRule="auto"/>
        <w:tabs>
          <w:tab w:leader="none" w:pos="82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2.13 Sharing of Payments by Lenders</w:t>
      </w:r>
      <w:r>
        <w:rPr>
          <w:rFonts w:ascii="Arial" w:cs="Arial" w:eastAsia="Arial" w:hAnsi="Arial"/>
          <w:sz w:val="18"/>
          <w:szCs w:val="18"/>
          <w:color w:val="auto"/>
        </w:rPr>
        <w:t>. If any Lender shall, by exercising any right of setoff or counterclaim or otherwise, obtain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88" w:lineRule="exact"/>
        <w:rPr>
          <w:sz w:val="20"/>
          <w:szCs w:val="20"/>
          <w:color w:val="auto"/>
        </w:rPr>
      </w:pPr>
    </w:p>
    <w:p>
      <w:pPr>
        <w:ind w:left="440" w:firstLine="419"/>
        <w:spacing w:after="0" w:line="342" w:lineRule="auto"/>
        <w:tabs>
          <w:tab w:leader="none" w:pos="121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40" w:firstLine="419"/>
        <w:spacing w:after="0" w:line="275" w:lineRule="auto"/>
        <w:tabs>
          <w:tab w:leader="none" w:pos="1263"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(x) any payment made by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2.15</w:t>
      </w:r>
      <w:r>
        <w:rPr>
          <w:rFonts w:ascii="Arial" w:cs="Arial" w:eastAsia="Arial" w:hAnsi="Arial"/>
          <w:sz w:val="17"/>
          <w:szCs w:val="17"/>
          <w:color w:val="auto"/>
        </w:rPr>
        <w:t>, or (z) any payment obtained by a Lender as consideration for the assignment of or sale of a participation in any of its Committed Loans or sub-participations in L/C Obligations or Swing Line Loans to any assignee or participant, other than to the Borrower or any Subsidiary thereof (as to which the provisions of this Section shall apply).</w:t>
      </w:r>
    </w:p>
    <w:p>
      <w:pPr>
        <w:spacing w:after="0" w:line="176"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6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54"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xml:space="preserve">. Provided there exists no Default, upon notice to the Administrative Agent (which shall promptly notify the Lenders), the Borrower may from time to time, request an increase in the Aggregate Commitments by an amount (for all such requests) not exceeding $1,000,000,000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if any, by which the Aggregate Commitments have been reduced as the result of any termination of the Commitment of any Lender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request for an increase shall be in a minimum amount of $100,000,000, (ii) any such increased or additional Commitment shall be obtained from one or more existing Lenders (it being understood that no existing Lender shall be required to increase its Commitment) and/or other Persons that qualify as Eligible Assignees, and (iii) no increase in the Aggregate Commitments shall increase the Swing Line Sublimit.</w:t>
      </w:r>
    </w:p>
    <w:p>
      <w:pPr>
        <w:spacing w:after="0" w:line="194" w:lineRule="exact"/>
        <w:rPr>
          <w:rFonts w:ascii="Arial" w:cs="Arial" w:eastAsia="Arial" w:hAnsi="Arial"/>
          <w:sz w:val="18"/>
          <w:szCs w:val="18"/>
          <w:color w:val="auto"/>
        </w:rPr>
      </w:pPr>
    </w:p>
    <w:p>
      <w:pPr>
        <w:ind w:right="320" w:firstLine="436"/>
        <w:spacing w:after="0" w:line="277" w:lineRule="auto"/>
        <w:tabs>
          <w:tab w:leader="none" w:pos="83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Additional Lenders</w:t>
      </w:r>
      <w:r>
        <w:rPr>
          <w:rFonts w:ascii="Arial" w:cs="Arial" w:eastAsia="Arial" w:hAnsi="Arial"/>
          <w:sz w:val="18"/>
          <w:szCs w:val="18"/>
          <w:color w:val="auto"/>
        </w:rPr>
        <w:t xml:space="preserve">. Any Person that is to become a Lender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execute and deliver a joinder agreement in form and substance reasonably satisfactory to the Administrative Agent and its counsel.</w:t>
      </w:r>
    </w:p>
    <w:p>
      <w:pPr>
        <w:spacing w:after="0" w:line="170" w:lineRule="exact"/>
        <w:rPr>
          <w:rFonts w:ascii="Arial" w:cs="Arial" w:eastAsia="Arial" w:hAnsi="Arial"/>
          <w:sz w:val="18"/>
          <w:szCs w:val="18"/>
          <w:color w:val="auto"/>
        </w:rPr>
      </w:pPr>
    </w:p>
    <w:p>
      <w:pPr>
        <w:jc w:val="both"/>
        <w:ind w:right="80" w:firstLine="436"/>
        <w:spacing w:after="0" w:line="259"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Aggregate Commitments are increased in accordance with this Section, the Administrative Agent and the Borrower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increase. The Administrative Agent shall promptly notify the Borrower and the Lenders of the Increase Effective Date and the Commitments and Applicable Percentages of the Lenders after giving effect thereto.</w:t>
      </w:r>
    </w:p>
    <w:p>
      <w:pPr>
        <w:spacing w:after="0" w:line="186" w:lineRule="exact"/>
        <w:rPr>
          <w:rFonts w:ascii="Arial" w:cs="Arial" w:eastAsia="Arial" w:hAnsi="Arial"/>
          <w:sz w:val="18"/>
          <w:szCs w:val="18"/>
          <w:color w:val="auto"/>
        </w:rPr>
      </w:pPr>
    </w:p>
    <w:p>
      <w:pPr>
        <w:ind w:right="120" w:firstLine="436"/>
        <w:spacing w:after="0" w:line="277" w:lineRule="auto"/>
        <w:tabs>
          <w:tab w:leader="none" w:pos="83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As a condition precedent to such increase, the Borrower shall deliver to the Administrative Agent a certificate of the Borrower dated as of the Increase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3" w:name="page74"/>
    <w:bookmarkEnd w:id="73"/>
    <w:p>
      <w:pPr>
        <w:ind w:left="4"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Effective Date signed by a Responsible Officer (i) certifying and attaching the resolutions adopted by the Borrower approving or consenting to such increase, and (ii) certifying that, before and after giving effect to such increase,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and</w:t>
      </w:r>
    </w:p>
    <w:p>
      <w:pPr>
        <w:spacing w:after="0" w:line="2" w:lineRule="exact"/>
        <w:rPr>
          <w:sz w:val="20"/>
          <w:szCs w:val="20"/>
          <w:color w:val="auto"/>
        </w:rPr>
      </w:pPr>
    </w:p>
    <w:p>
      <w:pPr>
        <w:jc w:val="both"/>
        <w:ind w:left="4" w:right="300" w:hanging="4"/>
        <w:spacing w:after="0" w:line="255" w:lineRule="auto"/>
        <w:tabs>
          <w:tab w:leader="none" w:pos="2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 Default exists. The Borrower shall prepay any Committed Loans outstanding on the Increase Effective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to the extent necessary to keep the outstanding Committed Loans ratable with any revised Applicable Percentages arising from any nonratable increase in the Commitments under this Section.</w:t>
      </w:r>
    </w:p>
    <w:p>
      <w:pPr>
        <w:spacing w:after="0" w:line="189" w:lineRule="exact"/>
        <w:rPr>
          <w:rFonts w:ascii="Arial" w:cs="Arial" w:eastAsia="Arial" w:hAnsi="Arial"/>
          <w:sz w:val="18"/>
          <w:szCs w:val="18"/>
          <w:color w:val="auto"/>
        </w:rPr>
      </w:pPr>
    </w:p>
    <w:p>
      <w:pPr>
        <w:ind w:left="824" w:hanging="384"/>
        <w:spacing w:after="0"/>
        <w:tabs>
          <w:tab w:leader="none" w:pos="82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329"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121" w:lineRule="exact"/>
        <w:rPr>
          <w:sz w:val="20"/>
          <w:szCs w:val="20"/>
          <w:color w:val="auto"/>
        </w:rPr>
      </w:pPr>
    </w:p>
    <w:p>
      <w:pPr>
        <w:ind w:left="4" w:right="20" w:firstLine="436"/>
        <w:spacing w:after="0" w:line="254" w:lineRule="auto"/>
        <w:tabs>
          <w:tab w:leader="none" w:pos="82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 Upon the request of any L/C Issuer, if such L/C Issuer has honored any full or partial drawing request under any Letter of Credit issued by such L/C Issuer and such drawing has resulted in an L/C Borrowing, the Borrower shall, in each case, immediately Cash Collateralize the then Outstanding Amount of all L/C Obligations with respect to such L/C Issuer; or (ii) upon the request of the Administrative Agent or any L/C Issuer if, as of the Letter of Credit Expiration Date, any L/C Obligation for any reason remains outstanding, the Borrower shall, in each case, immediately Cash Collateralize the then Outstanding Amount of all L/C Obligations. At any time that there shall exist a Defaulting Lender, immediately upon the request of the Administrative Agent, any L/C Issuer or the Swing Line Lender, the Borrower shall deliver to the Administrative Agent Cash Collateral in an amount sufficient to cover all Fronting Exposure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and any Cash Collateral provided by the Defaulting Lender).</w:t>
      </w:r>
    </w:p>
    <w:p>
      <w:pPr>
        <w:spacing w:after="0" w:line="191" w:lineRule="exact"/>
        <w:rPr>
          <w:rFonts w:ascii="Arial" w:cs="Arial" w:eastAsia="Arial" w:hAnsi="Arial"/>
          <w:sz w:val="18"/>
          <w:szCs w:val="18"/>
          <w:color w:val="auto"/>
        </w:rPr>
      </w:pPr>
    </w:p>
    <w:p>
      <w:pPr>
        <w:ind w:left="4" w:firstLine="436"/>
        <w:spacing w:after="0" w:line="269" w:lineRule="auto"/>
        <w:tabs>
          <w:tab w:leader="none" w:pos="83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All Cash Collateral (other than credit support not constituting funds subject to deposit) shall be maintained in blocked, non-interest bearing deposit accounts at Bank of America. The Borrower, and to the extent provided by any Lender, such Lender, hereby grants to (and subjects to the control of) the Administrative Agent, for the benefit of the Administrative Agent, the L/C Issuers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If at any time the Administrative Agent determines that Cash Collateral is subject to any right or claim of any Person other than the Administrative Agent as herein provided, or that the total amount of such Cash Collateral is less than the applicable Fronting Exposure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and other obligations secured thereby (as identified at the time such Cash Collateral is provided), the Borrower or the relevant Defaulting Lender will, promptly upon demand by the Administrative Agent, pay or provide to the Administrative Agent additional Cash Collateral in an amount sufficient to eliminate such deficiency.</w:t>
      </w:r>
    </w:p>
    <w:p>
      <w:pPr>
        <w:spacing w:after="0" w:line="185" w:lineRule="exact"/>
        <w:rPr>
          <w:rFonts w:ascii="Arial" w:cs="Arial" w:eastAsia="Arial" w:hAnsi="Arial"/>
          <w:sz w:val="17"/>
          <w:szCs w:val="17"/>
          <w:color w:val="auto"/>
        </w:rPr>
      </w:pPr>
    </w:p>
    <w:p>
      <w:pPr>
        <w:ind w:left="4" w:right="100" w:firstLine="436"/>
        <w:spacing w:after="0" w:line="257" w:lineRule="auto"/>
        <w:tabs>
          <w:tab w:leader="none" w:pos="82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(as identified at the time of the provision thereof) for which the Cash Collateral was so provided, prior to any other application of such property as may be provided for herein.</w:t>
      </w:r>
    </w:p>
    <w:p>
      <w:pPr>
        <w:spacing w:after="0" w:line="187" w:lineRule="exact"/>
        <w:rPr>
          <w:rFonts w:ascii="Arial" w:cs="Arial" w:eastAsia="Arial" w:hAnsi="Arial"/>
          <w:sz w:val="18"/>
          <w:szCs w:val="18"/>
          <w:color w:val="auto"/>
        </w:rPr>
      </w:pPr>
    </w:p>
    <w:p>
      <w:pPr>
        <w:ind w:left="4" w:right="40" w:firstLine="436"/>
        <w:spacing w:after="0" w:line="286" w:lineRule="auto"/>
        <w:tabs>
          <w:tab w:leader="none" w:pos="83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74" w:name="page75"/>
    <w:bookmarkEnd w:id="7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w:t>
      </w:r>
      <w:r>
        <w:rPr>
          <w:rFonts w:ascii="Arial" w:cs="Arial" w:eastAsia="Arial" w:hAnsi="Arial"/>
          <w:sz w:val="17"/>
          <w:szCs w:val="17"/>
          <w:u w:val="single" w:color="auto"/>
          <w:color w:val="auto"/>
        </w:rPr>
        <w:t>Section 10.06(b)(vii)</w:t>
      </w:r>
      <w:r>
        <w:rPr>
          <w:rFonts w:ascii="Arial" w:cs="Arial" w:eastAsia="Arial" w:hAnsi="Arial"/>
          <w:sz w:val="17"/>
          <w:szCs w:val="17"/>
          <w:color w:val="auto"/>
        </w:rPr>
        <w:t xml:space="preserve">)) or (ii) the Administrative Agent’s good faith determination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however,</w:t>
      </w:r>
    </w:p>
    <w:p>
      <w:pPr>
        <w:spacing w:after="0" w:line="35" w:lineRule="exact"/>
        <w:rPr>
          <w:sz w:val="20"/>
          <w:szCs w:val="20"/>
          <w:color w:val="auto"/>
        </w:rPr>
      </w:pPr>
    </w:p>
    <w:p>
      <w:pPr>
        <w:jc w:val="both"/>
        <w:ind w:left="4" w:right="280" w:hanging="4"/>
        <w:spacing w:after="0" w:line="253"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that Cash Collateral furnished by or on behalf of the Borrower shall not be released during the continuance of a Default or Event of Default (and following application as provided in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8.04</w:t>
      </w:r>
      <w:r>
        <w:rPr>
          <w:rFonts w:ascii="Arial" w:cs="Arial" w:eastAsia="Arial" w:hAnsi="Arial"/>
          <w:sz w:val="18"/>
          <w:szCs w:val="18"/>
          <w:color w:val="auto"/>
        </w:rPr>
        <w:t>), and (y) the Person providing Cash Collateral and the applicable L/C Issuer or Swing Line Lender, as applicable, may agree that Cash Collateral shall not be released but instead held to support future anticipated Fronting Exposure or other obligations.</w:t>
      </w:r>
    </w:p>
    <w:p>
      <w:pPr>
        <w:spacing w:after="0" w:line="29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121" w:lineRule="exact"/>
        <w:rPr>
          <w:sz w:val="20"/>
          <w:szCs w:val="20"/>
          <w:color w:val="auto"/>
        </w:rPr>
      </w:pPr>
    </w:p>
    <w:p>
      <w:pPr>
        <w:ind w:left="4" w:right="80" w:firstLine="436"/>
        <w:spacing w:after="0" w:line="277" w:lineRule="auto"/>
        <w:tabs>
          <w:tab w:leader="none" w:pos="82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4" w:right="80" w:firstLine="419"/>
        <w:spacing w:after="0" w:line="277" w:lineRule="auto"/>
        <w:tabs>
          <w:tab w:leader="none" w:pos="121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firstLine="419"/>
        <w:spacing w:after="0" w:line="282" w:lineRule="auto"/>
        <w:tabs>
          <w:tab w:leader="none" w:pos="1267"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Lender to any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the applicable L/C Issuer or Swing Line Lender, to be held as Cash Collateral for future funding obligations of that Defaulting Lender of any participation in any Swing Line Loan or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Swing Line Lender as a result of any judgment of a court of competent jurisdiction obtained by any Lender, L/C Issuer or Swing Line Lender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that Defaulting Lender has not fully funded its appropriate share and</w:t>
      </w:r>
    </w:p>
    <w:p>
      <w:pPr>
        <w:spacing w:after="0" w:line="11" w:lineRule="exact"/>
        <w:rPr>
          <w:rFonts w:ascii="Arial" w:cs="Arial" w:eastAsia="Arial" w:hAnsi="Arial"/>
          <w:sz w:val="16"/>
          <w:szCs w:val="16"/>
          <w:color w:val="auto"/>
        </w:rPr>
      </w:pPr>
    </w:p>
    <w:p>
      <w:pPr>
        <w:ind w:left="444" w:right="40" w:hanging="4"/>
        <w:spacing w:after="0" w:line="281" w:lineRule="auto"/>
        <w:tabs>
          <w:tab w:leader="none" w:pos="69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w:t>
      </w:r>
    </w:p>
    <w:p>
      <w:pPr>
        <w:spacing w:after="0" w:line="2"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02" w:lineRule="exact"/>
        <w:rPr>
          <w:rFonts w:ascii="Arial" w:cs="Arial" w:eastAsia="Arial" w:hAnsi="Arial"/>
          <w:sz w:val="16"/>
          <w:szCs w:val="16"/>
          <w:color w:val="auto"/>
        </w:rPr>
      </w:pPr>
    </w:p>
    <w:p>
      <w:pPr>
        <w:jc w:val="both"/>
        <w:ind w:left="444" w:right="60" w:firstLine="419"/>
        <w:spacing w:after="0" w:line="263" w:lineRule="auto"/>
        <w:tabs>
          <w:tab w:leader="none" w:pos="131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be entitled to receive any facility fee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only to extent allocable to the sum of (1) the Outstanding Amount of the Committed Loans funded by it and (2) its Applicable Percentage of the stated amount of Letters of Credit and Swing Line Loans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75" w:name="page76"/>
    <w:bookmarkEnd w:id="75"/>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which it has provided Cash Collateral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as applicable (and the Borrower shall (A) be required to pay to each of the L/C Issuers and the Swing Line Lender, as applicable, the amount of such fee allocable to its Fronting Exposure arising from that Defaulting Lender and (B) not be required to pay the remaining amount of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80" w:lineRule="exact"/>
        <w:rPr>
          <w:sz w:val="20"/>
          <w:szCs w:val="20"/>
          <w:color w:val="auto"/>
        </w:rPr>
      </w:pPr>
    </w:p>
    <w:p>
      <w:pPr>
        <w:ind w:left="440" w:right="40" w:firstLine="419"/>
        <w:spacing w:after="0" w:line="284" w:lineRule="auto"/>
        <w:tabs>
          <w:tab w:leader="none" w:pos="130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the “Applicable Percentage” of each non-Defaulting Lender shall be computed without giving effect to the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and Swing Line Loans shall not exceed the positive difference, if any, of</w:t>
      </w:r>
    </w:p>
    <w:p>
      <w:pPr>
        <w:spacing w:after="0" w:line="4" w:lineRule="exact"/>
        <w:rPr>
          <w:rFonts w:ascii="Arial" w:cs="Arial" w:eastAsia="Arial" w:hAnsi="Arial"/>
          <w:sz w:val="16"/>
          <w:szCs w:val="16"/>
          <w:color w:val="auto"/>
        </w:rPr>
      </w:pPr>
    </w:p>
    <w:p>
      <w:pPr>
        <w:ind w:left="440" w:right="100" w:hanging="4"/>
        <w:spacing w:after="0" w:line="253"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Committed Loans of that Lender. Subject to </w:t>
      </w:r>
      <w:r>
        <w:rPr>
          <w:rFonts w:ascii="Arial" w:cs="Arial" w:eastAsia="Arial" w:hAnsi="Arial"/>
          <w:sz w:val="18"/>
          <w:szCs w:val="18"/>
          <w:u w:val="single" w:color="auto"/>
          <w:color w:val="auto"/>
        </w:rPr>
        <w:t>Section 10.19</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3" w:lineRule="exact"/>
        <w:rPr>
          <w:sz w:val="20"/>
          <w:szCs w:val="20"/>
          <w:color w:val="auto"/>
        </w:rPr>
      </w:pPr>
    </w:p>
    <w:p>
      <w:pPr>
        <w:ind w:right="60" w:firstLine="436"/>
        <w:spacing w:after="0" w:line="288" w:lineRule="auto"/>
        <w:tabs>
          <w:tab w:leader="none" w:pos="83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whereupon that Lender will cease to be a Defaulting Lender; provided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7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Extension of Maturity Date</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54"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Borrower may, not more than twice during the term of this Agreement, by written notice to the Administrative Agent (who shall promptly notify the Lenders) not earlier than the second anniversary of the Effective Date and not later than nine (9) months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an additional one-year from the Existing Maturity Date, which request shall indicate the date by which each Lender shall respond to such request (which shall not be earlier than 30 days after the date the Administrative Agent is notified of such request unless otherwise agreed by the Administrative Agent in its sole discretion) (such date, the “</w:t>
      </w:r>
      <w:r>
        <w:rPr>
          <w:rFonts w:ascii="Arial" w:cs="Arial" w:eastAsia="Arial" w:hAnsi="Arial"/>
          <w:sz w:val="18"/>
          <w:szCs w:val="18"/>
          <w:u w:val="single" w:color="auto"/>
          <w:color w:val="auto"/>
        </w:rPr>
        <w:t>Notice Date</w:t>
      </w:r>
      <w:r>
        <w:rPr>
          <w:rFonts w:ascii="Arial" w:cs="Arial" w:eastAsia="Arial" w:hAnsi="Arial"/>
          <w:sz w:val="18"/>
          <w:szCs w:val="18"/>
          <w:color w:val="auto"/>
        </w:rPr>
        <w:t>”) and the date on which such extension shall be effective (which shall not be earlier than 35 days after the Administrative Agent is notified of such request, unless otherwise agreed by the Administrative Agent in its sole discretion) (such date, the “</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firstLine="436"/>
        <w:spacing w:after="0" w:line="263" w:lineRule="auto"/>
        <w:tabs>
          <w:tab w:leader="none" w:pos="8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Lender Elections to Extend</w:t>
      </w:r>
      <w:r>
        <w:rPr>
          <w:rFonts w:ascii="Arial" w:cs="Arial" w:eastAsia="Arial" w:hAnsi="Arial"/>
          <w:sz w:val="18"/>
          <w:szCs w:val="18"/>
          <w:color w:val="auto"/>
        </w:rPr>
        <w:t>. Each Lender, acting in its sole and individual discretion, shall, by notice to the Administrative Agent given on or prior to the Notice Date, advise the Administrative Agent whether or not such Lender agrees to such extension. Each Lender that has failed to notify the Administrative Agent as to whether it has agreed to a requested extension on or before the Notice Date shall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6" w:name="page77"/>
    <w:bookmarkEnd w:id="76"/>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deemed to have declined to extend its Maturity Date (each such Lender, together with all Lenders that have declined to extend their Maturity Date, collectively, the “</w:t>
      </w:r>
      <w:r>
        <w:rPr>
          <w:rFonts w:ascii="Arial" w:cs="Arial" w:eastAsia="Arial" w:hAnsi="Arial"/>
          <w:sz w:val="16"/>
          <w:szCs w:val="16"/>
          <w:u w:val="single" w:color="auto"/>
          <w:color w:val="auto"/>
        </w:rPr>
        <w:t>Non-Extending Lenders</w:t>
      </w:r>
      <w:r>
        <w:rPr>
          <w:rFonts w:ascii="Arial" w:cs="Arial" w:eastAsia="Arial" w:hAnsi="Arial"/>
          <w:sz w:val="16"/>
          <w:szCs w:val="16"/>
          <w:color w:val="auto"/>
        </w:rPr>
        <w:t>”). The election of any Lender to agree to such extension shall not obligate any other Lender to so agree.</w:t>
      </w:r>
    </w:p>
    <w:p>
      <w:pPr>
        <w:spacing w:after="0" w:line="124" w:lineRule="exact"/>
        <w:rPr>
          <w:sz w:val="20"/>
          <w:szCs w:val="20"/>
          <w:color w:val="auto"/>
        </w:rPr>
      </w:pPr>
    </w:p>
    <w:p>
      <w:pPr>
        <w:ind w:firstLine="436"/>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The Administrative Agent shall notify the Borrower of each Lender’s determination under this Section promptly and, in any event, no later than three Business Days after the Notice Date.</w:t>
      </w:r>
    </w:p>
    <w:p>
      <w:pPr>
        <w:spacing w:after="0" w:line="170" w:lineRule="exact"/>
        <w:rPr>
          <w:rFonts w:ascii="Arial" w:cs="Arial" w:eastAsia="Arial" w:hAnsi="Arial"/>
          <w:sz w:val="18"/>
          <w:szCs w:val="18"/>
          <w:color w:val="auto"/>
        </w:rPr>
      </w:pPr>
    </w:p>
    <w:p>
      <w:pPr>
        <w:ind w:right="180" w:firstLine="436"/>
        <w:spacing w:after="0" w:line="342" w:lineRule="auto"/>
        <w:tabs>
          <w:tab w:leader="none" w:pos="83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The Borrower shall have the right to replace each Non-Extending Lender with, and add as “Lenders” under this Agreement in place thereof, one or more Eligible Assignees (each,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436"/>
        <w:spacing w:after="0" w:line="275" w:lineRule="auto"/>
        <w:tabs>
          <w:tab w:leader="none" w:pos="82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If (and only if) the total of the Commitments of the Lenders that have agreed so to extend their Maturity Date (each,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xml:space="preserve">”) and the additional Commitments of the Additional Commitment Lenders that have become Lenders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shall be more than 50% of the Aggregate Commitments then in effect, the Maturity Date of each Extending Lender and of each Additional Commitment Lender shall be extended on the Extension Effective Date to the date one year after the Existing Maturity Date (except that, if such date is not a Business Day, such Maturity Date as so extended shall be the next preceding Business Day).</w:t>
      </w:r>
    </w:p>
    <w:p>
      <w:pPr>
        <w:spacing w:after="0" w:line="176" w:lineRule="exact"/>
        <w:rPr>
          <w:rFonts w:ascii="Arial" w:cs="Arial" w:eastAsia="Arial" w:hAnsi="Arial"/>
          <w:sz w:val="17"/>
          <w:szCs w:val="17"/>
          <w:color w:val="auto"/>
        </w:rPr>
      </w:pPr>
    </w:p>
    <w:p>
      <w:pPr>
        <w:ind w:right="20" w:firstLine="436"/>
        <w:spacing w:after="0" w:line="291"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Extensions</w:t>
      </w:r>
      <w:r>
        <w:rPr>
          <w:rFonts w:ascii="Arial" w:cs="Arial" w:eastAsia="Arial" w:hAnsi="Arial"/>
          <w:sz w:val="16"/>
          <w:szCs w:val="16"/>
          <w:color w:val="auto"/>
        </w:rPr>
        <w:t xml:space="preserve">. As a condition precedent to such extension, the Borrower shall deliver to the Administrative Agent a certificate of the Borrower dated as of the Extension Effective Date signed by a Responsible Officer of the Borrower (i) certifying and attaching the resolutions adopted by the Borrower approving or consenting to such extension and (ii) certifying that, before and after giving effect to such extension,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on and as of the Extension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and (B) no Default exists.</w:t>
      </w:r>
    </w:p>
    <w:p>
      <w:pPr>
        <w:spacing w:after="0" w:line="166" w:lineRule="exact"/>
        <w:rPr>
          <w:rFonts w:ascii="Arial" w:cs="Arial" w:eastAsia="Arial" w:hAnsi="Arial"/>
          <w:sz w:val="16"/>
          <w:szCs w:val="16"/>
          <w:color w:val="auto"/>
        </w:rPr>
      </w:pPr>
    </w:p>
    <w:p>
      <w:pPr>
        <w:ind w:right="80" w:firstLine="436"/>
        <w:spacing w:after="0" w:line="263" w:lineRule="auto"/>
        <w:tabs>
          <w:tab w:leader="none" w:pos="83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Non-Extending Lenders</w:t>
      </w:r>
      <w:r>
        <w:rPr>
          <w:rFonts w:ascii="Arial" w:cs="Arial" w:eastAsia="Arial" w:hAnsi="Arial"/>
          <w:sz w:val="18"/>
          <w:szCs w:val="18"/>
          <w:color w:val="auto"/>
        </w:rPr>
        <w:t>. The Maturity Date of the Non-Extending Lenders shall remain unchanged and the Borrower shall repay all Committed Loans of the Non-Extending Lenders outstanding on such Maturity Date, together with any accrued interest, fees or other amounts owing to such Lenders hereunder.</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0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3"/>
          <w:szCs w:val="13"/>
          <w:b w:val="1"/>
          <w:bCs w:val="1"/>
          <w:color w:val="auto"/>
        </w:rPr>
        <w:t>Taxes</w:t>
      </w:r>
      <w:r>
        <w:rPr>
          <w:rFonts w:ascii="Arial" w:cs="Arial" w:eastAsia="Arial" w:hAnsi="Arial"/>
          <w:sz w:val="13"/>
          <w:szCs w:val="13"/>
          <w:color w:val="auto"/>
        </w:rPr>
        <w:t>.</w:t>
      </w:r>
    </w:p>
    <w:p>
      <w:pPr>
        <w:spacing w:after="0" w:line="121" w:lineRule="exact"/>
        <w:rPr>
          <w:sz w:val="20"/>
          <w:szCs w:val="20"/>
          <w:color w:val="auto"/>
        </w:rPr>
      </w:pPr>
    </w:p>
    <w:p>
      <w:pPr>
        <w:ind w:left="440" w:firstLine="419"/>
        <w:spacing w:after="0" w:line="285" w:lineRule="auto"/>
        <w:tabs>
          <w:tab w:leader="none" w:pos="1243"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xml:space="preserve">. 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ind w:left="680" w:hanging="244"/>
        <w:spacing w:after="0"/>
        <w:tabs>
          <w:tab w:leader="none" w:pos="680"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102" w:lineRule="exact"/>
        <w:rPr>
          <w:rFonts w:ascii="Arial" w:cs="Arial" w:eastAsia="Arial" w:hAnsi="Arial"/>
          <w:sz w:val="18"/>
          <w:szCs w:val="18"/>
          <w:u w:val="single" w:color="auto"/>
          <w:color w:val="auto"/>
        </w:rPr>
      </w:pPr>
    </w:p>
    <w:p>
      <w:pPr>
        <w:ind w:left="440" w:right="140" w:firstLine="419"/>
        <w:spacing w:after="0" w:line="275" w:lineRule="auto"/>
        <w:tabs>
          <w:tab w:leader="none" w:pos="126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Code, and (C) to the extent that the withholding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7" w:name="page78"/>
    <w:bookmarkEnd w:id="77"/>
    <w:p>
      <w:pPr>
        <w:ind w:left="440"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41" w:lineRule="exact"/>
        <w:rPr>
          <w:sz w:val="20"/>
          <w:szCs w:val="20"/>
          <w:color w:val="auto"/>
        </w:rPr>
      </w:pPr>
    </w:p>
    <w:p>
      <w:pPr>
        <w:ind w:left="440" w:right="20" w:firstLine="419"/>
        <w:spacing w:after="0" w:line="271" w:lineRule="auto"/>
        <w:tabs>
          <w:tab w:leader="none" w:pos="1313"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right="240" w:firstLine="436"/>
        <w:spacing w:after="0" w:line="263" w:lineRule="auto"/>
        <w:tabs>
          <w:tab w:leader="none" w:pos="83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 or at the option of the Administrative Agent timely reimburse it for the payment of, any Other Taxes.</w:t>
      </w:r>
    </w:p>
    <w:p>
      <w:pPr>
        <w:spacing w:after="0" w:line="291" w:lineRule="exact"/>
        <w:rPr>
          <w:rFonts w:ascii="Arial" w:cs="Arial" w:eastAsia="Arial" w:hAnsi="Arial"/>
          <w:sz w:val="18"/>
          <w:szCs w:val="18"/>
          <w:color w:val="auto"/>
        </w:rPr>
      </w:pPr>
    </w:p>
    <w:p>
      <w:pPr>
        <w:ind w:left="820" w:hanging="384"/>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9" w:lineRule="auto"/>
        <w:tabs>
          <w:tab w:leader="none" w:pos="1209"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The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The Borrower shall, and does hereby, indemnify the Administrative Agent, and shall make payment in respect thereof within 30 days after demand therefor, for any amount which a Lender or any L/C Issuer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w:t>
      </w:r>
    </w:p>
    <w:p>
      <w:pPr>
        <w:spacing w:after="0" w:line="58" w:lineRule="exact"/>
        <w:rPr>
          <w:sz w:val="20"/>
          <w:szCs w:val="20"/>
          <w:color w:val="auto"/>
        </w:rPr>
      </w:pPr>
    </w:p>
    <w:p>
      <w:pPr>
        <w:ind w:left="440" w:right="20" w:firstLine="419"/>
        <w:spacing w:after="0" w:line="269" w:lineRule="auto"/>
        <w:tabs>
          <w:tab w:leader="none" w:pos="1263"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Lender and each L/C Issuer shall, and does hereby, severally indemnify, and shall make payment in respect thereof within 30 days after demand therefor, (</w:t>
      </w:r>
      <w:r>
        <w:rPr>
          <w:rFonts w:ascii="Arial" w:cs="Arial" w:eastAsia="Arial" w:hAnsi="Arial"/>
          <w:sz w:val="17"/>
          <w:szCs w:val="17"/>
          <w:i w:val="1"/>
          <w:iCs w:val="1"/>
          <w:color w:val="auto"/>
        </w:rPr>
        <w:t>x</w:t>
      </w:r>
      <w:r>
        <w:rPr>
          <w:rFonts w:ascii="Arial" w:cs="Arial" w:eastAsia="Arial" w:hAnsi="Arial"/>
          <w:sz w:val="17"/>
          <w:szCs w:val="17"/>
          <w:color w:val="auto"/>
        </w:rPr>
        <w:t xml:space="preserve">) the Administrative Agent against any Indemnified Taxes attributable to such Lender or such L/C Issuer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w:t>
      </w:r>
      <w:r>
        <w:rPr>
          <w:rFonts w:ascii="Arial" w:cs="Arial" w:eastAsia="Arial" w:hAnsi="Arial"/>
          <w:sz w:val="17"/>
          <w:szCs w:val="17"/>
          <w:i w:val="1"/>
          <w:iCs w:val="1"/>
          <w:color w:val="auto"/>
        </w:rPr>
        <w:t>z</w:t>
      </w:r>
      <w:r>
        <w:rPr>
          <w:rFonts w:ascii="Arial" w:cs="Arial" w:eastAsia="Arial" w:hAnsi="Arial"/>
          <w:sz w:val="17"/>
          <w:szCs w:val="17"/>
          <w:color w:val="auto"/>
        </w:rPr>
        <w:t>) the Administrative Agent and the Borrower, as applicable, against any Excluded Taxes attributable to such Lender or such L/C 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Borrower shall be conclusive absent manifest error. Each Lender and each L/C Issuer hereby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78" w:name="page79"/>
    <w:bookmarkEnd w:id="78"/>
    <w:p>
      <w:pPr>
        <w:ind w:lef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146" w:lineRule="exact"/>
        <w:rPr>
          <w:sz w:val="20"/>
          <w:szCs w:val="20"/>
          <w:color w:val="auto"/>
        </w:rPr>
      </w:pPr>
    </w:p>
    <w:p>
      <w:pPr>
        <w:ind w:right="80" w:firstLine="436"/>
        <w:spacing w:after="0" w:line="259" w:lineRule="auto"/>
        <w:tabs>
          <w:tab w:leader="none" w:pos="83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Borrower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94" w:lineRule="exact"/>
        <w:rPr>
          <w:rFonts w:ascii="Arial" w:cs="Arial" w:eastAsia="Arial" w:hAnsi="Arial"/>
          <w:sz w:val="18"/>
          <w:szCs w:val="18"/>
          <w:color w:val="auto"/>
        </w:rPr>
      </w:pPr>
    </w:p>
    <w:p>
      <w:pPr>
        <w:ind w:left="820" w:hanging="384"/>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8" w:lineRule="auto"/>
        <w:tabs>
          <w:tab w:leader="none" w:pos="1203"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0" w:lineRule="exact"/>
        <w:rPr>
          <w:rFonts w:ascii="Arial" w:cs="Arial" w:eastAsia="Arial" w:hAnsi="Arial"/>
          <w:sz w:val="16"/>
          <w:szCs w:val="16"/>
          <w:color w:val="auto"/>
        </w:rPr>
      </w:pPr>
    </w:p>
    <w:p>
      <w:pPr>
        <w:ind w:left="1260" w:hanging="401"/>
        <w:spacing w:after="0"/>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980" w:right="20" w:firstLine="408"/>
        <w:spacing w:after="0" w:line="311" w:lineRule="auto"/>
        <w:tabs>
          <w:tab w:leader="none" w:pos="1810" w:val="left"/>
        </w:tabs>
        <w:numPr>
          <w:ilvl w:val="2"/>
          <w:numId w:val="82"/>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40" w:lineRule="exact"/>
        <w:rPr>
          <w:rFonts w:ascii="Arial" w:cs="Arial" w:eastAsia="Arial" w:hAnsi="Arial"/>
          <w:sz w:val="16"/>
          <w:szCs w:val="16"/>
          <w:color w:val="auto"/>
        </w:rPr>
      </w:pPr>
    </w:p>
    <w:p>
      <w:pPr>
        <w:ind w:left="980" w:right="160" w:firstLine="408"/>
        <w:spacing w:after="0" w:line="259" w:lineRule="auto"/>
        <w:tabs>
          <w:tab w:leader="none" w:pos="1801" w:val="left"/>
        </w:tabs>
        <w:numPr>
          <w:ilvl w:val="2"/>
          <w:numId w:val="8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1420" w:right="20" w:firstLine="391"/>
        <w:spacing w:after="0" w:line="287" w:lineRule="auto"/>
        <w:tabs>
          <w:tab w:leader="none" w:pos="2163" w:val="left"/>
        </w:tabs>
        <w:numPr>
          <w:ilvl w:val="3"/>
          <w:numId w:val="8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w:t>
      </w:r>
    </w:p>
    <w:p>
      <w:pPr>
        <w:spacing w:after="0" w:line="2" w:lineRule="exact"/>
        <w:rPr>
          <w:rFonts w:ascii="Arial" w:cs="Arial" w:eastAsia="Arial" w:hAnsi="Arial"/>
          <w:sz w:val="16"/>
          <w:szCs w:val="16"/>
          <w:color w:val="auto"/>
        </w:rPr>
      </w:pPr>
    </w:p>
    <w:p>
      <w:pPr>
        <w:ind w:left="1420" w:right="180"/>
        <w:spacing w:after="0" w:line="255" w:lineRule="auto"/>
        <w:rPr>
          <w:rFonts w:ascii="Arial" w:cs="Arial" w:eastAsia="Arial" w:hAnsi="Arial"/>
          <w:sz w:val="16"/>
          <w:szCs w:val="16"/>
          <w:color w:val="auto"/>
        </w:rPr>
      </w:pPr>
      <w:r>
        <w:rPr>
          <w:rFonts w:ascii="Arial" w:cs="Arial" w:eastAsia="Arial" w:hAnsi="Arial"/>
          <w:sz w:val="18"/>
          <w:szCs w:val="18"/>
          <w:color w:val="auto"/>
        </w:rPr>
        <w:t>(y)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82" w:lineRule="exact"/>
        <w:rPr>
          <w:sz w:val="20"/>
          <w:szCs w:val="20"/>
          <w:color w:val="auto"/>
        </w:rPr>
      </w:pPr>
    </w:p>
    <w:p>
      <w:pPr>
        <w:ind w:left="2240" w:hanging="429"/>
        <w:spacing w:after="0"/>
        <w:tabs>
          <w:tab w:leader="none" w:pos="2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9" w:name="page80"/>
    <w:bookmarkEnd w:id="79"/>
    <w:p>
      <w:pPr>
        <w:ind w:left="1420" w:right="140" w:firstLine="391"/>
        <w:spacing w:after="0" w:line="287" w:lineRule="auto"/>
        <w:tabs>
          <w:tab w:leader="none" w:pos="2283" w:val="left"/>
        </w:tabs>
        <w:numPr>
          <w:ilvl w:val="1"/>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w:t>
      </w:r>
    </w:p>
    <w:p>
      <w:pPr>
        <w:spacing w:after="0" w:line="2" w:lineRule="exact"/>
        <w:rPr>
          <w:rFonts w:ascii="Arial" w:cs="Arial" w:eastAsia="Arial" w:hAnsi="Arial"/>
          <w:sz w:val="16"/>
          <w:szCs w:val="16"/>
          <w:color w:val="auto"/>
        </w:rPr>
      </w:pPr>
    </w:p>
    <w:p>
      <w:pPr>
        <w:ind w:left="1420" w:right="500" w:firstLine="8"/>
        <w:spacing w:after="0" w:line="260" w:lineRule="auto"/>
        <w:tabs>
          <w:tab w:leader="none" w:pos="1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W-8BENE (or W-8BEN, as applicable); or</w:t>
      </w:r>
    </w:p>
    <w:p>
      <w:pPr>
        <w:spacing w:after="0" w:line="77" w:lineRule="exact"/>
        <w:rPr>
          <w:sz w:val="20"/>
          <w:szCs w:val="20"/>
          <w:color w:val="auto"/>
        </w:rPr>
      </w:pPr>
    </w:p>
    <w:p>
      <w:pPr>
        <w:ind w:left="1420" w:firstLine="383"/>
        <w:spacing w:after="0" w:line="255" w:lineRule="auto"/>
        <w:rPr>
          <w:sz w:val="20"/>
          <w:szCs w:val="20"/>
          <w:color w:val="auto"/>
        </w:rPr>
      </w:pPr>
      <w:r>
        <w:rPr>
          <w:rFonts w:ascii="Arial" w:cs="Arial" w:eastAsia="Arial" w:hAnsi="Arial"/>
          <w:sz w:val="18"/>
          <w:szCs w:val="18"/>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w:t>
      </w:r>
    </w:p>
    <w:p>
      <w:pPr>
        <w:spacing w:after="0" w:line="84" w:lineRule="exact"/>
        <w:rPr>
          <w:sz w:val="20"/>
          <w:szCs w:val="20"/>
          <w:color w:val="auto"/>
        </w:rPr>
      </w:pPr>
    </w:p>
    <w:p>
      <w:pPr>
        <w:ind w:left="980" w:right="100" w:firstLine="408"/>
        <w:spacing w:after="0" w:line="273" w:lineRule="auto"/>
        <w:tabs>
          <w:tab w:leader="none" w:pos="1801" w:val="left"/>
        </w:tabs>
        <w:numPr>
          <w:ilvl w:val="2"/>
          <w:numId w:val="86"/>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69" w:lineRule="exact"/>
        <w:rPr>
          <w:rFonts w:ascii="Arial" w:cs="Arial" w:eastAsia="Arial" w:hAnsi="Arial"/>
          <w:sz w:val="17"/>
          <w:szCs w:val="17"/>
          <w:color w:val="auto"/>
        </w:rPr>
      </w:pPr>
    </w:p>
    <w:p>
      <w:pPr>
        <w:ind w:left="980" w:firstLine="408"/>
        <w:spacing w:after="0" w:line="270" w:lineRule="auto"/>
        <w:tabs>
          <w:tab w:leader="none" w:pos="1810" w:val="left"/>
        </w:tabs>
        <w:numPr>
          <w:ilvl w:val="2"/>
          <w:numId w:val="86"/>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2" w:lineRule="exact"/>
        <w:rPr>
          <w:rFonts w:ascii="Arial" w:cs="Arial" w:eastAsia="Arial" w:hAnsi="Arial"/>
          <w:sz w:val="17"/>
          <w:szCs w:val="17"/>
          <w:color w:val="auto"/>
        </w:rPr>
      </w:pPr>
    </w:p>
    <w:p>
      <w:pPr>
        <w:jc w:val="both"/>
        <w:ind w:left="440" w:right="120" w:firstLine="419"/>
        <w:spacing w:after="0" w:line="263" w:lineRule="auto"/>
        <w:tabs>
          <w:tab w:leader="none" w:pos="1313"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right="140" w:firstLine="436"/>
        <w:spacing w:after="0" w:line="277"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an L/C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80" w:name="page81"/>
    <w:bookmarkEnd w:id="8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reasonable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74" w:lineRule="exact"/>
        <w:rPr>
          <w:sz w:val="20"/>
          <w:szCs w:val="20"/>
          <w:color w:val="auto"/>
        </w:rPr>
      </w:pPr>
    </w:p>
    <w:p>
      <w:pPr>
        <w:ind w:firstLine="436"/>
        <w:spacing w:after="0" w:line="263" w:lineRule="auto"/>
        <w:tabs>
          <w:tab w:leader="none" w:pos="8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Aggregate Commitments and the repayment, satisfaction or discharge of all other Obligations.</w:t>
      </w:r>
    </w:p>
    <w:p>
      <w:pPr>
        <w:spacing w:after="0" w:line="18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3.02 Illegality</w:t>
      </w:r>
      <w:r>
        <w:rPr>
          <w:rFonts w:ascii="Arial" w:cs="Arial" w:eastAsia="Arial" w:hAnsi="Arial"/>
          <w:sz w:val="16"/>
          <w:szCs w:val="16"/>
          <w:color w:val="auto"/>
        </w:rPr>
        <w:t>. If any Lender reasonably determines that any Law has made it unlawful, or that any Governmental Authority has asserted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Committed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at the Borrower’s option, prepay or, if applicable, convert all Eurodollar Rate Loans of such Lender to Base Rate Loans (or, if applicable,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81" w:name="page82"/>
    <w:bookmarkEnd w:id="81"/>
    <w:p>
      <w:pPr>
        <w:ind w:left="44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3.03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ind w:left="820" w:hanging="384"/>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85" w:lineRule="auto"/>
        <w:tabs>
          <w:tab w:leader="none" w:pos="1213"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Except in the case of circumstances described in </w:t>
      </w:r>
      <w:r>
        <w:rPr>
          <w:rFonts w:ascii="Arial" w:cs="Arial" w:eastAsia="Arial" w:hAnsi="Arial"/>
          <w:sz w:val="16"/>
          <w:szCs w:val="16"/>
          <w:u w:val="single" w:color="auto"/>
          <w:color w:val="auto"/>
        </w:rPr>
        <w:t>Section 3.03(b)</w:t>
      </w:r>
      <w:r>
        <w:rPr>
          <w:rFonts w:ascii="Arial" w:cs="Arial" w:eastAsia="Arial" w:hAnsi="Arial"/>
          <w:sz w:val="16"/>
          <w:szCs w:val="16"/>
          <w:color w:val="auto"/>
        </w:rPr>
        <w:t>, if for any reason in connection with any request for a Eurodollar Rate Loan or a conversion to or continuation thereof, (A) the Administrative Agent determines that (1) Dollar deposits are not being offered to banks in the London interbank Eurodollar market for the applicable amount and Interest Period of such Eurodollar Rate Loan, or (2) adequate and reasonable means do not exist for determining the Eurodollar Base Rate for any requested Interest Period with respect to a proposed Eurodollar Rate Loan or in connection with an existing or proposed Base Rate Loan (in each case with respect to clause (a)(i) above, “</w:t>
      </w:r>
      <w:r>
        <w:rPr>
          <w:rFonts w:ascii="Arial" w:cs="Arial" w:eastAsia="Arial" w:hAnsi="Arial"/>
          <w:sz w:val="16"/>
          <w:szCs w:val="16"/>
          <w:u w:val="single" w:color="auto"/>
          <w:color w:val="auto"/>
        </w:rPr>
        <w:t>Impacted Loans</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440"/>
        <w:spacing w:after="0" w:line="286" w:lineRule="auto"/>
        <w:rPr>
          <w:rFonts w:ascii="Arial" w:cs="Arial" w:eastAsia="Arial" w:hAnsi="Arial"/>
          <w:sz w:val="16"/>
          <w:szCs w:val="16"/>
          <w:color w:val="auto"/>
        </w:rPr>
      </w:pPr>
      <w:r>
        <w:rPr>
          <w:rFonts w:ascii="Arial" w:cs="Arial" w:eastAsia="Arial" w:hAnsi="Arial"/>
          <w:sz w:val="16"/>
          <w:szCs w:val="16"/>
          <w:color w:val="auto"/>
        </w:rPr>
        <w:t>(B) the Required Lenders or the Administrative Agent determine that for any reason the Eurodollar Base Rate for any requested Interest Period with respect to a proposed Eurodollar Rate Loan does not adequately and fairly reflect the cost to such Lenders of funding such Loan, the Administrative Agent will promptly so notify the Borrower and each Lender, then thereafter, (x) the obligation of the Lenders to make or maintain Eurodollar Rate Loans shall be suspended (to the extent of the affected Eurodollar Base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Base Rate Loans or Interest Periods) or, failing that, will be deemed to have converted such request into a request for a Committed Borrowing of Base Rate Loans in the amount specified therein.</w:t>
      </w:r>
    </w:p>
    <w:p>
      <w:pPr>
        <w:spacing w:after="0" w:line="64" w:lineRule="exact"/>
        <w:rPr>
          <w:rFonts w:ascii="Arial" w:cs="Arial" w:eastAsia="Arial" w:hAnsi="Arial"/>
          <w:sz w:val="16"/>
          <w:szCs w:val="16"/>
          <w:color w:val="auto"/>
        </w:rPr>
      </w:pPr>
    </w:p>
    <w:p>
      <w:pPr>
        <w:ind w:left="440" w:firstLine="419"/>
        <w:spacing w:after="0" w:line="269" w:lineRule="auto"/>
        <w:tabs>
          <w:tab w:leader="none" w:pos="1263" w:val="left"/>
        </w:tabs>
        <w:numPr>
          <w:ilvl w:val="1"/>
          <w:numId w:val="90"/>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has made the determination described in clause (a)(i)(A) of this section, the Administrative Agent, in consultation with the Borrower and the Required Lenders, may establish an alternative interest rate for the Impacted Loans, in which case, such alternative rate of interest shall apply with respect to the Impacted Loans until (A) the Administrative Agent revokes the notice delivered with respect to the Impacted Loans under clause (a)(i)(A) of the first sentence of this section, (B) the Administrative Agent or the Required Lenders notify the Administrative Agent and the Borrower that such alternative interest rate does not adequately and fairly reflect the cost to such Lenders of funding the Impacted Loans, or (C)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5" w:lineRule="exact"/>
        <w:rPr>
          <w:rFonts w:ascii="Arial" w:cs="Arial" w:eastAsia="Arial" w:hAnsi="Arial"/>
          <w:sz w:val="17"/>
          <w:szCs w:val="17"/>
          <w:color w:val="auto"/>
        </w:rPr>
      </w:pPr>
    </w:p>
    <w:p>
      <w:pPr>
        <w:ind w:right="380" w:firstLine="436"/>
        <w:spacing w:after="0" w:line="259" w:lineRule="auto"/>
        <w:tabs>
          <w:tab w:leader="none" w:pos="83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Non-Temporary Situations with Respect to LIBOR</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78" w:lineRule="exact"/>
        <w:rPr>
          <w:rFonts w:ascii="Arial" w:cs="Arial" w:eastAsia="Arial" w:hAnsi="Arial"/>
          <w:sz w:val="18"/>
          <w:szCs w:val="18"/>
          <w:color w:val="auto"/>
        </w:rPr>
      </w:pPr>
    </w:p>
    <w:p>
      <w:pPr>
        <w:ind w:left="440" w:right="300" w:firstLine="419"/>
        <w:spacing w:after="0" w:line="342" w:lineRule="auto"/>
        <w:tabs>
          <w:tab w:leader="none" w:pos="1213" w:val="left"/>
        </w:tabs>
        <w:numPr>
          <w:ilvl w:val="1"/>
          <w:numId w:val="90"/>
        </w:numPr>
        <w:rPr>
          <w:rFonts w:ascii="Arial" w:cs="Arial" w:eastAsia="Arial" w:hAnsi="Arial"/>
          <w:sz w:val="16"/>
          <w:szCs w:val="16"/>
          <w:color w:val="auto"/>
        </w:rPr>
      </w:pPr>
      <w:r>
        <w:rPr>
          <w:rFonts w:ascii="Arial" w:cs="Arial" w:eastAsia="Arial" w:hAnsi="Arial"/>
          <w:sz w:val="16"/>
          <w:szCs w:val="16"/>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5" w:lineRule="exact"/>
        <w:rPr>
          <w:rFonts w:ascii="Arial" w:cs="Arial" w:eastAsia="Arial" w:hAnsi="Arial"/>
          <w:sz w:val="16"/>
          <w:szCs w:val="16"/>
          <w:color w:val="auto"/>
        </w:rPr>
      </w:pPr>
    </w:p>
    <w:p>
      <w:pPr>
        <w:ind w:left="440" w:right="80" w:firstLine="419"/>
        <w:spacing w:after="0" w:line="263" w:lineRule="auto"/>
        <w:tabs>
          <w:tab w:leader="none" w:pos="126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82" w:name="page83"/>
    <w:bookmarkEnd w:id="82"/>
    <w:p>
      <w:pPr>
        <w:ind w:left="440" w:right="340" w:firstLine="419"/>
        <w:spacing w:after="0" w:line="277" w:lineRule="auto"/>
        <w:tabs>
          <w:tab w:leader="none" w:pos="1313"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u w:val="single" w:color="auto"/>
          <w:color w:val="auto"/>
        </w:rPr>
        <w:t>then</w:t>
      </w:r>
      <w:r>
        <w:rPr>
          <w:rFonts w:ascii="Arial" w:cs="Arial" w:eastAsia="Arial" w:hAnsi="Arial"/>
          <w:sz w:val="17"/>
          <w:szCs w:val="17"/>
          <w:color w:val="auto"/>
        </w:rPr>
        <w:t>, reasonably promptly after such determination by the Administrative Agent or receipt by the Administrative Agent of such notice from the Borrower or Required Lenders,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together with any proposed LIBOR Successor Rate Conforming Changes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(subject to the foregoing clause (y)) in the amount specified therein. Notwithstanding anything else herein, any definition of LIBOR Successor Rate shall provide that in no event shall such LIBOR Successor Rate be less than zero for purposes of this Agreement.</w:t>
      </w:r>
    </w:p>
    <w:p>
      <w:pPr>
        <w:spacing w:after="0" w:line="28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w:t>
      </w:r>
      <w:r>
        <w:rPr>
          <w:rFonts w:ascii="Arial" w:cs="Arial" w:eastAsia="Arial" w:hAnsi="Arial"/>
          <w:sz w:val="15"/>
          <w:szCs w:val="15"/>
          <w:color w:val="auto"/>
        </w:rPr>
        <w:t>.</w:t>
      </w:r>
    </w:p>
    <w:p>
      <w:pPr>
        <w:spacing w:after="0" w:line="121" w:lineRule="exact"/>
        <w:rPr>
          <w:sz w:val="20"/>
          <w:szCs w:val="20"/>
          <w:color w:val="auto"/>
        </w:rPr>
      </w:pPr>
    </w:p>
    <w:p>
      <w:pPr>
        <w:ind w:left="820" w:hanging="384"/>
        <w:spacing w:after="0"/>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213" w:val="left"/>
        </w:tabs>
        <w:numPr>
          <w:ilvl w:val="1"/>
          <w:numId w:val="9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 any L/C Issuer;</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263"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440" w:right="800" w:firstLine="419"/>
        <w:spacing w:after="0" w:line="277" w:lineRule="auto"/>
        <w:tabs>
          <w:tab w:leader="none" w:pos="1313" w:val="left"/>
        </w:tabs>
        <w:numPr>
          <w:ilvl w:val="1"/>
          <w:numId w:val="92"/>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the result of any of the foregoing shall be to increase the cost to such Lender of making or maintaining any Loan the interest on which is determined by reference to the Eurodollar Rate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83" w:name="page84"/>
    <w:bookmarkEnd w:id="83"/>
    <w:p>
      <w:pPr>
        <w:ind w:right="80" w:firstLine="436"/>
        <w:spacing w:after="0" w:line="289" w:lineRule="auto"/>
        <w:tabs>
          <w:tab w:leader="none" w:pos="83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 Requirements</w:t>
      </w:r>
      <w:r>
        <w:rPr>
          <w:rFonts w:ascii="Arial" w:cs="Arial" w:eastAsia="Arial" w:hAnsi="Arial"/>
          <w:sz w:val="16"/>
          <w:szCs w:val="16"/>
          <w:color w:val="auto"/>
        </w:rPr>
        <w:t>. If any Lender or any L/C Issuer determines that any Change in Law affecting such Lender or such L/C Issuer or any Lending Office of such Lender or such Lender’s or such L/C Issuer’s holding company, if any, regarding capital or liquidity requirements or liquidity has or would have the effect of reducing the rate of return on such Lender’s or such L/C Issuer’s capital or on the capital of such Lender’s or such L/C Issuer’s holding company, if any, as a consequence of this Agreement, the Commitment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66" w:lineRule="exact"/>
        <w:rPr>
          <w:rFonts w:ascii="Arial" w:cs="Arial" w:eastAsia="Arial" w:hAnsi="Arial"/>
          <w:sz w:val="16"/>
          <w:szCs w:val="16"/>
          <w:color w:val="auto"/>
        </w:rPr>
      </w:pPr>
    </w:p>
    <w:p>
      <w:pPr>
        <w:ind w:firstLine="436"/>
        <w:spacing w:after="0" w:line="257"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such L/C Issuer setting forth the amount or amounts necessary to compensate such Lender or such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together with a brief explanation for the increased costs and the basis for the calculation thereof, and delivered to the Borrower shall be conclusive absent manifest error. The Borrower shall pay such Lender or such L/C Issuer, as the case may be, the amount shown as due on any such certificate within 10 days after receipt thereof.</w:t>
      </w:r>
    </w:p>
    <w:p>
      <w:pPr>
        <w:spacing w:after="0" w:line="187" w:lineRule="exact"/>
        <w:rPr>
          <w:rFonts w:ascii="Arial" w:cs="Arial" w:eastAsia="Arial" w:hAnsi="Arial"/>
          <w:sz w:val="18"/>
          <w:szCs w:val="18"/>
          <w:color w:val="auto"/>
        </w:rPr>
      </w:pPr>
    </w:p>
    <w:p>
      <w:pPr>
        <w:ind w:right="60" w:firstLine="436"/>
        <w:spacing w:after="0" w:line="272" w:lineRule="auto"/>
        <w:tabs>
          <w:tab w:leader="none" w:pos="83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such L/C Issuer to demand compensation pursuant to the foregoing provisions of this Section shall not constitute a waiver of such Lender’s or such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L/C Issuer pursuant to the foregoing provisions of this Section for any increased costs incurred or reductions suffered more than 60 days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60-day period referred to above shall be extended to include the period of retroactive effect thereof).</w:t>
      </w:r>
    </w:p>
    <w:p>
      <w:pPr>
        <w:spacing w:after="0" w:line="173"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3.05 Compensation for Losses</w:t>
      </w:r>
      <w:r>
        <w:rPr>
          <w:rFonts w:ascii="Arial" w:cs="Arial" w:eastAsia="Arial" w:hAnsi="Arial"/>
          <w:sz w:val="17"/>
          <w:szCs w:val="17"/>
          <w:color w:val="auto"/>
        </w:rPr>
        <w:t>. Upon demand of any Lender (with a copy to the Administrative Agent) from time to time, the Borrower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promptly compensate such Lender (except, in the case of </w:t>
      </w:r>
      <w:r>
        <w:rPr>
          <w:rFonts w:ascii="Arial" w:cs="Arial" w:eastAsia="Arial" w:hAnsi="Arial"/>
          <w:sz w:val="17"/>
          <w:szCs w:val="17"/>
          <w:u w:val="single" w:color="auto"/>
          <w:color w:val="auto"/>
        </w:rPr>
        <w:t>Section 3.05(c)</w:t>
      </w:r>
      <w:r>
        <w:rPr>
          <w:rFonts w:ascii="Arial" w:cs="Arial" w:eastAsia="Arial" w:hAnsi="Arial"/>
          <w:sz w:val="17"/>
          <w:szCs w:val="17"/>
          <w:color w:val="auto"/>
        </w:rPr>
        <w:t xml:space="preserve">, any Defaulting Lender) for and hold such Lender (except, in the case of </w:t>
      </w:r>
      <w:r>
        <w:rPr>
          <w:rFonts w:ascii="Arial" w:cs="Arial" w:eastAsia="Arial" w:hAnsi="Arial"/>
          <w:sz w:val="17"/>
          <w:szCs w:val="17"/>
          <w:u w:val="single" w:color="auto"/>
          <w:color w:val="auto"/>
        </w:rPr>
        <w:t>Section 3.05(c)</w:t>
      </w:r>
      <w:r>
        <w:rPr>
          <w:rFonts w:ascii="Arial" w:cs="Arial" w:eastAsia="Arial" w:hAnsi="Arial"/>
          <w:sz w:val="17"/>
          <w:szCs w:val="17"/>
          <w:color w:val="auto"/>
        </w:rPr>
        <w:t>, any Defaulting Lender) harmless from any loss, cost or expense incurred by it as a result of:</w:t>
      </w:r>
    </w:p>
    <w:p>
      <w:pPr>
        <w:spacing w:after="0" w:line="162" w:lineRule="exact"/>
        <w:rPr>
          <w:sz w:val="20"/>
          <w:szCs w:val="20"/>
          <w:color w:val="auto"/>
        </w:rPr>
      </w:pPr>
    </w:p>
    <w:p>
      <w:pPr>
        <w:ind w:right="520" w:firstLine="436"/>
        <w:spacing w:after="0" w:line="277" w:lineRule="auto"/>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40" w:firstLine="436"/>
        <w:spacing w:after="0" w:line="277" w:lineRule="auto"/>
        <w:tabs>
          <w:tab w:leader="none" w:pos="8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or borrow any Loan or continue or convert any Eurodollar Rate Loan on the date or in the amount notified by the Borrower; or</w:t>
      </w:r>
    </w:p>
    <w:p>
      <w:pPr>
        <w:spacing w:after="0" w:line="170" w:lineRule="exact"/>
        <w:rPr>
          <w:rFonts w:ascii="Arial" w:cs="Arial" w:eastAsia="Arial" w:hAnsi="Arial"/>
          <w:sz w:val="18"/>
          <w:szCs w:val="18"/>
          <w:color w:val="auto"/>
        </w:rPr>
      </w:pPr>
    </w:p>
    <w:p>
      <w:pPr>
        <w:ind w:right="500" w:firstLine="436"/>
        <w:spacing w:after="0" w:line="277" w:lineRule="auto"/>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Base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84" w:name="page85"/>
    <w:bookmarkEnd w:id="84"/>
    <w:p>
      <w:pPr>
        <w:ind w:left="44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121" w:lineRule="exact"/>
        <w:rPr>
          <w:sz w:val="20"/>
          <w:szCs w:val="20"/>
          <w:color w:val="auto"/>
        </w:rPr>
      </w:pPr>
    </w:p>
    <w:p>
      <w:pPr>
        <w:ind w:right="40" w:firstLine="436"/>
        <w:spacing w:after="0" w:line="269" w:lineRule="auto"/>
        <w:tabs>
          <w:tab w:leader="none" w:pos="82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make any Credit Extension to Borrower through any Lending Office, provided that the exercise of this option shall not affect the obligation of Borrower to repay the Credit Extension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the Borrower is required to pay any additional amount to any Lender, any L/C Issuer, or any Governmental Authority for the account of any Lender or any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such Lender or L/C Issuer shall, as applicable, use reasonable efforts to designate a different Lending Office for funding or booking its Loans hereunder or to assign its rights and obligations hereunder to another of its offices, branches or affiliates, if, in the judgment of such Lender or L/C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L/C Issuer, as the case may be, to any unreimbursed cost or expense and would not otherwise be disadvantageous to such Lender or L/C Issuer, as the case may be. The Borrower hereby agrees to pay all reasonable costs and expenses incurred by any Lender or any L/C Issuer in connection with any such designation or assignment.</w:t>
      </w:r>
    </w:p>
    <w:p>
      <w:pPr>
        <w:spacing w:after="0" w:line="181" w:lineRule="exact"/>
        <w:rPr>
          <w:rFonts w:ascii="Arial" w:cs="Arial" w:eastAsia="Arial" w:hAnsi="Arial"/>
          <w:sz w:val="17"/>
          <w:szCs w:val="17"/>
          <w:color w:val="auto"/>
        </w:rPr>
      </w:pPr>
    </w:p>
    <w:p>
      <w:pPr>
        <w:jc w:val="both"/>
        <w:ind w:right="500" w:firstLine="436"/>
        <w:spacing w:after="0" w:line="311" w:lineRule="auto"/>
        <w:tabs>
          <w:tab w:leader="none" w:pos="83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if the Borrower is required to pay any additional amount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to the Administrative Agent, any Lender or any Governmental Authority for the account of any Lender, or if the Borrower receives a notice from a Lender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 Borrower may replace such Lender in accordance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w:t>
      </w:r>
    </w:p>
    <w:p>
      <w:pPr>
        <w:spacing w:after="0" w:line="14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 other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resignation of the Administrative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0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4.01 Conditions of Initial Credit Extension</w:t>
      </w:r>
      <w:r>
        <w:rPr>
          <w:rFonts w:ascii="Arial" w:cs="Arial" w:eastAsia="Arial" w:hAnsi="Arial"/>
          <w:sz w:val="18"/>
          <w:szCs w:val="18"/>
          <w:color w:val="auto"/>
        </w:rPr>
        <w:t>. The obligation of each L/C Issuer and each Lender to make its initial Credit Extension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effectiveness of this Agreement is subject to satisfaction of the following conditions precedent:</w:t>
      </w:r>
    </w:p>
    <w:p>
      <w:pPr>
        <w:spacing w:after="0" w:line="166" w:lineRule="exact"/>
        <w:rPr>
          <w:sz w:val="20"/>
          <w:szCs w:val="20"/>
          <w:color w:val="auto"/>
        </w:rPr>
      </w:pPr>
    </w:p>
    <w:p>
      <w:pPr>
        <w:ind w:right="80" w:firstLine="436"/>
        <w:spacing w:after="0" w:line="259" w:lineRule="auto"/>
        <w:tabs>
          <w:tab w:leader="none" w:pos="8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Borrower, each dated the Effective Date (or, in the case of certificates of governmental officials, a recent date before the Effective Date) and each in form and substance satisfactory to the Administrative Agent and each of the Lenders:</w:t>
      </w:r>
    </w:p>
    <w:p>
      <w:pPr>
        <w:spacing w:after="0" w:line="78" w:lineRule="exact"/>
        <w:rPr>
          <w:rFonts w:ascii="Arial" w:cs="Arial" w:eastAsia="Arial" w:hAnsi="Arial"/>
          <w:sz w:val="18"/>
          <w:szCs w:val="18"/>
          <w:color w:val="auto"/>
        </w:rPr>
      </w:pPr>
    </w:p>
    <w:p>
      <w:pPr>
        <w:ind w:left="1200" w:hanging="341"/>
        <w:spacing w:after="0"/>
        <w:tabs>
          <w:tab w:leader="none" w:pos="12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102" w:lineRule="exact"/>
        <w:rPr>
          <w:rFonts w:ascii="Arial" w:cs="Arial" w:eastAsia="Arial" w:hAnsi="Arial"/>
          <w:sz w:val="17"/>
          <w:szCs w:val="17"/>
          <w:color w:val="auto"/>
        </w:rPr>
      </w:pPr>
    </w:p>
    <w:p>
      <w:pPr>
        <w:ind w:left="1260" w:hanging="401"/>
        <w:spacing w:after="0"/>
        <w:tabs>
          <w:tab w:leader="none" w:pos="12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117" w:lineRule="exact"/>
        <w:rPr>
          <w:rFonts w:ascii="Arial" w:cs="Arial" w:eastAsia="Arial" w:hAnsi="Arial"/>
          <w:sz w:val="18"/>
          <w:szCs w:val="18"/>
          <w:color w:val="auto"/>
        </w:rPr>
      </w:pPr>
    </w:p>
    <w:p>
      <w:pPr>
        <w:ind w:left="440" w:right="120" w:firstLine="419"/>
        <w:spacing w:after="0" w:line="311" w:lineRule="auto"/>
        <w:tabs>
          <w:tab w:leader="none" w:pos="1313" w:val="left"/>
        </w:tabs>
        <w:numPr>
          <w:ilvl w:val="1"/>
          <w:numId w:val="96"/>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 to which the Borrower is a party;</w:t>
      </w:r>
    </w:p>
    <w:p>
      <w:pPr>
        <w:spacing w:after="0" w:line="40" w:lineRule="exact"/>
        <w:rPr>
          <w:rFonts w:ascii="Arial" w:cs="Arial" w:eastAsia="Arial" w:hAnsi="Arial"/>
          <w:sz w:val="16"/>
          <w:szCs w:val="16"/>
          <w:color w:val="auto"/>
        </w:rPr>
      </w:pPr>
    </w:p>
    <w:p>
      <w:pPr>
        <w:jc w:val="both"/>
        <w:ind w:left="440" w:firstLine="419"/>
        <w:spacing w:after="0" w:line="259" w:lineRule="auto"/>
        <w:tabs>
          <w:tab w:leader="none" w:pos="1303" w:val="left"/>
        </w:tabs>
        <w:numPr>
          <w:ilvl w:val="1"/>
          <w:numId w:val="96"/>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the Borrower is duly organized or formed, and that the Borrower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85" w:name="page86"/>
    <w:bookmarkEnd w:id="85"/>
    <w:p>
      <w:pPr>
        <w:ind w:left="440" w:right="40" w:firstLine="419"/>
        <w:spacing w:after="0" w:line="291" w:lineRule="auto"/>
        <w:tabs>
          <w:tab w:leader="none" w:pos="1253" w:val="left"/>
        </w:tabs>
        <w:numPr>
          <w:ilvl w:val="1"/>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certificate of a Responsible Officer of the Borrower (A) stating that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true and correct on and as of such date, as though made on and as of such date; (B) stating there is no action, suit, investigation or proceeding pending or threatened in writing in any court or before any arbitrator or Governmental Authority that purports (i) to materially and adversely affect the Borrower or its Subsidiaries, or (ii) to affect any transaction contemplated hereby or the ability of the Borrower to perform its obligations under this Agreement; and (C) either (i) attaching copies of all consents, licenses and approvals required in connection with the execution, delivery and performance by the Borrower and the validity against the Borrower of the Loan Documents to which it is a party, and such consents, licenses and approvals shall be in full force and effect, or (ii) stating that no such consents, licenses or approvals are so required;</w:t>
      </w:r>
    </w:p>
    <w:p>
      <w:pPr>
        <w:spacing w:after="0" w:line="58" w:lineRule="exact"/>
        <w:rPr>
          <w:rFonts w:ascii="Arial" w:cs="Arial" w:eastAsia="Arial" w:hAnsi="Arial"/>
          <w:sz w:val="16"/>
          <w:szCs w:val="16"/>
          <w:color w:val="auto"/>
        </w:rPr>
      </w:pPr>
    </w:p>
    <w:p>
      <w:pPr>
        <w:ind w:left="440" w:right="20" w:firstLine="419"/>
        <w:spacing w:after="0" w:line="263" w:lineRule="auto"/>
        <w:tabs>
          <w:tab w:leader="none" w:pos="130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(A) that there has been no event or circumstance since the date of the Audited Financial Statements that has had or could be reasonably expected to have, either individually or in the aggregate, a Material Adverse Effect; and (B) the current Debt Ratings;</w:t>
      </w:r>
    </w:p>
    <w:p>
      <w:pPr>
        <w:spacing w:after="0" w:line="75" w:lineRule="exact"/>
        <w:rPr>
          <w:rFonts w:ascii="Arial" w:cs="Arial" w:eastAsia="Arial" w:hAnsi="Arial"/>
          <w:sz w:val="18"/>
          <w:szCs w:val="18"/>
          <w:color w:val="auto"/>
        </w:rPr>
      </w:pPr>
    </w:p>
    <w:p>
      <w:pPr>
        <w:ind w:left="440" w:right="440" w:firstLine="419"/>
        <w:spacing w:after="0" w:line="277" w:lineRule="auto"/>
        <w:tabs>
          <w:tab w:leader="none" w:pos="1353"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applicable L/C Issuers, the Swing Line Lender or the Required Lenders reasonably may require;</w:t>
      </w:r>
    </w:p>
    <w:p>
      <w:pPr>
        <w:spacing w:after="0" w:line="62" w:lineRule="exact"/>
        <w:rPr>
          <w:rFonts w:ascii="Arial" w:cs="Arial" w:eastAsia="Arial" w:hAnsi="Arial"/>
          <w:sz w:val="18"/>
          <w:szCs w:val="18"/>
          <w:color w:val="auto"/>
        </w:rPr>
      </w:pPr>
    </w:p>
    <w:p>
      <w:pPr>
        <w:ind w:left="1400" w:hanging="541"/>
        <w:spacing w:after="0"/>
        <w:tabs>
          <w:tab w:leader="none" w:pos="14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evidence that the Existing Credit Agreements have been or concurrently with the Effective Date are being terminated; and</w:t>
      </w:r>
    </w:p>
    <w:p>
      <w:pPr>
        <w:spacing w:after="0" w:line="128" w:lineRule="exact"/>
        <w:rPr>
          <w:rFonts w:ascii="Arial" w:cs="Arial" w:eastAsia="Arial" w:hAnsi="Arial"/>
          <w:sz w:val="17"/>
          <w:szCs w:val="17"/>
          <w:color w:val="auto"/>
        </w:rPr>
      </w:pPr>
    </w:p>
    <w:p>
      <w:pPr>
        <w:ind w:left="440" w:firstLine="419"/>
        <w:spacing w:after="0" w:line="277" w:lineRule="auto"/>
        <w:tabs>
          <w:tab w:leader="none" w:pos="130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favorable opinion of Quarles &amp; Brady LLP, counsel to the Borrower, addressed to the Administrative Agent and each Lender in form and substance reasonably satisfactory to the Administrative Agent.</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225" w:lineRule="exact"/>
        <w:rPr>
          <w:rFonts w:ascii="Arial" w:cs="Arial" w:eastAsia="Arial" w:hAnsi="Arial"/>
          <w:sz w:val="18"/>
          <w:szCs w:val="18"/>
          <w:color w:val="auto"/>
        </w:rPr>
      </w:pPr>
    </w:p>
    <w:p>
      <w:pPr>
        <w:jc w:val="both"/>
        <w:ind w:right="200" w:firstLine="436"/>
        <w:spacing w:after="0" w:line="301" w:lineRule="auto"/>
        <w:tabs>
          <w:tab w:leader="none" w:pos="8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Unless waived by the Administrative Agent, the Borrower shall have paid all reasonable fees, charges and disbursements of counsel to the Administrative Agent to the extent invoiced prior to or on the Effective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estimate shall not thereafter preclude a final settling of accounts between the Borrower and the Administrative Agent).</w:t>
      </w:r>
    </w:p>
    <w:p>
      <w:pPr>
        <w:spacing w:after="0" w:line="157" w:lineRule="exact"/>
        <w:rPr>
          <w:rFonts w:ascii="Arial" w:cs="Arial" w:eastAsia="Arial" w:hAnsi="Arial"/>
          <w:sz w:val="16"/>
          <w:szCs w:val="16"/>
          <w:color w:val="auto"/>
        </w:rPr>
      </w:pPr>
    </w:p>
    <w:p>
      <w:pPr>
        <w:ind w:right="20" w:firstLine="436"/>
        <w:spacing w:after="0" w:line="263" w:lineRule="auto"/>
        <w:tabs>
          <w:tab w:leader="none" w:pos="83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the reasonable request of any Lender made at least ten days prior to the Effective Date, the Borrower shall have provided to such Lender the documentation and other information so requested in connection with applicable “know your customer” and anti-money-laundering rules and regulations, including the PATRIOT Act, in each case at least five days prior to the Effective Date.</w:t>
      </w:r>
    </w:p>
    <w:p>
      <w:pPr>
        <w:spacing w:after="0" w:line="183" w:lineRule="exact"/>
        <w:rPr>
          <w:rFonts w:ascii="Arial" w:cs="Arial" w:eastAsia="Arial" w:hAnsi="Arial"/>
          <w:sz w:val="18"/>
          <w:szCs w:val="18"/>
          <w:color w:val="auto"/>
        </w:rPr>
      </w:pPr>
    </w:p>
    <w:p>
      <w:pPr>
        <w:ind w:right="780" w:firstLine="436"/>
        <w:spacing w:after="0" w:line="277" w:lineRule="auto"/>
        <w:tabs>
          <w:tab w:leader="none" w:pos="8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least five days prior to the Effective Date, if the Borrower qualifies as a “legal entity customer” under the Beneficial Ownership Regulation, the Borrower shall deliver a Beneficial Ownership Certification in relation to the Borrower.</w:t>
      </w:r>
    </w:p>
    <w:p>
      <w:pPr>
        <w:spacing w:after="0" w:line="170"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Effective Date specifying its objection thereto.</w:t>
      </w:r>
    </w:p>
    <w:p>
      <w:pPr>
        <w:spacing w:after="0" w:line="153"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4.02 Conditions to all Credit Extensions. </w:t>
      </w:r>
      <w:r>
        <w:rPr>
          <w:rFonts w:ascii="Arial" w:cs="Arial" w:eastAsia="Arial" w:hAnsi="Arial"/>
          <w:sz w:val="18"/>
          <w:szCs w:val="18"/>
          <w:color w:val="auto"/>
        </w:rPr>
        <w:t>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Committed Loans to the other Type, or a continuation of Eurodollar Rate Loans) is subject to the following conditions precedent:</w:t>
      </w:r>
    </w:p>
    <w:p>
      <w:pPr>
        <w:spacing w:after="0" w:line="225" w:lineRule="exact"/>
        <w:rPr>
          <w:sz w:val="20"/>
          <w:szCs w:val="20"/>
          <w:color w:val="auto"/>
        </w:rPr>
      </w:pPr>
    </w:p>
    <w:p>
      <w:pPr>
        <w:ind w:right="40" w:firstLine="436"/>
        <w:spacing w:after="0" w:line="293" w:lineRule="auto"/>
        <w:tabs>
          <w:tab w:leader="none" w:pos="81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in each other Loan Document, or which are contained in any document furnished by the Borrower at any time under or in connection herewith or therewith, shall be true and correct in all material respects (except, if a qualifier relating to materiality, Material Adverse Effect or a similar concept applies, such representation or warranty shall be required to be true and correct in all respects)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820" w:hanging="384"/>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right="300" w:firstLine="436"/>
        <w:spacing w:after="0" w:line="277" w:lineRule="auto"/>
        <w:tabs>
          <w:tab w:leader="none" w:pos="81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Committed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11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color w:val="auto"/>
        </w:rPr>
        <w:t>Corporate Existence and Power</w:t>
      </w:r>
      <w:r>
        <w:rPr>
          <w:rFonts w:ascii="Arial" w:cs="Arial" w:eastAsia="Arial" w:hAnsi="Arial"/>
          <w:sz w:val="16"/>
          <w:szCs w:val="16"/>
          <w:color w:val="auto"/>
        </w:rPr>
        <w:t>. The Borrower and each of its Material Subsidiaries:</w:t>
      </w:r>
    </w:p>
    <w:p>
      <w:pPr>
        <w:spacing w:after="0" w:line="229" w:lineRule="exact"/>
        <w:rPr>
          <w:sz w:val="20"/>
          <w:szCs w:val="20"/>
          <w:color w:val="auto"/>
        </w:rPr>
      </w:pPr>
    </w:p>
    <w:p>
      <w:pPr>
        <w:ind w:left="820" w:hanging="384"/>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duly organized, validly existing and in good standing under the laws of the jurisdiction of its organization;</w:t>
      </w:r>
    </w:p>
    <w:p>
      <w:pPr>
        <w:spacing w:after="0" w:line="225" w:lineRule="exact"/>
        <w:rPr>
          <w:rFonts w:ascii="Arial" w:cs="Arial" w:eastAsia="Arial" w:hAnsi="Arial"/>
          <w:sz w:val="18"/>
          <w:szCs w:val="18"/>
          <w:color w:val="auto"/>
        </w:rPr>
      </w:pPr>
    </w:p>
    <w:p>
      <w:pPr>
        <w:ind w:right="360" w:firstLine="436"/>
        <w:spacing w:after="0" w:line="277" w:lineRule="auto"/>
        <w:tabs>
          <w:tab w:leader="none" w:pos="8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has the power and authority and all governmental licenses, authorizations, consents and approvals (i) to own its assets and to carry on its business and (ii) to execute, deliver and perform its obligations under the Loan Documents to which it is a party;</w:t>
      </w:r>
    </w:p>
    <w:p>
      <w:pPr>
        <w:spacing w:after="0" w:line="170" w:lineRule="exact"/>
        <w:rPr>
          <w:rFonts w:ascii="Arial" w:cs="Arial" w:eastAsia="Arial" w:hAnsi="Arial"/>
          <w:sz w:val="18"/>
          <w:szCs w:val="18"/>
          <w:color w:val="auto"/>
        </w:rPr>
      </w:pPr>
    </w:p>
    <w:p>
      <w:pPr>
        <w:ind w:right="60" w:firstLine="436"/>
        <w:spacing w:after="0" w:line="277" w:lineRule="auto"/>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duly qualified to do business in each jurisdiction where its ownership, lease or operation of property or the conduct of its business requires such qualification;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in compliance with all Requirements of Law;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except, in each case referred to in </w:t>
      </w:r>
      <w:r>
        <w:rPr>
          <w:rFonts w:ascii="Arial" w:cs="Arial" w:eastAsia="Arial" w:hAnsi="Arial"/>
          <w:sz w:val="18"/>
          <w:szCs w:val="18"/>
          <w:u w:val="single" w:color="auto"/>
          <w:color w:val="auto"/>
        </w:rPr>
        <w:t>subclause (b)(i)</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(d)</w:t>
      </w:r>
      <w:r>
        <w:rPr>
          <w:rFonts w:ascii="Arial" w:cs="Arial" w:eastAsia="Arial" w:hAnsi="Arial"/>
          <w:sz w:val="18"/>
          <w:szCs w:val="18"/>
          <w:color w:val="auto"/>
        </w:rPr>
        <w:t>, to the extent that the failure to do so could not reasonably be expected to have a Material Adverse Effect.</w:t>
      </w:r>
    </w:p>
    <w:p>
      <w:pPr>
        <w:spacing w:after="0" w:line="16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5.02 Corporate Authorization; No Contravention</w:t>
      </w:r>
      <w:r>
        <w:rPr>
          <w:rFonts w:ascii="Arial" w:cs="Arial" w:eastAsia="Arial" w:hAnsi="Arial"/>
          <w:sz w:val="18"/>
          <w:szCs w:val="18"/>
          <w:color w:val="auto"/>
        </w:rPr>
        <w:t>. The execution, delivery and performance by the Borrower of each Loan Document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a party have been duly authorized by all necessary corporate, company, partnership or other similar organizational action (as the case may be), and do not and will not:</w:t>
      </w:r>
    </w:p>
    <w:p>
      <w:pPr>
        <w:spacing w:after="0" w:line="180" w:lineRule="exact"/>
        <w:rPr>
          <w:sz w:val="20"/>
          <w:szCs w:val="20"/>
          <w:color w:val="auto"/>
        </w:rPr>
      </w:pPr>
    </w:p>
    <w:p>
      <w:pPr>
        <w:ind w:left="820" w:hanging="384"/>
        <w:spacing w:after="0"/>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contravene the terms of any of the Borrower’s Organization Documents;</w:t>
      </w:r>
    </w:p>
    <w:p>
      <w:pPr>
        <w:spacing w:after="0" w:line="225" w:lineRule="exact"/>
        <w:rPr>
          <w:rFonts w:ascii="Arial" w:cs="Arial" w:eastAsia="Arial" w:hAnsi="Arial"/>
          <w:sz w:val="18"/>
          <w:szCs w:val="18"/>
          <w:color w:val="auto"/>
        </w:rPr>
      </w:pPr>
    </w:p>
    <w:p>
      <w:pPr>
        <w:ind w:right="700" w:firstLine="436"/>
        <w:spacing w:after="0" w:line="263" w:lineRule="auto"/>
        <w:tabs>
          <w:tab w:leader="none" w:pos="8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conflict with or result in any breach or contravention of, or the creation of any Lien under, any document evidencing any material Contractual Obligation to which the Borrower or any of its Subsidiaries is a party, or any order, injunction, writ or decree of any Governmental Authority to which the Borrower or any of its Subsidiaries or any of its or their property is subject; or</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violate any Requirement of Law.</w:t>
      </w:r>
    </w:p>
    <w:p>
      <w:pPr>
        <w:spacing w:after="0" w:line="221" w:lineRule="exact"/>
        <w:rPr>
          <w:sz w:val="20"/>
          <w:szCs w:val="20"/>
          <w:color w:val="auto"/>
        </w:rPr>
      </w:pPr>
    </w:p>
    <w:p>
      <w:pPr>
        <w:ind w:right="340" w:firstLine="440"/>
        <w:spacing w:after="0" w:line="314" w:lineRule="auto"/>
        <w:rPr>
          <w:sz w:val="20"/>
          <w:szCs w:val="20"/>
          <w:color w:val="auto"/>
        </w:rPr>
      </w:pPr>
      <w:r>
        <w:rPr>
          <w:rFonts w:ascii="Arial" w:cs="Arial" w:eastAsia="Arial" w:hAnsi="Arial"/>
          <w:sz w:val="16"/>
          <w:szCs w:val="16"/>
          <w:b w:val="1"/>
          <w:bCs w:val="1"/>
          <w:color w:val="auto"/>
        </w:rPr>
        <w:t>5.03 Governmental Authorization</w:t>
      </w:r>
      <w:r>
        <w:rPr>
          <w:rFonts w:ascii="Arial" w:cs="Arial" w:eastAsia="Arial" w:hAnsi="Arial"/>
          <w:sz w:val="16"/>
          <w:szCs w:val="16"/>
          <w:color w:val="auto"/>
        </w:rPr>
        <w:t>. No approval, consent, exemption, authorization or other action by, or notice to, or filing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(other than any of the foregoing which has been obtained or made and is in full force and effect) is necessary or required in connection with the execution, delivery or performance by, or enforcement against, the Borrower of this Agreement or any other Loan Document.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87" w:name="page88"/>
    <w:bookmarkEnd w:id="87"/>
    <w:p>
      <w:pPr>
        <w:ind w:left="4" w:right="56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5.04 Binding Effect</w:t>
      </w:r>
      <w:r>
        <w:rPr>
          <w:rFonts w:ascii="Arial" w:cs="Arial" w:eastAsia="Arial" w:hAnsi="Arial"/>
          <w:sz w:val="16"/>
          <w:szCs w:val="16"/>
          <w:color w:val="auto"/>
        </w:rPr>
        <w:t>. This Agreement and each other Loan Document constitute the legal, valid and binding obligations of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against the Borrower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42" w:lineRule="exact"/>
        <w:rPr>
          <w:sz w:val="20"/>
          <w:szCs w:val="20"/>
          <w:color w:val="auto"/>
        </w:rPr>
      </w:pPr>
    </w:p>
    <w:p>
      <w:pPr>
        <w:ind w:left="4" w:right="260" w:firstLine="440"/>
        <w:spacing w:after="0" w:line="293" w:lineRule="auto"/>
        <w:rPr>
          <w:sz w:val="20"/>
          <w:szCs w:val="20"/>
          <w:color w:val="auto"/>
        </w:rPr>
      </w:pPr>
      <w:r>
        <w:rPr>
          <w:rFonts w:ascii="Arial" w:cs="Arial" w:eastAsia="Arial" w:hAnsi="Arial"/>
          <w:sz w:val="16"/>
          <w:szCs w:val="16"/>
          <w:b w:val="1"/>
          <w:bCs w:val="1"/>
          <w:color w:val="auto"/>
        </w:rPr>
        <w:t>5.05 Litigation</w:t>
      </w:r>
      <w:r>
        <w:rPr>
          <w:rFonts w:ascii="Arial" w:cs="Arial" w:eastAsia="Arial" w:hAnsi="Arial"/>
          <w:sz w:val="16"/>
          <w:szCs w:val="16"/>
          <w:color w:val="auto"/>
        </w:rPr>
        <w:t>. There are no actions, suits, proceedings, claims or disputes pending or, to the best knowledge of the Borrower, threatened, at</w:t>
      </w:r>
      <w:r>
        <w:rPr>
          <w:rFonts w:ascii="Arial" w:cs="Arial" w:eastAsia="Arial" w:hAnsi="Arial"/>
          <w:sz w:val="16"/>
          <w:szCs w:val="16"/>
          <w:b w:val="1"/>
          <w:bCs w:val="1"/>
          <w:color w:val="auto"/>
        </w:rPr>
        <w:t xml:space="preserve"> </w:t>
      </w:r>
      <w:r>
        <w:rPr>
          <w:rFonts w:ascii="Arial" w:cs="Arial" w:eastAsia="Arial" w:hAnsi="Arial"/>
          <w:sz w:val="16"/>
          <w:szCs w:val="16"/>
          <w:color w:val="auto"/>
        </w:rPr>
        <w:t>law, in equity, in arbitration or before any Governmental Authority, against the Borrower or any Subsidiary or any of their respective properties</w:t>
      </w:r>
    </w:p>
    <w:p>
      <w:pPr>
        <w:spacing w:after="0" w:line="1" w:lineRule="exact"/>
        <w:rPr>
          <w:sz w:val="20"/>
          <w:szCs w:val="20"/>
          <w:color w:val="auto"/>
        </w:rPr>
      </w:pPr>
    </w:p>
    <w:p>
      <w:pPr>
        <w:ind w:left="4" w:right="40" w:hanging="4"/>
        <w:spacing w:after="0" w:line="271" w:lineRule="auto"/>
        <w:tabs>
          <w:tab w:leader="none" w:pos="24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which purport to affect or pertain to this Agreement or any other Loan Document or (b) as to which there exists a reasonable likelihood of an adverse determination, which determination would reasonably be expected to have a material adverse effect on the ability of the Borrower to pay and perform the Obligations. No injunction, writ, temporary restraining order or other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4"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5.06 No Default</w:t>
      </w:r>
      <w:r>
        <w:rPr>
          <w:rFonts w:ascii="Arial" w:cs="Arial" w:eastAsia="Arial" w:hAnsi="Arial"/>
          <w:sz w:val="18"/>
          <w:szCs w:val="18"/>
          <w:color w:val="auto"/>
        </w:rPr>
        <w:t>. No Default exists or would result from the incurring of any Obligations by the Borrower. As of the Effective Date,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nor any Subsidiary is in default under or with respect to any Contractual Obligation in any respect which, individually or together with all such defaults, could reasonably be expected to have a Material Adverse Effect.</w:t>
      </w:r>
    </w:p>
    <w:p>
      <w:pPr>
        <w:spacing w:after="0" w:line="176"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 Except as specifically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5.07</w:t>
      </w:r>
      <w:r>
        <w:rPr>
          <w:rFonts w:ascii="Arial" w:cs="Arial" w:eastAsia="Arial" w:hAnsi="Arial"/>
          <w:sz w:val="16"/>
          <w:szCs w:val="16"/>
          <w:color w:val="auto"/>
        </w:rPr>
        <w:t>:</w:t>
      </w:r>
    </w:p>
    <w:p>
      <w:pPr>
        <w:spacing w:after="0" w:line="229" w:lineRule="exact"/>
        <w:rPr>
          <w:sz w:val="20"/>
          <w:szCs w:val="20"/>
          <w:color w:val="auto"/>
        </w:rPr>
      </w:pPr>
    </w:p>
    <w:p>
      <w:pPr>
        <w:ind w:left="4" w:firstLine="436"/>
        <w:spacing w:after="0" w:line="269" w:lineRule="auto"/>
        <w:tabs>
          <w:tab w:leader="none" w:pos="824"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or state law (or, in the case of an Acquired Plan, can be brought into such compliance without any material fine, penalty or other liability). Except for Acquired Plans with respect to which the failure to have received a qualification letter would not result in any material fine, penalty or other liability, each Plan which is intended to qualify under Section 401(a) of the Code has received a favorable determination letter from the IRS (or will be submitted for a determination letter within the applicable remedial amendment period), and to the best knowledge of the Borrower, nothing has occurred which would cause the loss of such qualification. Except as could not reasonably be expected to result in liability to the Borrower or any ERISA Affiliate in excess of $20,000,000, the Borrower and each ERISA Affiliate has made all required contributions to any Plan or Multiemployer Plan subject to Section 412 of the Code (except for contributions to Acquired Plans not made prior to the respective Plan Acquisition Dates and which do not in the aggregate exceed $1,000,000 for any Acquired Plan) and have not submitted any application for a funding waiver or an extension of any amortization period pursuant to Section 412 of the Code has been made with respect to any Plan or Multiemployer Plan.</w:t>
      </w:r>
    </w:p>
    <w:p>
      <w:pPr>
        <w:spacing w:after="0" w:line="185" w:lineRule="exact"/>
        <w:rPr>
          <w:rFonts w:ascii="Arial" w:cs="Arial" w:eastAsia="Arial" w:hAnsi="Arial"/>
          <w:sz w:val="17"/>
          <w:szCs w:val="17"/>
          <w:color w:val="auto"/>
        </w:rPr>
      </w:pPr>
    </w:p>
    <w:p>
      <w:pPr>
        <w:ind w:left="4" w:right="280" w:firstLine="436"/>
        <w:spacing w:after="0" w:line="259" w:lineRule="auto"/>
        <w:tabs>
          <w:tab w:leader="none" w:pos="83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There are no pending or, to the best knowledge of Borrower,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186" w:lineRule="exact"/>
        <w:rPr>
          <w:rFonts w:ascii="Arial" w:cs="Arial" w:eastAsia="Arial" w:hAnsi="Arial"/>
          <w:sz w:val="18"/>
          <w:szCs w:val="18"/>
          <w:color w:val="auto"/>
        </w:rPr>
      </w:pPr>
    </w:p>
    <w:p>
      <w:pPr>
        <w:ind w:left="4" w:right="100" w:firstLine="436"/>
        <w:spacing w:after="0" w:line="286" w:lineRule="auto"/>
        <w:tabs>
          <w:tab w:leader="none" w:pos="82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which has resulted or could reasonably be expected to result in liability under Title IV of ERISA to the Borrower or any ERISA Affiliate in an aggregate amount in excess of $50,000,000; (ii) no contribution failure has occurred with respect to a Pension Plan sufficient to give rise to a Lien under Section 303(k) of ERISA securing liability in excess of $20,000,000; (iii) no Pension Plan has any Unfunded Pension Liability, which has resulted or could reasonably be expected to result in a Material Adverse Effect;</w:t>
      </w:r>
    </w:p>
    <w:p>
      <w:pPr>
        <w:spacing w:after="0" w:line="1" w:lineRule="exact"/>
        <w:rPr>
          <w:rFonts w:ascii="Arial" w:cs="Arial" w:eastAsia="Arial" w:hAnsi="Arial"/>
          <w:sz w:val="16"/>
          <w:szCs w:val="16"/>
          <w:color w:val="auto"/>
        </w:rPr>
      </w:pPr>
    </w:p>
    <w:p>
      <w:pPr>
        <w:ind w:left="4" w:right="40" w:hanging="4"/>
        <w:spacing w:after="0" w:line="260" w:lineRule="auto"/>
        <w:tabs>
          <w:tab w:leader="none" w:pos="3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the Borrower nor any ERISA Affiliate has incurred, or reasonably expects to incur, any liability under Title IV of ERISA with respect to any Pension Plan, which has resulted or could reasonably be expected to result in a Material</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Effect; (v) to the best knowledge of the Borrower, neither the Borrower nor any ERISA Affiliate has incurred, or reasonably expects to incur,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liability (and no event has occurred which, with the giving of notice under Section 4219 of ERISA, would result in such liability) under</w:t>
      </w:r>
    </w:p>
    <w:p>
      <w:pPr>
        <w:spacing w:after="0" w:line="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4201 or 4243 of ERISA with respect to a Multiemployer Plan in an aggregate amount in excess of $50,000,000; and (vi) neither the Borrower nor any ERISA Affiliate has engaged in a transaction, which could reasonably be expect to result in liability to the Borrower or such ERISA Affiliate in excess of $50,000,000 pursuant to Section 4069 or 4212(c) of ERISA.</w:t>
      </w:r>
    </w:p>
    <w:p>
      <w:pPr>
        <w:spacing w:after="0" w:line="190" w:lineRule="exact"/>
        <w:rPr>
          <w:sz w:val="20"/>
          <w:szCs w:val="20"/>
          <w:color w:val="auto"/>
        </w:rPr>
      </w:pPr>
    </w:p>
    <w:p>
      <w:pPr>
        <w:ind w:right="160" w:firstLine="436"/>
        <w:spacing w:after="0" w:line="308" w:lineRule="auto"/>
        <w:tabs>
          <w:tab w:leader="none" w:pos="8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As of the Effective Date, the Borrower is not and will not be using “plan assets” (within the meaning of 29 CFR § 2510.3-101, as modified by Section 3(42) of ERISA) of one or more Benefit Plans in connection with the Loans, the Letters of Credit or the Commitments.</w:t>
      </w:r>
    </w:p>
    <w:p>
      <w:pPr>
        <w:spacing w:after="0" w:line="14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5.08 Use of Proceeds; Margin Regulations</w:t>
      </w:r>
      <w:r>
        <w:rPr>
          <w:rFonts w:ascii="Arial" w:cs="Arial" w:eastAsia="Arial" w:hAnsi="Arial"/>
          <w:sz w:val="18"/>
          <w:szCs w:val="18"/>
          <w:color w:val="auto"/>
        </w:rPr>
        <w:t>. The proceeds of the Loans will be used solely for the purposes set forth in and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7.08</w:t>
      </w:r>
      <w:r>
        <w:rPr>
          <w:rFonts w:ascii="Arial" w:cs="Arial" w:eastAsia="Arial" w:hAnsi="Arial"/>
          <w:sz w:val="18"/>
          <w:szCs w:val="18"/>
          <w:color w:val="auto"/>
        </w:rPr>
        <w:t>. Neither the Borrower nor any Subsidiary is generally engaged in the business of purchasing or selling Margin Stock or extending credit for the purpose of purchasing or carrying Margin Stock.</w:t>
      </w:r>
    </w:p>
    <w:p>
      <w:pPr>
        <w:spacing w:after="0" w:line="176" w:lineRule="exact"/>
        <w:rPr>
          <w:sz w:val="20"/>
          <w:szCs w:val="20"/>
          <w:color w:val="auto"/>
        </w:rPr>
      </w:pPr>
    </w:p>
    <w:p>
      <w:pPr>
        <w:jc w:val="both"/>
        <w:ind w:right="120" w:firstLine="440"/>
        <w:spacing w:after="0" w:line="303" w:lineRule="auto"/>
        <w:rPr>
          <w:sz w:val="20"/>
          <w:szCs w:val="20"/>
          <w:color w:val="auto"/>
        </w:rPr>
      </w:pPr>
      <w:r>
        <w:rPr>
          <w:rFonts w:ascii="Arial" w:cs="Arial" w:eastAsia="Arial" w:hAnsi="Arial"/>
          <w:sz w:val="16"/>
          <w:szCs w:val="16"/>
          <w:b w:val="1"/>
          <w:bCs w:val="1"/>
          <w:color w:val="auto"/>
        </w:rPr>
        <w:t>5.09 Title to Properties</w:t>
      </w:r>
      <w:r>
        <w:rPr>
          <w:rFonts w:ascii="Arial" w:cs="Arial" w:eastAsia="Arial" w:hAnsi="Arial"/>
          <w:sz w:val="16"/>
          <w:szCs w:val="16"/>
          <w:color w:val="auto"/>
        </w:rPr>
        <w:t>. The Borrower and each Subsidiary have good record and marketable title in fee simple to, or valid leasehold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in or rights to operate, all real property necessary or used in the ordinary conduct of their respective businesses, except for such defects in title as could not, individually or in the aggregate, have a Material Adverse Effect. As of the Effective Date, the property of the Borrower and its Subsidiaries (other than any Allied Unrestricted Subsidiary or any Republic Insurance Entity) is subject to no Liens, other than Permitted Liens.</w:t>
      </w:r>
    </w:p>
    <w:p>
      <w:pPr>
        <w:spacing w:after="0" w:line="151"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5.10 Taxes. </w:t>
      </w:r>
      <w:r>
        <w:rPr>
          <w:rFonts w:ascii="Arial" w:cs="Arial" w:eastAsia="Arial" w:hAnsi="Arial"/>
          <w:sz w:val="18"/>
          <w:szCs w:val="18"/>
          <w:color w:val="auto"/>
        </w:rPr>
        <w:t>The Borrower and its Material Subsidiaries have filed all Federal and other material tax returns and reports required to be filed,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the Borrower or any Subsidiary that would, if made, have a Material Adverse Effect.</w:t>
      </w:r>
    </w:p>
    <w:p>
      <w:pPr>
        <w:spacing w:after="0" w:line="291"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Financial Condition</w:t>
      </w:r>
      <w:r>
        <w:rPr>
          <w:rFonts w:ascii="Arial" w:cs="Arial" w:eastAsia="Arial" w:hAnsi="Arial"/>
          <w:sz w:val="16"/>
          <w:szCs w:val="16"/>
          <w:color w:val="auto"/>
        </w:rPr>
        <w:t>.</w:t>
      </w:r>
    </w:p>
    <w:p>
      <w:pPr>
        <w:spacing w:after="0" w:line="121" w:lineRule="exact"/>
        <w:rPr>
          <w:sz w:val="20"/>
          <w:szCs w:val="20"/>
          <w:color w:val="auto"/>
        </w:rPr>
      </w:pPr>
    </w:p>
    <w:p>
      <w:pPr>
        <w:ind w:left="820" w:hanging="384"/>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21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were prepared in accordance with GAAP consistently applied throughout the periods covered thereby, except as otherwise expressly noted therein;</w:t>
      </w:r>
    </w:p>
    <w:p>
      <w:pPr>
        <w:spacing w:after="0" w:line="62" w:lineRule="exact"/>
        <w:rPr>
          <w:rFonts w:ascii="Arial" w:cs="Arial" w:eastAsia="Arial" w:hAnsi="Arial"/>
          <w:sz w:val="18"/>
          <w:szCs w:val="18"/>
          <w:color w:val="auto"/>
        </w:rPr>
      </w:pPr>
    </w:p>
    <w:p>
      <w:pPr>
        <w:ind w:left="440" w:right="600" w:firstLine="419"/>
        <w:spacing w:after="0" w:line="277" w:lineRule="auto"/>
        <w:tabs>
          <w:tab w:leader="none" w:pos="12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fairly present the financial condition of the Borrower and its consolidated Subsidiaries as of the dates thereof and the results of operations for the periods covered thereby; and</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31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show all material indebtedness and other liabilities, absolute or contingent, of the Borrower and its consolidated Subsidiaries as of the dates thereof, including liabilities for taxes and material Contingent Obligations.</w:t>
      </w:r>
    </w:p>
    <w:p>
      <w:pPr>
        <w:spacing w:after="0" w:line="170" w:lineRule="exact"/>
        <w:rPr>
          <w:rFonts w:ascii="Arial" w:cs="Arial" w:eastAsia="Arial" w:hAnsi="Arial"/>
          <w:sz w:val="18"/>
          <w:szCs w:val="18"/>
          <w:color w:val="auto"/>
        </w:rPr>
      </w:pPr>
    </w:p>
    <w:p>
      <w:pPr>
        <w:ind w:right="100" w:firstLine="436"/>
        <w:spacing w:after="0" w:line="277" w:lineRule="auto"/>
        <w:tabs>
          <w:tab w:leader="none" w:pos="8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6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5.12 Environmental Matters</w:t>
      </w:r>
      <w:r>
        <w:rPr>
          <w:rFonts w:ascii="Arial" w:cs="Arial" w:eastAsia="Arial" w:hAnsi="Arial"/>
          <w:sz w:val="18"/>
          <w:szCs w:val="18"/>
          <w:color w:val="auto"/>
        </w:rPr>
        <w:t>. The Borrower conducts in the ordinary course of business a review of the effect of existing Environmental Laws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existing Environmental Claims on its business, operations and properties, and as a result thereof the Borrower has reasonably concluded that, except as specifically disclosed in </w:t>
      </w:r>
      <w:r>
        <w:rPr>
          <w:rFonts w:ascii="Arial" w:cs="Arial" w:eastAsia="Arial" w:hAnsi="Arial"/>
          <w:sz w:val="18"/>
          <w:szCs w:val="18"/>
          <w:u w:val="single" w:color="auto"/>
          <w:color w:val="auto"/>
        </w:rPr>
        <w:t>Schedule 5.12</w:t>
      </w:r>
      <w:r>
        <w:rPr>
          <w:rFonts w:ascii="Arial" w:cs="Arial" w:eastAsia="Arial" w:hAnsi="Arial"/>
          <w:sz w:val="18"/>
          <w:szCs w:val="18"/>
          <w:color w:val="auto"/>
        </w:rPr>
        <w:t>, such Environmental Laws and Environmental Claims could not, individually or in the aggregate, reasonably be expected to have a Material Adverse Effect.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89" w:name="page90"/>
    <w:bookmarkEnd w:id="89"/>
    <w:p>
      <w:pPr>
        <w:ind w:left="4"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5.13 Regulated Entities</w:t>
      </w:r>
      <w:r>
        <w:rPr>
          <w:rFonts w:ascii="Arial" w:cs="Arial" w:eastAsia="Arial" w:hAnsi="Arial"/>
          <w:sz w:val="18"/>
          <w:szCs w:val="18"/>
          <w:color w:val="auto"/>
        </w:rPr>
        <w:t>. None of the Borrower, any Person controlling the Borrower, or any Subsidiary is an “Investment Company”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Investment Company Act of 1940. The Borrower is not subject to any Federal or state statute or regulation limiting its ability to incur Indebtedness.</w:t>
      </w:r>
    </w:p>
    <w:p>
      <w:pPr>
        <w:spacing w:after="0" w:line="176" w:lineRule="exact"/>
        <w:rPr>
          <w:sz w:val="20"/>
          <w:szCs w:val="20"/>
          <w:color w:val="auto"/>
        </w:rPr>
      </w:pPr>
    </w:p>
    <w:p>
      <w:pPr>
        <w:ind w:left="4" w:right="20" w:firstLine="440"/>
        <w:spacing w:after="0" w:line="347" w:lineRule="auto"/>
        <w:rPr>
          <w:sz w:val="20"/>
          <w:szCs w:val="20"/>
          <w:color w:val="auto"/>
        </w:rPr>
      </w:pPr>
      <w:r>
        <w:rPr>
          <w:rFonts w:ascii="Arial" w:cs="Arial" w:eastAsia="Arial" w:hAnsi="Arial"/>
          <w:sz w:val="16"/>
          <w:szCs w:val="16"/>
          <w:b w:val="1"/>
          <w:bCs w:val="1"/>
          <w:color w:val="auto"/>
        </w:rPr>
        <w:t>5.14 No Burdensome Restrictions</w:t>
      </w:r>
      <w:r>
        <w:rPr>
          <w:rFonts w:ascii="Arial" w:cs="Arial" w:eastAsia="Arial" w:hAnsi="Arial"/>
          <w:sz w:val="16"/>
          <w:szCs w:val="16"/>
          <w:color w:val="auto"/>
        </w:rPr>
        <w:t>. Neither the Borrower nor any Subsidiary is a party to or bound by any Contractual Obligation, or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restriction in any Organization Document or any Requirement of Law, which could reasonably be expected to have a Material Adverse Effect.</w:t>
      </w:r>
    </w:p>
    <w:p>
      <w:pPr>
        <w:spacing w:after="0" w:line="116"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5.15 Copyrights, Patents, Trademarks and Licenses, Etc</w:t>
      </w:r>
      <w:r>
        <w:rPr>
          <w:rFonts w:ascii="Arial" w:cs="Arial" w:eastAsia="Arial" w:hAnsi="Arial"/>
          <w:sz w:val="17"/>
          <w:szCs w:val="17"/>
          <w:color w:val="auto"/>
        </w:rPr>
        <w:t>. The Borrower or its Subsidiaries own or are licensed or otherwise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use all of the material patents, trademarks, service marks, trade names, copyrights, contractual franchises, authorizations and other rights that are reasonably necessary for the operation of their respective businesses, without conflict with the rights of any other Person, except to the extent failure to own, license or otherwise have the right to use any such item, or any such conflict, could not reasonably be expected to have a Material Adverse Effect. To the best knowledge of the Borrower, no slogan or other advertising device, product, process, method, substance, part or other material now employed, or now contemplated to be employed, by the Borrower or any Subsidiary, and which is material to the business or operations of the Borrower and its Subsidiaries, infringes upon any rights held by any other Person (excluding infringements which could not, individually or in the aggregate, reasonably be expected to have a Material Adverse Effect).</w:t>
      </w:r>
    </w:p>
    <w:p>
      <w:pPr>
        <w:spacing w:after="0" w:line="17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 The Material Subsidiaries as of the Effective Date are identified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5.16</w:t>
      </w:r>
      <w:r>
        <w:rPr>
          <w:rFonts w:ascii="Arial" w:cs="Arial" w:eastAsia="Arial" w:hAnsi="Arial"/>
          <w:sz w:val="16"/>
          <w:szCs w:val="16"/>
          <w:color w:val="auto"/>
        </w:rPr>
        <w:t>.</w:t>
      </w:r>
    </w:p>
    <w:p>
      <w:pPr>
        <w:spacing w:after="0" w:line="225" w:lineRule="exact"/>
        <w:rPr>
          <w:sz w:val="20"/>
          <w:szCs w:val="20"/>
          <w:color w:val="auto"/>
        </w:rPr>
      </w:pPr>
    </w:p>
    <w:p>
      <w:pPr>
        <w:ind w:left="4" w:right="320" w:firstLine="440"/>
        <w:spacing w:after="0" w:line="261" w:lineRule="auto"/>
        <w:rPr>
          <w:sz w:val="20"/>
          <w:szCs w:val="20"/>
          <w:color w:val="auto"/>
        </w:rPr>
      </w:pPr>
      <w:r>
        <w:rPr>
          <w:rFonts w:ascii="Arial" w:cs="Arial" w:eastAsia="Arial" w:hAnsi="Arial"/>
          <w:sz w:val="18"/>
          <w:szCs w:val="18"/>
          <w:b w:val="1"/>
          <w:bCs w:val="1"/>
          <w:color w:val="auto"/>
        </w:rPr>
        <w:t>5.17 Insurance</w:t>
      </w:r>
      <w:r>
        <w:rPr>
          <w:rFonts w:ascii="Arial" w:cs="Arial" w:eastAsia="Arial" w:hAnsi="Arial"/>
          <w:sz w:val="18"/>
          <w:szCs w:val="18"/>
          <w:color w:val="auto"/>
        </w:rPr>
        <w:t>. The properties (except to the extent such property, individually or in the aggregate, is not material to the Borrower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of the Borrower and its Subsidiaries are insured with financially sound and reputable insurance companies (or are self-insured) in such amounts, with such deductibles and covering such risks as are customarily carried by companies engaged in similar businesses and owning similar properties in localities where the Borrower or such Subsidiary operates.</w:t>
      </w:r>
    </w:p>
    <w:p>
      <w:pPr>
        <w:spacing w:after="0" w:line="180" w:lineRule="exact"/>
        <w:rPr>
          <w:sz w:val="20"/>
          <w:szCs w:val="20"/>
          <w:color w:val="auto"/>
        </w:rPr>
      </w:pPr>
    </w:p>
    <w:p>
      <w:pPr>
        <w:ind w:left="4" w:right="640" w:firstLine="440"/>
        <w:spacing w:after="0" w:line="282" w:lineRule="auto"/>
        <w:rPr>
          <w:sz w:val="20"/>
          <w:szCs w:val="20"/>
          <w:color w:val="auto"/>
        </w:rPr>
      </w:pPr>
      <w:r>
        <w:rPr>
          <w:rFonts w:ascii="Arial" w:cs="Arial" w:eastAsia="Arial" w:hAnsi="Arial"/>
          <w:sz w:val="18"/>
          <w:szCs w:val="18"/>
          <w:b w:val="1"/>
          <w:bCs w:val="1"/>
          <w:color w:val="auto"/>
        </w:rPr>
        <w:t>5.18 Solvency</w:t>
      </w:r>
      <w:r>
        <w:rPr>
          <w:rFonts w:ascii="Arial" w:cs="Arial" w:eastAsia="Arial" w:hAnsi="Arial"/>
          <w:sz w:val="18"/>
          <w:szCs w:val="18"/>
          <w:color w:val="auto"/>
        </w:rPr>
        <w:t>. The Borrower and the Borrower and its Subsidiaries, taken as a whole, are Solvent after giving effect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the Loan Documents.</w:t>
      </w:r>
    </w:p>
    <w:p>
      <w:pPr>
        <w:spacing w:after="0" w:line="162"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7"/>
          <w:szCs w:val="17"/>
          <w:b w:val="1"/>
          <w:bCs w:val="1"/>
          <w:color w:val="auto"/>
        </w:rPr>
        <w:t>5.19 Full Disclosure</w:t>
      </w:r>
      <w:r>
        <w:rPr>
          <w:rFonts w:ascii="Arial" w:cs="Arial" w:eastAsia="Arial" w:hAnsi="Arial"/>
          <w:sz w:val="17"/>
          <w:szCs w:val="17"/>
          <w:color w:val="auto"/>
        </w:rPr>
        <w:t>. The representations and warranties made by the Borrower and its Subsidiaries in the Loan Documents as of the date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warranties are made or deemed made, and the written statements contained in any exhibit, report, statement or certificate furnished by or on behalf of the Borrower or any Subsidiary in connection with the Loan Documents, taken as a whole, do not contain any materially untrue statement of a material fact or omit any material fact necessary to make the statements made therein, in light of the circumstances under which they are made, not misleading in any material respect as of the time when made or delivered.</w:t>
      </w:r>
    </w:p>
    <w:p>
      <w:pPr>
        <w:spacing w:after="0" w:line="168"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b w:val="1"/>
          <w:bCs w:val="1"/>
          <w:color w:val="auto"/>
        </w:rPr>
        <w:t>5.20 OFAC</w:t>
      </w:r>
      <w:r>
        <w:rPr>
          <w:rFonts w:ascii="Arial" w:cs="Arial" w:eastAsia="Arial" w:hAnsi="Arial"/>
          <w:sz w:val="16"/>
          <w:szCs w:val="16"/>
          <w:color w:val="auto"/>
        </w:rPr>
        <w:t>. Neither the Borrower, nor any of its Subsidiaries, nor, to the knowledge of the Borrower and its Subsidiaries, any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agent, affiliate or representative thereof, is an individual or entity that is, or is owned or controlled by any individual or entity that is</w:t>
      </w:r>
    </w:p>
    <w:p>
      <w:pPr>
        <w:spacing w:after="0" w:line="1" w:lineRule="exact"/>
        <w:rPr>
          <w:sz w:val="20"/>
          <w:szCs w:val="20"/>
          <w:color w:val="auto"/>
        </w:rPr>
      </w:pPr>
    </w:p>
    <w:p>
      <w:pPr>
        <w:ind w:left="4" w:right="60" w:hanging="4"/>
        <w:spacing w:after="0" w:line="255" w:lineRule="auto"/>
        <w:tabs>
          <w:tab w:leader="none" w:pos="21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86" w:lineRule="exact"/>
        <w:rPr>
          <w:sz w:val="20"/>
          <w:szCs w:val="20"/>
          <w:color w:val="auto"/>
        </w:rPr>
      </w:pPr>
    </w:p>
    <w:p>
      <w:pPr>
        <w:ind w:left="4" w:right="160" w:firstLine="440"/>
        <w:spacing w:after="0" w:line="312" w:lineRule="auto"/>
        <w:rPr>
          <w:sz w:val="20"/>
          <w:szCs w:val="20"/>
          <w:color w:val="auto"/>
        </w:rPr>
      </w:pPr>
      <w:r>
        <w:rPr>
          <w:rFonts w:ascii="Arial" w:cs="Arial" w:eastAsia="Arial" w:hAnsi="Arial"/>
          <w:sz w:val="17"/>
          <w:szCs w:val="17"/>
          <w:b w:val="1"/>
          <w:bCs w:val="1"/>
          <w:color w:val="auto"/>
        </w:rPr>
        <w:t>5.21 Anti-Corruption Laws</w:t>
      </w:r>
      <w:r>
        <w:rPr>
          <w:rFonts w:ascii="Arial" w:cs="Arial" w:eastAsia="Arial" w:hAnsi="Arial"/>
          <w:sz w:val="17"/>
          <w:szCs w:val="17"/>
          <w:color w:val="auto"/>
        </w:rPr>
        <w:t>. The Borrower and its Subsidiaries have conducted their businesses in material compliance with Anti-Corruption</w:t>
      </w:r>
      <w:r>
        <w:rPr>
          <w:rFonts w:ascii="Arial" w:cs="Arial" w:eastAsia="Arial" w:hAnsi="Arial"/>
          <w:sz w:val="17"/>
          <w:szCs w:val="17"/>
          <w:b w:val="1"/>
          <w:bCs w:val="1"/>
          <w:color w:val="auto"/>
        </w:rPr>
        <w:t xml:space="preserve"> </w:t>
      </w:r>
      <w:r>
        <w:rPr>
          <w:rFonts w:ascii="Arial" w:cs="Arial" w:eastAsia="Arial" w:hAnsi="Arial"/>
          <w:sz w:val="17"/>
          <w:szCs w:val="17"/>
          <w:color w:val="auto"/>
        </w:rPr>
        <w:t>Laws, and have instituted and maintained policies and procedures designed to promote and achieve compliance with such laws.</w:t>
      </w:r>
    </w:p>
    <w:p>
      <w:pPr>
        <w:spacing w:after="0" w:line="7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90" w:name="page91"/>
    <w:bookmarkEnd w:id="90"/>
    <w:p>
      <w:pPr>
        <w:ind w:right="2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5.22 EEA Financial Institutions; Beneficial Ownership Certification</w:t>
      </w:r>
      <w:r>
        <w:rPr>
          <w:rFonts w:ascii="Arial" w:cs="Arial" w:eastAsia="Arial" w:hAnsi="Arial"/>
          <w:sz w:val="18"/>
          <w:szCs w:val="18"/>
          <w:color w:val="auto"/>
        </w:rPr>
        <w:t>. The Borrower is not an</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the information included in the Beneficial Ownership Certificate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-151130</wp:posOffset>
            </wp:positionV>
            <wp:extent cx="3943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 long as any Lender shall have any Commitment hereunder, or any Loan or other Obligation shall remain unpaid or unsatisfied, or any Letter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shall remain outstanding, unless the Required Lenders waive compliance in writing:</w:t>
      </w:r>
    </w:p>
    <w:p>
      <w:pPr>
        <w:spacing w:after="0" w:line="207"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6.01 Financial Statements</w:t>
      </w:r>
      <w:r>
        <w:rPr>
          <w:rFonts w:ascii="Arial" w:cs="Arial" w:eastAsia="Arial" w:hAnsi="Arial"/>
          <w:sz w:val="18"/>
          <w:szCs w:val="18"/>
          <w:color w:val="auto"/>
        </w:rPr>
        <w:t>. The Borrower shall deliver to the Administrative Agent, in form and detail satisfactory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Required Lenders, with sufficient copies for each Lender:</w:t>
      </w:r>
    </w:p>
    <w:p>
      <w:pPr>
        <w:spacing w:after="0" w:line="166" w:lineRule="exact"/>
        <w:rPr>
          <w:sz w:val="20"/>
          <w:szCs w:val="20"/>
          <w:color w:val="auto"/>
        </w:rPr>
      </w:pPr>
    </w:p>
    <w:p>
      <w:pPr>
        <w:ind w:right="20" w:firstLine="436"/>
        <w:spacing w:after="0" w:line="289" w:lineRule="auto"/>
        <w:tabs>
          <w:tab w:leader="none" w:pos="8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soon as available, but not later than 120 days after the end of each fiscal year, a copy of the audited consolidated balance sheet of the Borrower and its Subsidiaries as at the end of such year and the related consolidated statements of income or operations, shareholders’ equity and cash flows for such year (together with consolidating notes with respect to the Excluded Subsidiaries and other applicable consolidating information), setting forth in each case in comparative form the figures for the previous fiscal year, all in reasonable detail and prepared in accordance with GAAP, such consolidated financial statements to be accompanied by a report of Ernst &amp; Young LLP or another nationally recognized Registered Public Accounting Firm (the “</w:t>
      </w:r>
      <w:r>
        <w:rPr>
          <w:rFonts w:ascii="Arial" w:cs="Arial" w:eastAsia="Arial" w:hAnsi="Arial"/>
          <w:sz w:val="16"/>
          <w:szCs w:val="16"/>
          <w:u w:val="single" w:color="auto"/>
          <w:color w:val="auto"/>
        </w:rPr>
        <w:t>Independent Auditor</w:t>
      </w:r>
      <w:r>
        <w:rPr>
          <w:rFonts w:ascii="Arial" w:cs="Arial" w:eastAsia="Arial" w:hAnsi="Arial"/>
          <w:sz w:val="16"/>
          <w:szCs w:val="16"/>
          <w:color w:val="auto"/>
        </w:rPr>
        <w:t xml:space="preserve">”), which report shall be prepared in accordance with standards of the Public Company Accounting Oversight Board and shall not be subject to any “going concern” or like qualification or exception or any qualification or exception as to the scope of such audit;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reports delivered pursuant to this Section shall not be qualified or limited because of a restricted or limited examination by the Independent Auditor of any material portion of the Borrower’s or any Subsidiary’s records; and</w:t>
      </w:r>
    </w:p>
    <w:p>
      <w:pPr>
        <w:spacing w:after="0" w:line="166" w:lineRule="exact"/>
        <w:rPr>
          <w:rFonts w:ascii="Arial" w:cs="Arial" w:eastAsia="Arial" w:hAnsi="Arial"/>
          <w:sz w:val="16"/>
          <w:szCs w:val="16"/>
          <w:color w:val="auto"/>
        </w:rPr>
      </w:pPr>
    </w:p>
    <w:p>
      <w:pPr>
        <w:ind w:firstLine="436"/>
        <w:spacing w:after="0" w:line="254" w:lineRule="auto"/>
        <w:tabs>
          <w:tab w:leader="none" w:pos="8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soon as available, but not later than 60 days after the end of each of the first three fiscal quarters of each fiscal year (commencing with the fiscal quarter ending June 30, 2018), a copy of the unaudited consolidated balance sheet of the Borrower and its Subsidiaries as of the end of such quarter and the related consolidated statements of income, shareholders’ equity and cash flows for the period commencing on the first day and ending on the last day of such quarter (together with consolidating notes with respect to the Excluded Subsidiaries and other applicable consolidating information), and certified by a Responsible Officer of the Borrower as fairly presenting, in accordance with GAAP (subject to the absence of footnotes and to ordinary, good faith year-end audit adjustments), the financial position and the results of operations of the Borrower and its Subsidiaries as of such date and for such period.</w:t>
      </w:r>
    </w:p>
    <w:p>
      <w:pPr>
        <w:spacing w:after="0" w:line="19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6"/>
          <w:szCs w:val="16"/>
          <w:b w:val="1"/>
          <w:bCs w:val="1"/>
          <w:color w:val="auto"/>
        </w:rPr>
        <w:t>Certificates; Other Information</w:t>
      </w:r>
      <w:r>
        <w:rPr>
          <w:rFonts w:ascii="Arial" w:cs="Arial" w:eastAsia="Arial" w:hAnsi="Arial"/>
          <w:sz w:val="16"/>
          <w:szCs w:val="16"/>
          <w:color w:val="auto"/>
        </w:rPr>
        <w:t>. The Borrower shall furnish to the Administrative Agent, with sufficient copies for each Lender:</w:t>
      </w:r>
    </w:p>
    <w:p>
      <w:pPr>
        <w:spacing w:after="0" w:line="229" w:lineRule="exact"/>
        <w:rPr>
          <w:sz w:val="20"/>
          <w:szCs w:val="20"/>
          <w:color w:val="auto"/>
        </w:rPr>
      </w:pPr>
    </w:p>
    <w:p>
      <w:pPr>
        <w:ind w:right="180" w:firstLine="436"/>
        <w:spacing w:after="0" w:line="277" w:lineRule="auto"/>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subsections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Compliance Certificate executed by a Responsible Officer of the Borrower;</w:t>
      </w:r>
    </w:p>
    <w:p>
      <w:pPr>
        <w:spacing w:after="0" w:line="170" w:lineRule="exact"/>
        <w:rPr>
          <w:rFonts w:ascii="Arial" w:cs="Arial" w:eastAsia="Arial" w:hAnsi="Arial"/>
          <w:sz w:val="18"/>
          <w:szCs w:val="18"/>
          <w:color w:val="auto"/>
        </w:rPr>
      </w:pPr>
    </w:p>
    <w:p>
      <w:pPr>
        <w:jc w:val="both"/>
        <w:ind w:right="60" w:firstLine="436"/>
        <w:spacing w:after="0" w:line="263" w:lineRule="auto"/>
        <w:tabs>
          <w:tab w:leader="none" w:pos="8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promptly after their becoming available, copies of all financial statements and reports that the Borrower sends to its shareholders, and copies of all financial statements and regular, periodic or special reports (including Forms 10K, 10Q and 8K) that the Borrower or any Subsidiary makes to, or files with, the SEC; </w:t>
      </w:r>
      <w:r>
        <w:rPr>
          <w:rFonts w:ascii="Arial" w:cs="Arial" w:eastAsia="Arial" w:hAnsi="Arial"/>
          <w:sz w:val="18"/>
          <w:szCs w:val="18"/>
          <w:color w:val="FF0000"/>
        </w:rPr>
        <w:t>and</w:t>
      </w:r>
    </w:p>
    <w:p>
      <w:pPr>
        <w:spacing w:after="0" w:line="183" w:lineRule="exact"/>
        <w:rPr>
          <w:rFonts w:ascii="Arial" w:cs="Arial" w:eastAsia="Arial" w:hAnsi="Arial"/>
          <w:sz w:val="18"/>
          <w:szCs w:val="18"/>
          <w:color w:val="auto"/>
        </w:rPr>
      </w:pPr>
    </w:p>
    <w:p>
      <w:pPr>
        <w:ind w:right="700" w:firstLine="436"/>
        <w:spacing w:after="0" w:line="277" w:lineRule="auto"/>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Borrower or any Subsidiary as the Administrative Agent, at the request of any Lender, may from time to time reasonably request</w:t>
      </w:r>
      <w:r>
        <w:rPr>
          <w:rFonts w:ascii="Arial" w:cs="Arial" w:eastAsia="Arial" w:hAnsi="Arial"/>
          <w:sz w:val="18"/>
          <w:szCs w:val="18"/>
          <w:color w:val="FF0000"/>
          <w:strike w:val="1"/>
        </w:rPr>
        <w:t>.</w:t>
      </w:r>
      <w:r>
        <w:rPr>
          <w:rFonts w:ascii="Arial" w:cs="Arial" w:eastAsia="Arial" w:hAnsi="Arial"/>
          <w:sz w:val="18"/>
          <w:szCs w:val="18"/>
          <w:u w:val="single" w:color="auto"/>
          <w:color w:val="0000E1"/>
        </w:rPr>
        <w:t>; and</w:t>
      </w:r>
    </w:p>
    <w:p>
      <w:pPr>
        <w:spacing w:after="0" w:line="170" w:lineRule="exact"/>
        <w:rPr>
          <w:rFonts w:ascii="Arial" w:cs="Arial" w:eastAsia="Arial" w:hAnsi="Arial"/>
          <w:sz w:val="18"/>
          <w:szCs w:val="18"/>
          <w:color w:val="auto"/>
        </w:rPr>
      </w:pPr>
    </w:p>
    <w:p>
      <w:pPr>
        <w:ind w:right="60" w:firstLine="436"/>
        <w:spacing w:after="0" w:line="263" w:lineRule="auto"/>
        <w:tabs>
          <w:tab w:leader="none" w:pos="8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or other applicable anti-money laundering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-1039495</wp:posOffset>
            </wp:positionV>
            <wp:extent cx="1936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-551180</wp:posOffset>
            </wp:positionV>
            <wp:extent cx="2228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91" w:name="page92"/>
    <w:bookmarkEnd w:id="91"/>
    <w:p>
      <w:pPr>
        <w:ind w:left="4" w:right="3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earlier of</w:t>
      </w:r>
    </w:p>
    <w:p>
      <w:pPr>
        <w:ind w:left="4" w:hanging="4"/>
        <w:spacing w:after="0" w:line="268" w:lineRule="auto"/>
        <w:tabs>
          <w:tab w:leader="none" w:pos="21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the date on which the Borrower posts such documents, or provides a link thereto on the Borrower’s website on the Internet at the website address listed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and (ii) the date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7"/>
          <w:szCs w:val="17"/>
          <w:i w:val="1"/>
          <w:iCs w:val="1"/>
          <w:color w:val="auto"/>
        </w:rPr>
        <w:t>i.e.</w:t>
      </w:r>
      <w:r>
        <w:rPr>
          <w:rFonts w:ascii="Arial" w:cs="Arial" w:eastAsia="Arial" w:hAnsi="Arial"/>
          <w:sz w:val="17"/>
          <w:szCs w:val="17"/>
          <w:color w:val="auto"/>
        </w:rPr>
        <w:t>, soft copies) of such documents</w:t>
      </w:r>
      <w:r>
        <w:rPr>
          <w:rFonts w:ascii="Arial" w:cs="Arial" w:eastAsia="Arial" w:hAnsi="Arial"/>
          <w:sz w:val="17"/>
          <w:szCs w:val="17"/>
          <w:b w:val="1"/>
          <w:bCs w:val="1"/>
          <w:color w:val="auto"/>
        </w:rPr>
        <w:t>.</w:t>
      </w:r>
      <w:r>
        <w:rPr>
          <w:rFonts w:ascii="Arial" w:cs="Arial" w:eastAsia="Arial" w:hAnsi="Arial"/>
          <w:sz w:val="17"/>
          <w:szCs w:val="17"/>
          <w:color w:val="auto"/>
        </w:rPr>
        <w:t xml:space="preserve">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Borrower hereby acknowledges that (a) the Administrative Agent and/or the Arrangers will make available to the Lenders and the L/C Issuers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Materials on IntraLinks, Syndtrak, ClearPar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Lender</w:t>
      </w:r>
      <w:r>
        <w:rPr>
          <w:rFonts w:ascii="Arial" w:cs="Arial" w:eastAsia="Arial" w:hAnsi="Arial"/>
          <w:sz w:val="16"/>
          <w:szCs w:val="16"/>
          <w:color w:val="auto"/>
        </w:rPr>
        <w:t>”) may have personnel who do not wish to receive material non-public information with respect to the Borrower or its Affiliates, or the respective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of any of the foregoing, and who may be engaged in investment and other market-related activities with respect to such Persons’ securities.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Borrower hereby agrees that (w) all Borrower Materials that are to be made available to Public Lenders shall be clearly and conspicuously marked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“PUBLIC” which, at a minimum, shall mean that the word “PUBLIC” shall appear prominently on the first page thereof; (x) by marking Borrower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Materials “PUBLIC”, the Borrower shall be deemed to have authorized the Administrative Agent, the Arrangers, the L/C Issuers and the Lenders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 such Borrower Materials as not containing any material non-public information with respect to the Borrower or its securities for purposes of United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 as set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“Public Side Information”; and (z) the Administrative Agent and the Arrangers shall be entitled to treat any Borrower Materials that are not marked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“PUBLIC” as being suitable only for posting on a portion of the Platform not designated “Public Side Information”. Notwithstanding the foregoing,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 shall be under no obligation to mark any Borrower Materials “PUBLIC”.</w:t>
      </w:r>
    </w:p>
    <w:p>
      <w:pPr>
        <w:spacing w:after="0" w:line="20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 The Borrower shall promptly notify the Administrative Agent and each Lender:</w:t>
      </w:r>
    </w:p>
    <w:p>
      <w:pPr>
        <w:spacing w:after="0" w:line="229" w:lineRule="exact"/>
        <w:rPr>
          <w:sz w:val="20"/>
          <w:szCs w:val="20"/>
          <w:color w:val="auto"/>
        </w:rPr>
      </w:pPr>
    </w:p>
    <w:p>
      <w:pPr>
        <w:ind w:left="824" w:hanging="384"/>
        <w:spacing w:after="0"/>
        <w:tabs>
          <w:tab w:leader="none" w:pos="8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the occurrence of any Default known to the Borrower;</w:t>
      </w:r>
    </w:p>
    <w:p>
      <w:pPr>
        <w:spacing w:after="0" w:line="225" w:lineRule="exact"/>
        <w:rPr>
          <w:rFonts w:ascii="Arial" w:cs="Arial" w:eastAsia="Arial" w:hAnsi="Arial"/>
          <w:sz w:val="18"/>
          <w:szCs w:val="18"/>
          <w:color w:val="auto"/>
        </w:rPr>
      </w:pPr>
    </w:p>
    <w:p>
      <w:pPr>
        <w:ind w:left="4" w:right="320" w:firstLine="436"/>
        <w:spacing w:after="0" w:line="277" w:lineRule="auto"/>
        <w:tabs>
          <w:tab w:leader="none" w:pos="83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any matter that has resulted or is reasonably expected to result in a Material Adverse Effect, including the following to the extent such matter has resulted or is reasonably expected to result in a Material Adverse Effect:</w:t>
      </w:r>
    </w:p>
    <w:p>
      <w:pPr>
        <w:spacing w:after="0" w:line="62" w:lineRule="exact"/>
        <w:rPr>
          <w:rFonts w:ascii="Arial" w:cs="Arial" w:eastAsia="Arial" w:hAnsi="Arial"/>
          <w:sz w:val="18"/>
          <w:szCs w:val="18"/>
          <w:color w:val="auto"/>
        </w:rPr>
      </w:pPr>
    </w:p>
    <w:p>
      <w:pPr>
        <w:ind w:left="1204" w:hanging="341"/>
        <w:spacing w:after="0"/>
        <w:tabs>
          <w:tab w:leader="none" w:pos="120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breach or non-performance of, or any default under, a Contractual Obligation of the Borrower or any Subsidiary;</w:t>
      </w:r>
    </w:p>
    <w:p>
      <w:pPr>
        <w:spacing w:after="0" w:line="117" w:lineRule="exact"/>
        <w:rPr>
          <w:rFonts w:ascii="Arial" w:cs="Arial" w:eastAsia="Arial" w:hAnsi="Arial"/>
          <w:sz w:val="18"/>
          <w:szCs w:val="18"/>
          <w:color w:val="auto"/>
        </w:rPr>
      </w:pPr>
    </w:p>
    <w:p>
      <w:pPr>
        <w:ind w:left="444" w:right="600" w:firstLine="419"/>
        <w:spacing w:after="0" w:line="277" w:lineRule="auto"/>
        <w:tabs>
          <w:tab w:leader="none" w:pos="126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dispute, litigation, investigation, proceeding or suspension between the Borrower or any Subsidiary and any Governmental Authority; 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92" w:name="page93"/>
    <w:bookmarkEnd w:id="92"/>
    <w:p>
      <w:pPr>
        <w:ind w:left="440" w:right="600" w:firstLine="419"/>
        <w:spacing w:after="0" w:line="277" w:lineRule="auto"/>
        <w:tabs>
          <w:tab w:leader="none" w:pos="1313"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commencement of, or any material development in, any litigation or proceeding affecting the Borrower or any Subsidiary, including pursuant to any applicable Environmental Laws;</w:t>
      </w:r>
    </w:p>
    <w:p>
      <w:pPr>
        <w:spacing w:after="0" w:line="170" w:lineRule="exact"/>
        <w:rPr>
          <w:rFonts w:ascii="Arial" w:cs="Arial" w:eastAsia="Arial" w:hAnsi="Arial"/>
          <w:sz w:val="18"/>
          <w:szCs w:val="18"/>
          <w:color w:val="auto"/>
        </w:rPr>
      </w:pPr>
    </w:p>
    <w:p>
      <w:pPr>
        <w:ind w:firstLine="436"/>
        <w:spacing w:after="0" w:line="263" w:lineRule="auto"/>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 the occurrence of any of the following events known to the Borrower which affect the Borrower or any ERISA Affiliate, and deliver to the Administrative Agent and each Lender a copy of any notice with respect to such event that is filed with a Governmental Authority and any notice delivered by a Governmental Authority to the Borrower or any ERISA Affiliate with respect to such event:</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 ERISA Event;</w:t>
      </w:r>
    </w:p>
    <w:p>
      <w:pPr>
        <w:spacing w:after="0" w:line="117" w:lineRule="exact"/>
        <w:rPr>
          <w:sz w:val="20"/>
          <w:szCs w:val="20"/>
          <w:color w:val="auto"/>
        </w:rPr>
      </w:pPr>
    </w:p>
    <w:p>
      <w:pPr>
        <w:ind w:left="1260" w:hanging="401"/>
        <w:spacing w:after="0"/>
        <w:tabs>
          <w:tab w:leader="none" w:pos="12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contribution failure with respect to a Pension Plan sufficient to give rise to a Lien under Section 303(k) of ERISA;</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material increase in the Unfunded Pension Liability of any Pension Plan;</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adoption of, or the commencement of contributions to, any Pension Plan or Multiemployer Plan by the Borrower or any ERISA</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Affiliate; or</w:t>
      </w:r>
    </w:p>
    <w:p>
      <w:pPr>
        <w:spacing w:after="0" w:line="102" w:lineRule="exact"/>
        <w:rPr>
          <w:rFonts w:ascii="Arial" w:cs="Arial" w:eastAsia="Arial" w:hAnsi="Arial"/>
          <w:sz w:val="16"/>
          <w:szCs w:val="16"/>
          <w:color w:val="auto"/>
        </w:rPr>
      </w:pPr>
    </w:p>
    <w:p>
      <w:pPr>
        <w:ind w:left="440" w:right="280" w:firstLine="419"/>
        <w:spacing w:after="0" w:line="277" w:lineRule="auto"/>
        <w:tabs>
          <w:tab w:leader="none" w:pos="12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adoption of any amendment to a Pension Plan if such amendment results in a material increase in contributions or an Unfunded Pension Liability;</w:t>
      </w:r>
    </w:p>
    <w:p>
      <w:pPr>
        <w:spacing w:after="0" w:line="170" w:lineRule="exact"/>
        <w:rPr>
          <w:rFonts w:ascii="Arial" w:cs="Arial" w:eastAsia="Arial" w:hAnsi="Arial"/>
          <w:sz w:val="18"/>
          <w:szCs w:val="18"/>
          <w:color w:val="auto"/>
        </w:rPr>
      </w:pPr>
    </w:p>
    <w:p>
      <w:pPr>
        <w:ind w:right="140" w:firstLine="436"/>
        <w:spacing w:after="0" w:line="277" w:lineRule="auto"/>
        <w:tabs>
          <w:tab w:leader="none" w:pos="8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 any change in the information in a Beneficial Ownership Certification, if previously provided, that would result in a change to the list of beneficial owners identified in parts (c) or (d) of such certification; and</w:t>
      </w:r>
    </w:p>
    <w:p>
      <w:pPr>
        <w:spacing w:after="0" w:line="170" w:lineRule="exact"/>
        <w:rPr>
          <w:rFonts w:ascii="Arial" w:cs="Arial" w:eastAsia="Arial" w:hAnsi="Arial"/>
          <w:sz w:val="18"/>
          <w:szCs w:val="18"/>
          <w:color w:val="auto"/>
        </w:rPr>
      </w:pPr>
    </w:p>
    <w:p>
      <w:pPr>
        <w:ind w:right="380" w:firstLine="436"/>
        <w:spacing w:after="0" w:line="277" w:lineRule="auto"/>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 any material change that has occurred in the accounting policies or financial reporting practices by the Borrower and its consolidated Subsidiaries.</w:t>
      </w:r>
    </w:p>
    <w:p>
      <w:pPr>
        <w:spacing w:after="0" w:line="170"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In addition, the Borrower shall, promptly upon the issuance thereof, notify the Administrative Agent of any announcement by Moody’s or S&amp;P (i) of any change in any Debt Rating or (ii) that any Debt Rating will be put on a “negative outlook” or “negative credit watch.”</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Each notice under this Section shall be accompanied by a written statement by a Responsible Officer of the Borrower setting forth details of the occurrence referred to therein, and stating what action the Borrower or any affected Subsidiary proposes to take with respect thereto. Each notice under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clauses or provisions of this Agreement or any other Loan Document that have been breached.</w:t>
      </w:r>
    </w:p>
    <w:p>
      <w:pPr>
        <w:spacing w:after="0" w:line="18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6.04 Preservation of Corporate Existence, Etc</w:t>
      </w:r>
      <w:r>
        <w:rPr>
          <w:rFonts w:ascii="Arial" w:cs="Arial" w:eastAsia="Arial" w:hAnsi="Arial"/>
          <w:sz w:val="18"/>
          <w:szCs w:val="18"/>
          <w:color w:val="auto"/>
        </w:rPr>
        <w:t>. The Borrower shall, and shall cause each Material Subsidiary (other than any Allied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Unrestricted Subsidiary, any Securitization Subsidiary or any Republic Insurance Entity) to (provided that nothing in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shall prevent the voluntary liquidation, dissolution or winding up, not under any bankruptcy or insolvency law, of any Subsidiary so long as no Event of Default exists and no Default will result therefrom):</w:t>
      </w:r>
    </w:p>
    <w:p>
      <w:pPr>
        <w:spacing w:after="0" w:line="184" w:lineRule="exact"/>
        <w:rPr>
          <w:sz w:val="20"/>
          <w:szCs w:val="20"/>
          <w:color w:val="auto"/>
        </w:rPr>
      </w:pPr>
    </w:p>
    <w:p>
      <w:pPr>
        <w:ind w:right="480" w:firstLine="436"/>
        <w:spacing w:after="0" w:line="277"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preserve and maintain in full force and effect its existence and good standing under the laws of its jurisdiction of organization (except in connection with transactions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263" w:lineRule="auto"/>
        <w:tabs>
          <w:tab w:leader="none" w:pos="8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preserve and maintain in full force and effect all governmental rights, privileges, qualifications, permits, licenses and franchises necessary or desirable in the normal conduct of its business (except in connection with transactions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sales of assets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420" w:firstLine="436"/>
        <w:spacing w:after="0" w:line="277"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use reasonable efforts, in the ordinary course of business, to preserve its business organization and goodwill (except in connection with transactions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440" w:firstLine="436"/>
        <w:spacing w:after="0" w:line="277" w:lineRule="auto"/>
        <w:tabs>
          <w:tab w:leader="none" w:pos="8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preserve or renew all of its registered patents, trademarks, trade names and service marks; except, in the case of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to the extent the failure to do so could not reasonably be expected to have a Material Adverse Effect.</w:t>
      </w:r>
    </w:p>
    <w:p>
      <w:pPr>
        <w:spacing w:after="0" w:line="166" w:lineRule="exact"/>
        <w:rPr>
          <w:sz w:val="20"/>
          <w:szCs w:val="20"/>
          <w:color w:val="auto"/>
        </w:rPr>
      </w:pPr>
    </w:p>
    <w:p>
      <w:pPr>
        <w:ind w:right="360" w:firstLine="440"/>
        <w:spacing w:after="0" w:line="261" w:lineRule="auto"/>
        <w:rPr>
          <w:sz w:val="20"/>
          <w:szCs w:val="20"/>
          <w:color w:val="auto"/>
        </w:rPr>
      </w:pPr>
      <w:r>
        <w:rPr>
          <w:rFonts w:ascii="Arial" w:cs="Arial" w:eastAsia="Arial" w:hAnsi="Arial"/>
          <w:sz w:val="18"/>
          <w:szCs w:val="18"/>
          <w:b w:val="1"/>
          <w:bCs w:val="1"/>
          <w:color w:val="auto"/>
        </w:rPr>
        <w:t>6.05 Maintenance of Property</w:t>
      </w:r>
      <w:r>
        <w:rPr>
          <w:rFonts w:ascii="Arial" w:cs="Arial" w:eastAsia="Arial" w:hAnsi="Arial"/>
          <w:sz w:val="18"/>
          <w:szCs w:val="18"/>
          <w:color w:val="auto"/>
        </w:rPr>
        <w:t>. The Borrower shall, and shall cause each Subsidiary (other than any Allied Unrestricted Subsidiary,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Securitization Subsidiary or any Republic Insurance Entity) to, maintain and preserve all its property which is used or useful in its business in good working order and condition, ordinary wear and tear excepted, except to the extent that failure to do so would not reasonably be expected to have a Material Adverse Effect.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93" w:name="page94"/>
    <w:bookmarkEnd w:id="93"/>
    <w:p>
      <w:pPr>
        <w:ind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6.06 Insurance</w:t>
      </w:r>
      <w:r>
        <w:rPr>
          <w:rFonts w:ascii="Arial" w:cs="Arial" w:eastAsia="Arial" w:hAnsi="Arial"/>
          <w:sz w:val="16"/>
          <w:szCs w:val="16"/>
          <w:color w:val="auto"/>
        </w:rPr>
        <w:t>. The Borrower shall, and shall cause each Subsidiary (other than any Allied Unrestricted Subsidiary, any Securitization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any Republic Insurance Entity) to, maintain, with financially sound and reputable independent insurers (or pursuant to a self-insurance program),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51"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6.07 Tax Obligations</w:t>
      </w:r>
      <w:r>
        <w:rPr>
          <w:rFonts w:ascii="Arial" w:cs="Arial" w:eastAsia="Arial" w:hAnsi="Arial"/>
          <w:sz w:val="17"/>
          <w:szCs w:val="17"/>
          <w:color w:val="auto"/>
        </w:rPr>
        <w:t>. The Borrower shall, and shall cause each Subsidiary (other than any Allied Unrestricted Subsidiary, any Securitization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or any Republic Insurance Entity) to, pay and discharge, as the same shall become due and payable all material tax liabilities, assessments and governmental charges or levies upon it or its properties or assets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the same are being contested in good faith by appropriate proceedings and adequate reserves in accordance with GAAP are being maintained by the Borrower or such Subsidiary.</w:t>
      </w:r>
    </w:p>
    <w:p>
      <w:pPr>
        <w:spacing w:after="0" w:line="57"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6.08 Compliance with Laws; Contractual Obligations</w:t>
      </w:r>
      <w:r>
        <w:rPr>
          <w:rFonts w:ascii="Arial" w:cs="Arial" w:eastAsia="Arial" w:hAnsi="Arial"/>
          <w:sz w:val="18"/>
          <w:szCs w:val="18"/>
          <w:color w:val="auto"/>
        </w:rPr>
        <w:t>. The Borrower shall, and shall cause each Subsidiary (other than any Allied</w:t>
      </w:r>
      <w:r>
        <w:rPr>
          <w:rFonts w:ascii="Arial" w:cs="Arial" w:eastAsia="Arial" w:hAnsi="Arial"/>
          <w:sz w:val="18"/>
          <w:szCs w:val="18"/>
          <w:b w:val="1"/>
          <w:bCs w:val="1"/>
          <w:color w:val="auto"/>
        </w:rPr>
        <w:t xml:space="preserve"> </w:t>
      </w:r>
      <w:r>
        <w:rPr>
          <w:rFonts w:ascii="Arial" w:cs="Arial" w:eastAsia="Arial" w:hAnsi="Arial"/>
          <w:sz w:val="18"/>
          <w:szCs w:val="18"/>
          <w:color w:val="auto"/>
        </w:rPr>
        <w:t>Unrestricted Subsidiary, any Securitization Subsidiary or any Republic Insurance Entity) to, comply with (i) any Requirements of Law of any Governmental Authority having jurisdiction over it or its business (including the Federal Fair Labor Standards Act) and (ii) any Contractual Obligation (other than any Contractual Obligation pertaining to Indebtedness) to which it is bound, in both cases the non-compliance with which could reasonably be expected to have a Material Adverse Effect.</w:t>
      </w:r>
    </w:p>
    <w:p>
      <w:pPr>
        <w:spacing w:after="0" w:line="18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color w:val="auto"/>
        </w:rPr>
        <w:t>Compliance with ERISA</w:t>
      </w:r>
      <w:r>
        <w:rPr>
          <w:rFonts w:ascii="Arial" w:cs="Arial" w:eastAsia="Arial" w:hAnsi="Arial"/>
          <w:sz w:val="16"/>
          <w:szCs w:val="16"/>
          <w:color w:val="auto"/>
        </w:rPr>
        <w:t>. The Borrower shall, and shall cause each of its ERISA Affiliates to: (a) maintain each Plan in compliance in all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material respects with the applicable provisions of ERISA, the Code and other federal or state law; (b) cause each Plan which is qualified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401(a) of the Code to maintain such qualification; and (c) make all required contributions to any Plan subject to Section 412 of the Code so as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avoid any Lien under Section 303(k) of ERISA or other liability to the Borrower or any ERISA Affiliate in excess of $20,000,000, it being understood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that any non-compliance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with respect to an Acquired Plan existing on the Plan Acquisition Date for such Acquired Plan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 constitute a violation of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so long as (i) the Borrower is diligently proceeding to remedy such non-compliance and (ii)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non-compliance will not result in any material fine, penalty or other liability.</w:t>
      </w:r>
    </w:p>
    <w:p>
      <w:pPr>
        <w:spacing w:after="0" w:line="20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6.10 Inspection of Property and Books and Records</w:t>
      </w:r>
      <w:r>
        <w:rPr>
          <w:rFonts w:ascii="Arial" w:cs="Arial" w:eastAsia="Arial" w:hAnsi="Arial"/>
          <w:sz w:val="17"/>
          <w:szCs w:val="17"/>
          <w:color w:val="auto"/>
        </w:rPr>
        <w:t>. The Borrower shall, and shall cause each Subsidiary (other than any Allied Unrestricted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any Securitization Subsidiary or any Republic Insurance Entity) to, maintain proper books of record and account, in which full, true and correct entries (sufficient to permit the preparation of consolidated financial statements in conformity with GAAP) shall be made of all financial transactions and matters involving the assets and business of the Borrower and such Subsidiary. The Borrower shall permit, and shall cause each Subsidiary (other than any Allied Unrestricted Subsidiary, any Securitization Subsidiary or any Republic Insurance Entity) to permit, the Administrative Agent, any Lender or their respective representatives (in each case at such Person’s own expense unless an Event of Default exists), upon reasonable notice at any reasonable time during normal business hours and from time to time at the request of the Administrative Agent or the relevant Lender, to visit and inspect the properties of the Borrower or any Subsidiary (and, if (i) any Default exists and has been continuing for 15 days or (ii) any Event of Default exists, to make copies or abstracts of their respective corporate, financial and operating records), and to examine the properties and books and records of the Borrower and its Subsidiaries and to discuss the affairs, finances and accounts of the Borrower or any Subsidiary with the appropriate officers, employees or authorized agents of the Borrower or such Subsidiary.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94" w:name="page95"/>
    <w:bookmarkEnd w:id="94"/>
    <w:p>
      <w:pPr>
        <w:ind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6.11 Environmental Laws</w:t>
      </w:r>
      <w:r>
        <w:rPr>
          <w:rFonts w:ascii="Arial" w:cs="Arial" w:eastAsia="Arial" w:hAnsi="Arial"/>
          <w:sz w:val="17"/>
          <w:szCs w:val="17"/>
          <w:color w:val="auto"/>
        </w:rPr>
        <w:t>. The Borrower shall, and shall cause each Subsidiary (other than any Allied Unrestricted Subsidiary, any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Securitization Subsidiary or any Republic Insurance Entity) to, conduct its operations and keep and maintain its property in material compliance with all material Environmental Laws. Without limiting the foregoing, the Borrower shall, and shall cause each Subsidiary (other than any Allied Unrestricted Subsidiary, any Securitization Subsidiary or any Republic Insurance Entity) to, (i) maintain all material operating permits for all landfills now owned or hereafter acquired; and (ii) dispose of hazardous waste only at licensed disposal facilities operating, to the best of the Borrower’s or the applicable Subsidiary’s knowledge after reasonable inquiry, in material compliance with all material Environmental Laws.</w:t>
      </w:r>
    </w:p>
    <w:p>
      <w:pPr>
        <w:spacing w:after="0" w:line="17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6.12 Use of Proceeds</w:t>
      </w:r>
      <w:r>
        <w:rPr>
          <w:rFonts w:ascii="Arial" w:cs="Arial" w:eastAsia="Arial" w:hAnsi="Arial"/>
          <w:sz w:val="18"/>
          <w:szCs w:val="18"/>
          <w:color w:val="auto"/>
        </w:rPr>
        <w:t>. The Borrower shall use the proceeds of the Loans (i) for the refinancing of the “Obligations” under and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Credit Agreements, and (ii) for working capital, capital expenditures, letters of credit and other general corporate purposes not in contravention of any Requirement of Law or of any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use the proceeds of any Loan to acquire any Person if the board of directors of the Person to be acquired has not approved such Acquisition.</w:t>
      </w:r>
    </w:p>
    <w:p>
      <w:pPr>
        <w:spacing w:after="0" w:line="180"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6.13 Anti-Corruption Laws</w:t>
      </w:r>
      <w:r>
        <w:rPr>
          <w:rFonts w:ascii="Arial" w:cs="Arial" w:eastAsia="Arial" w:hAnsi="Arial"/>
          <w:sz w:val="18"/>
          <w:szCs w:val="18"/>
          <w:color w:val="auto"/>
        </w:rPr>
        <w:t>. The Borrower shall conduct its businesses in compliance with Anti-Corruption Laws, and maintain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designed to promote and achieve compliance with Anti-Corruption Laws and applicable Sanctions.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 long as any Lender shall have any Commitment hereunder, or any Loan or other Obligation shall remain unpaid or unsatisfied, or any Letter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shall remain outstanding, unless the Required Lenders waive compliance in writing:</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7.01 Financial Condition Covenants</w:t>
      </w:r>
      <w:r>
        <w:rPr>
          <w:rFonts w:ascii="Arial" w:cs="Arial" w:eastAsia="Arial" w:hAnsi="Arial"/>
          <w:sz w:val="18"/>
          <w:szCs w:val="18"/>
          <w:color w:val="auto"/>
        </w:rPr>
        <w:t>.</w:t>
      </w:r>
    </w:p>
    <w:p>
      <w:pPr>
        <w:spacing w:after="0" w:line="121" w:lineRule="exact"/>
        <w:rPr>
          <w:sz w:val="20"/>
          <w:szCs w:val="20"/>
          <w:color w:val="auto"/>
        </w:rPr>
      </w:pPr>
    </w:p>
    <w:p>
      <w:pPr>
        <w:ind w:right="100" w:firstLine="436"/>
        <w:spacing w:after="0" w:line="277" w:lineRule="auto"/>
        <w:tabs>
          <w:tab w:leader="none" w:pos="68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The Borrower shall not permit the Consolidated Interest Coverage Ratio as of the last day of any fiscal quarter to be less than 3.00 to 1.00.</w:t>
      </w:r>
    </w:p>
    <w:p>
      <w:pPr>
        <w:spacing w:after="0" w:line="170" w:lineRule="exact"/>
        <w:rPr>
          <w:rFonts w:ascii="Arial" w:cs="Arial" w:eastAsia="Arial" w:hAnsi="Arial"/>
          <w:sz w:val="18"/>
          <w:szCs w:val="18"/>
          <w:color w:val="auto"/>
        </w:rPr>
      </w:pPr>
    </w:p>
    <w:p>
      <w:pPr>
        <w:ind w:right="40" w:firstLine="436"/>
        <w:spacing w:after="0" w:line="270" w:lineRule="auto"/>
        <w:tabs>
          <w:tab w:leader="none" w:pos="695"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Total Debt to EBITDA Ratio</w:t>
      </w:r>
      <w:r>
        <w:rPr>
          <w:rFonts w:ascii="Arial" w:cs="Arial" w:eastAsia="Arial" w:hAnsi="Arial"/>
          <w:sz w:val="17"/>
          <w:szCs w:val="17"/>
          <w:color w:val="auto"/>
        </w:rPr>
        <w:t xml:space="preserve">. The Borrower shall not permit the Total Debt to EBITDA Ratio as of the last day of any fiscal quarter to be greater than 3.50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one or more Acquisitions permitted hereunder involving aggregate consideration in excess of $200,000,000 occur during a fiscal quarter, the Borrower shall have the right to elect to increase the maximum permitted Total Debt to EBITDA Ratio required to be maintained by this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to 3.75 to 1.00 during the fiscal quarter in which such permitted Acquisition is consummated (the “</w:t>
      </w:r>
      <w:r>
        <w:rPr>
          <w:rFonts w:ascii="Arial" w:cs="Arial" w:eastAsia="Arial" w:hAnsi="Arial"/>
          <w:sz w:val="17"/>
          <w:szCs w:val="17"/>
          <w:u w:val="single" w:color="auto"/>
          <w:color w:val="auto"/>
        </w:rPr>
        <w:t>Trigger Quarter</w:t>
      </w:r>
      <w:r>
        <w:rPr>
          <w:rFonts w:ascii="Arial" w:cs="Arial" w:eastAsia="Arial" w:hAnsi="Arial"/>
          <w:sz w:val="17"/>
          <w:szCs w:val="17"/>
          <w:color w:val="auto"/>
        </w:rPr>
        <w:t>”) and each of the following three fiscal quarters following the Trigger Quarter (such period, the “</w:t>
      </w:r>
      <w:r>
        <w:rPr>
          <w:rFonts w:ascii="Arial" w:cs="Arial" w:eastAsia="Arial" w:hAnsi="Arial"/>
          <w:sz w:val="17"/>
          <w:szCs w:val="17"/>
          <w:u w:val="single" w:color="auto"/>
          <w:color w:val="auto"/>
        </w:rPr>
        <w:t>Elevated Ratio Period</w:t>
      </w:r>
      <w:r>
        <w:rPr>
          <w:rFonts w:ascii="Arial" w:cs="Arial" w:eastAsia="Arial" w:hAnsi="Arial"/>
          <w:sz w:val="17"/>
          <w:szCs w:val="17"/>
          <w:color w:val="auto"/>
        </w:rPr>
        <w:t xml:space="preserve">”) so long as there is at least one fiscal quarter end after the end of each Elevated Ratio Period at which the Total Debt to EBITDA Ratio is less than or equal to 3.50 to 1.00. Such election shall be made by the delivery of a written notice by the Borrower to the Administrative Agent making reference to this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and notifying the Administrative Agent of the Borrower’s exercise of this right on or prior to the date of the actual or required delivery of a Compliance Certificate for the Trigger Quarter.</w:t>
      </w:r>
    </w:p>
    <w:p>
      <w:pPr>
        <w:spacing w:after="0" w:line="177"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7.02 Limitation on Liens</w:t>
      </w:r>
      <w:r>
        <w:rPr>
          <w:rFonts w:ascii="Arial" w:cs="Arial" w:eastAsia="Arial" w:hAnsi="Arial"/>
          <w:sz w:val="16"/>
          <w:szCs w:val="16"/>
          <w:color w:val="auto"/>
        </w:rPr>
        <w:t>. The Borrower shall not, and shall not suffer or permit any Subsidiary (other than any Allied Unrestricted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any Securitization Subsidiary or any Republic Insurance Entity) to, directly or indirectly, make, create, incur, assume or suffer to exist any Lien upon or</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any part of its property, whether now owned or hereafter acquired, other than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right="320" w:firstLine="436"/>
        <w:spacing w:after="0" w:line="257" w:lineRule="auto"/>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any Lien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and any extension, renewal or replacement of any such Lien so long as (i) the aggregate principal amount of obligations secured by any renewal, extension or replacement Lien permitted by this clause (a) does not exceed the aggregate outstanding principal amount of the obligations secured by the Lien being replaced at the time of such renewal, extension or replacement (plus transaction costs, including premiums and fees, related thereto), and (ii) each replacement Lien is limited to substantially the same property that secured the Lien so replaced;</w:t>
      </w:r>
    </w:p>
    <w:p>
      <w:pPr>
        <w:spacing w:after="0" w:line="187" w:lineRule="exact"/>
        <w:rPr>
          <w:rFonts w:ascii="Arial" w:cs="Arial" w:eastAsia="Arial" w:hAnsi="Arial"/>
          <w:sz w:val="18"/>
          <w:szCs w:val="18"/>
          <w:color w:val="auto"/>
        </w:rPr>
      </w:pPr>
    </w:p>
    <w:p>
      <w:pPr>
        <w:ind w:right="120" w:firstLine="436"/>
        <w:spacing w:after="0" w:line="263" w:lineRule="auto"/>
        <w:tabs>
          <w:tab w:leader="none" w:pos="8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imposed by law for taxes, assessments or charges of any Governmental Authority for claims not yet due or which are being contested in good faith by appropriate proceedings diligently pursued and with respect to which adequate reserves or other appropriate provisions are being maintained in accordance with GAAP;</w:t>
      </w:r>
    </w:p>
    <w:p>
      <w:pPr>
        <w:spacing w:after="0" w:line="183" w:lineRule="exact"/>
        <w:rPr>
          <w:rFonts w:ascii="Arial" w:cs="Arial" w:eastAsia="Arial" w:hAnsi="Arial"/>
          <w:sz w:val="18"/>
          <w:szCs w:val="18"/>
          <w:color w:val="auto"/>
        </w:rPr>
      </w:pPr>
    </w:p>
    <w:p>
      <w:pPr>
        <w:ind w:right="40" w:firstLine="436"/>
        <w:spacing w:after="0" w:line="259" w:lineRule="auto"/>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materialmen and other Liens imposed by law or created in the ordinary course of business and in existence less than 120 days from the date of creation thereof for amounts not yet due or which are being contested in good faith by appropriate proceedings and with respect to which adequate reserves or other appropriate provisions are being maintained in accordance with GAAP;</w:t>
      </w:r>
    </w:p>
    <w:p>
      <w:pPr>
        <w:spacing w:after="0" w:line="186" w:lineRule="exact"/>
        <w:rPr>
          <w:rFonts w:ascii="Arial" w:cs="Arial" w:eastAsia="Arial" w:hAnsi="Arial"/>
          <w:sz w:val="18"/>
          <w:szCs w:val="18"/>
          <w:color w:val="auto"/>
        </w:rPr>
      </w:pPr>
    </w:p>
    <w:p>
      <w:pPr>
        <w:ind w:right="240" w:firstLine="436"/>
        <w:spacing w:after="0" w:line="277" w:lineRule="auto"/>
        <w:tabs>
          <w:tab w:leader="none" w:pos="8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70" w:lineRule="exact"/>
        <w:rPr>
          <w:rFonts w:ascii="Arial" w:cs="Arial" w:eastAsia="Arial" w:hAnsi="Arial"/>
          <w:sz w:val="18"/>
          <w:szCs w:val="18"/>
          <w:color w:val="auto"/>
        </w:rPr>
      </w:pPr>
    </w:p>
    <w:p>
      <w:pPr>
        <w:ind w:right="140" w:firstLine="436"/>
        <w:spacing w:after="0" w:line="259" w:lineRule="auto"/>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on the property of the Borrower or any Subsidiary securing (i) the non-delinquent performance of bids, trade contracts (other than for borrowed money), leases and statutory obligations, (ii) surety bonds (excluding appeal bonds and other bonds posted in connection with court proceedings or judgments) and (iii) other non-delinquent obligations of a like nature in each case incurred in the ordinary course of business, provided all such Liens in the aggregate would not (even if enforced) cause a Material Adverse Effect;</w:t>
      </w:r>
    </w:p>
    <w:p>
      <w:pPr>
        <w:spacing w:after="0" w:line="186" w:lineRule="exact"/>
        <w:rPr>
          <w:rFonts w:ascii="Arial" w:cs="Arial" w:eastAsia="Arial" w:hAnsi="Arial"/>
          <w:sz w:val="18"/>
          <w:szCs w:val="18"/>
          <w:color w:val="auto"/>
        </w:rPr>
      </w:pPr>
    </w:p>
    <w:p>
      <w:pPr>
        <w:jc w:val="both"/>
        <w:ind w:firstLine="436"/>
        <w:spacing w:after="0" w:line="311" w:lineRule="auto"/>
        <w:tabs>
          <w:tab w:leader="none" w:pos="8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Liens consisting of judgment or judicial attachment liens and liens securing contingent obligations on appeal bonds and other bonds posted in connection with court proceedings or judgments, provided that (i) in the case of judgment and judicial attachment liens, the enforcement of such Liens is effectively stayed and (ii) all such Liens in the aggregate at any time outstanding for the Borrower and its Subsidiaries do not exceed $100,000,000;</w:t>
      </w:r>
    </w:p>
    <w:p>
      <w:pPr>
        <w:spacing w:after="0" w:line="148" w:lineRule="exact"/>
        <w:rPr>
          <w:rFonts w:ascii="Arial" w:cs="Arial" w:eastAsia="Arial" w:hAnsi="Arial"/>
          <w:sz w:val="16"/>
          <w:szCs w:val="16"/>
          <w:color w:val="auto"/>
        </w:rPr>
      </w:pPr>
    </w:p>
    <w:p>
      <w:pPr>
        <w:ind w:right="100" w:firstLine="436"/>
        <w:spacing w:after="0" w:line="263" w:lineRule="auto"/>
        <w:tabs>
          <w:tab w:leader="none" w:pos="8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individually or in the aggregate, do not materially detract from the value of the property subject thereto or materially interfere with the ordinary conduct of the businesses of the Borrower and its Subsidiaries;</w:t>
      </w:r>
    </w:p>
    <w:p>
      <w:pPr>
        <w:spacing w:after="0" w:line="183" w:lineRule="exact"/>
        <w:rPr>
          <w:rFonts w:ascii="Arial" w:cs="Arial" w:eastAsia="Arial" w:hAnsi="Arial"/>
          <w:sz w:val="18"/>
          <w:szCs w:val="18"/>
          <w:color w:val="auto"/>
        </w:rPr>
      </w:pPr>
    </w:p>
    <w:p>
      <w:pPr>
        <w:ind w:right="60" w:firstLine="436"/>
        <w:spacing w:after="0" w:line="301" w:lineRule="auto"/>
        <w:tabs>
          <w:tab w:leader="none" w:pos="83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deposit account is not a dedicated cash collateral account and is not subject to restrictions against access by the Borrower in excess of those set forth by regulations promulgated by the FRB, and (ii) such deposit account is not intended by the Borrower or any Subsidiary to provide collateral to the depository institution;</w:t>
      </w:r>
    </w:p>
    <w:p>
      <w:pPr>
        <w:spacing w:after="0" w:line="157" w:lineRule="exact"/>
        <w:rPr>
          <w:rFonts w:ascii="Arial" w:cs="Arial" w:eastAsia="Arial" w:hAnsi="Arial"/>
          <w:sz w:val="16"/>
          <w:szCs w:val="16"/>
          <w:color w:val="auto"/>
        </w:rPr>
      </w:pPr>
    </w:p>
    <w:p>
      <w:pPr>
        <w:ind w:right="120" w:firstLine="436"/>
        <w:spacing w:after="0" w:line="277" w:lineRule="auto"/>
        <w:tabs>
          <w:tab w:leader="none" w:pos="7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on the rights of the Borrower or any Subsidiary in bonds issued in connection with revenue bond financings in favor of any issuer of a letter of credit used to provide security for the payment of such bonds; and</w:t>
      </w:r>
    </w:p>
    <w:p>
      <w:pPr>
        <w:spacing w:after="0" w:line="170" w:lineRule="exact"/>
        <w:rPr>
          <w:rFonts w:ascii="Arial" w:cs="Arial" w:eastAsia="Arial" w:hAnsi="Arial"/>
          <w:sz w:val="18"/>
          <w:szCs w:val="18"/>
          <w:color w:val="auto"/>
        </w:rPr>
      </w:pPr>
    </w:p>
    <w:p>
      <w:pPr>
        <w:ind w:right="280" w:firstLine="436"/>
        <w:spacing w:after="0" w:line="277" w:lineRule="auto"/>
        <w:tabs>
          <w:tab w:leader="none" w:pos="7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other Liens, in addition to those permitted by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securing Indebtedness and other obligations, so long as the aggregate outstanding amount of Priority Indebtedness at any time does not exceed 15% of Consolidated Tangible Assets.</w:t>
      </w:r>
    </w:p>
    <w:p>
      <w:pPr>
        <w:spacing w:after="0" w:line="166"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7.03 Disposition of Assets</w:t>
      </w:r>
      <w:r>
        <w:rPr>
          <w:rFonts w:ascii="Arial" w:cs="Arial" w:eastAsia="Arial" w:hAnsi="Arial"/>
          <w:sz w:val="18"/>
          <w:szCs w:val="18"/>
          <w:color w:val="auto"/>
        </w:rPr>
        <w:t>. The Borrower shall not, and shall not permit any Subsidiary (other than any Allied Unrestricted Subsidiary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Republic Insurance Entity) to, directly or indirectly, sell, assign, lease, convey, transfer or otherwise dispose of (whether in one or a series of transactions)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96" w:name="page97"/>
    <w:bookmarkEnd w:id="9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(including accounts and notes receivable, with or without recourse) or enter into any agreement to do any of the foregoing (including any sale-leaseback), except:</w:t>
      </w:r>
    </w:p>
    <w:p>
      <w:pPr>
        <w:spacing w:after="0" w:line="170" w:lineRule="exact"/>
        <w:rPr>
          <w:sz w:val="20"/>
          <w:szCs w:val="20"/>
          <w:color w:val="auto"/>
        </w:rPr>
      </w:pPr>
    </w:p>
    <w:p>
      <w:pPr>
        <w:ind w:left="820" w:hanging="384"/>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dispositions of inventory, or used, worn-out or surplus equipment, all in the ordinary course of business;</w:t>
      </w:r>
    </w:p>
    <w:p>
      <w:pPr>
        <w:spacing w:after="0" w:line="225" w:lineRule="exact"/>
        <w:rPr>
          <w:rFonts w:ascii="Arial" w:cs="Arial" w:eastAsia="Arial" w:hAnsi="Arial"/>
          <w:sz w:val="18"/>
          <w:szCs w:val="18"/>
          <w:color w:val="auto"/>
        </w:rPr>
      </w:pPr>
    </w:p>
    <w:p>
      <w:pPr>
        <w:jc w:val="both"/>
        <w:ind w:right="280" w:firstLine="436"/>
        <w:spacing w:after="0" w:line="259" w:lineRule="auto"/>
        <w:tabs>
          <w:tab w:leader="none" w:pos="83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sale, assignment or other transfer of accounts receivable, lease receivables or other rights to payment or any interest in the foregoing pursuant to any Securitization Transaction, together in each case with any collections or proceeds thereof, any collection or deposit accounts related thereto, and any collateral, guaranties or property or claims in favor of the Borrower or such Subsidiary supporting, securing or otherwise relating to such receivables or other rights to payment;</w:t>
      </w:r>
    </w:p>
    <w:p>
      <w:pPr>
        <w:spacing w:after="0" w:line="186" w:lineRule="exact"/>
        <w:rPr>
          <w:rFonts w:ascii="Arial" w:cs="Arial" w:eastAsia="Arial" w:hAnsi="Arial"/>
          <w:sz w:val="18"/>
          <w:szCs w:val="18"/>
          <w:color w:val="auto"/>
        </w:rPr>
      </w:pPr>
    </w:p>
    <w:p>
      <w:pPr>
        <w:ind w:right="600" w:firstLine="436"/>
        <w:spacing w:after="0" w:line="342" w:lineRule="auto"/>
        <w:tabs>
          <w:tab w:leader="none" w:pos="8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Dispositions of property by any Subsidiary to the Borrower or to a Wholly-Owned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of such property is not an Excluded Subsidiary, the transferee must either be the Borrower or a Subsidiary that is not an Excluded Subsidiary; and</w:t>
      </w:r>
    </w:p>
    <w:p>
      <w:pPr>
        <w:spacing w:after="0" w:line="123" w:lineRule="exact"/>
        <w:rPr>
          <w:rFonts w:ascii="Arial" w:cs="Arial" w:eastAsia="Arial" w:hAnsi="Arial"/>
          <w:sz w:val="16"/>
          <w:szCs w:val="16"/>
          <w:color w:val="auto"/>
        </w:rPr>
      </w:pPr>
    </w:p>
    <w:p>
      <w:pPr>
        <w:jc w:val="both"/>
        <w:ind w:right="80" w:firstLine="436"/>
        <w:spacing w:after="0" w:line="259" w:lineRule="auto"/>
        <w:tabs>
          <w:tab w:leader="none" w:pos="83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other dispositions which are made for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any such disposition, no Event of Default shall exist or shall result from such disposition and (ii) the aggregate value of all assets so disposed of by the Borrower and its Subsidiaries in any one-year period (calculated as of the date of any such disposition) shall not exceed 20% of Consolidated Tangible Assets as of the last day of the most recently ended fiscal quarter.</w:t>
      </w:r>
    </w:p>
    <w:p>
      <w:pPr>
        <w:spacing w:after="0" w:line="183" w:lineRule="exact"/>
        <w:rPr>
          <w:sz w:val="20"/>
          <w:szCs w:val="20"/>
          <w:color w:val="auto"/>
        </w:rPr>
      </w:pPr>
    </w:p>
    <w:p>
      <w:pPr>
        <w:jc w:val="both"/>
        <w:ind w:right="20" w:firstLine="440"/>
        <w:spacing w:after="0" w:line="261" w:lineRule="auto"/>
        <w:rPr>
          <w:sz w:val="20"/>
          <w:szCs w:val="20"/>
          <w:color w:val="auto"/>
        </w:rPr>
      </w:pPr>
      <w:r>
        <w:rPr>
          <w:rFonts w:ascii="Arial" w:cs="Arial" w:eastAsia="Arial" w:hAnsi="Arial"/>
          <w:sz w:val="18"/>
          <w:szCs w:val="18"/>
          <w:b w:val="1"/>
          <w:bCs w:val="1"/>
          <w:color w:val="auto"/>
        </w:rPr>
        <w:t>7.04 Consolidations and Mergers</w:t>
      </w:r>
      <w:r>
        <w:rPr>
          <w:rFonts w:ascii="Arial" w:cs="Arial" w:eastAsia="Arial" w:hAnsi="Arial"/>
          <w:sz w:val="18"/>
          <w:szCs w:val="18"/>
          <w:color w:val="auto"/>
        </w:rPr>
        <w:t>. The Borrower shall not, and shall not permit any Subsidiary (other than any Allied Unrestricted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Securitization Subsidiary or any Republic Insurance Entity) to, merge, consolidate with, or convey, transfer, lease or otherwise dispose of (whether in one transaction or in a series of transactions) all or substantially all of its assets (whether now owned or hereafter acquired) to or in favor of any other Person </w:t>
      </w:r>
      <w:r>
        <w:rPr>
          <w:rFonts w:ascii="Arial" w:cs="Arial" w:eastAsia="Arial" w:hAnsi="Arial"/>
          <w:sz w:val="18"/>
          <w:szCs w:val="18"/>
          <w:u w:val="single" w:color="auto"/>
          <w:color w:val="0000E1"/>
        </w:rPr>
        <w:t>(including, in each case, pursuant to a Division)</w:t>
      </w:r>
      <w:r>
        <w:rPr>
          <w:rFonts w:ascii="Arial" w:cs="Arial" w:eastAsia="Arial" w:hAnsi="Arial"/>
          <w:sz w:val="18"/>
          <w:szCs w:val="18"/>
          <w:color w:val="auto"/>
        </w:rPr>
        <w: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-2540</wp:posOffset>
            </wp:positionV>
            <wp:extent cx="22199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64" w:lineRule="exact"/>
        <w:rPr>
          <w:sz w:val="20"/>
          <w:szCs w:val="20"/>
          <w:color w:val="auto"/>
        </w:rPr>
      </w:pPr>
    </w:p>
    <w:p>
      <w:pPr>
        <w:ind w:firstLine="436"/>
        <w:spacing w:after="0" w:line="257" w:lineRule="auto"/>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Subsidiary may merge with the Borrower or with any one or more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transaction shall be between the Borrower and a Subsidiary, the Borrower shall be the continuing or surviving Person, (ii) if any transaction shall be between a Subsidiary and a Wholly-Owned Subsidiary, a Wholly-Owned Subsidiary shall be the continuing or surviving Person; and (iii) if any transaction shall be between an Excluded Subsidiary and a Subsidiary that is not an Excluded Subsidiary, a Subsidiary that is not an Excluded Subsidiary shall be the continuing or surviving Person;</w:t>
      </w:r>
    </w:p>
    <w:p>
      <w:pPr>
        <w:spacing w:after="0" w:line="187" w:lineRule="exact"/>
        <w:rPr>
          <w:rFonts w:ascii="Arial" w:cs="Arial" w:eastAsia="Arial" w:hAnsi="Arial"/>
          <w:sz w:val="18"/>
          <w:szCs w:val="18"/>
          <w:color w:val="auto"/>
        </w:rPr>
      </w:pPr>
    </w:p>
    <w:p>
      <w:pPr>
        <w:ind w:right="160" w:firstLine="436"/>
        <w:spacing w:after="0" w:line="259" w:lineRule="auto"/>
        <w:tabs>
          <w:tab w:leader="none" w:pos="8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Subsidiary (other than an Excluded Subsidiary) may sell or transfer all or substantially all of its assets (upon voluntary liquidation or otherwise) to the Borrower or a Wholly-Owned Subsidiary, and any Excluded Subsidiary may transfer all or substantially all of its assets to the Borrower or a Subsidiary that is not an Excluded Subsidiary for nominal consideration or as a result of the voluntary dissolution or liquidation of such Excluded Subsidiary; and</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any merger, consolidation or disposition in connection with a transaction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an Acquisition permitted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07"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b w:val="1"/>
          <w:bCs w:val="1"/>
          <w:color w:val="auto"/>
        </w:rPr>
        <w:t>7.05 Loans and Investments</w:t>
      </w:r>
      <w:r>
        <w:rPr>
          <w:rFonts w:ascii="Arial" w:cs="Arial" w:eastAsia="Arial" w:hAnsi="Arial"/>
          <w:sz w:val="18"/>
          <w:szCs w:val="18"/>
          <w:color w:val="auto"/>
        </w:rPr>
        <w:t>. (a) The Borrower shall not, and shall not permit any Subsidiary (other than any Allied Unrestricted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any Securitization Subsidiary or any Republic Insurance Entity) to, purchase or acquire any capital stock, Equity Interest or obligations or other securities of, or any interest in, any Person, or make any Acquisition, or make any advance, loan, extension of credit or capital contribution to or any other investment in any Person (including any Affiliate of the Borrower) (any of the foregoing an “</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unless (x) such loan, advance, investment, acquisition or other purchase does not cause the Borrower to violate the financial covenants contained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and (y) no Default exists or would result therefrom.</w:t>
      </w:r>
    </w:p>
    <w:p>
      <w:pPr>
        <w:spacing w:after="0" w:line="191" w:lineRule="exact"/>
        <w:rPr>
          <w:sz w:val="20"/>
          <w:szCs w:val="20"/>
          <w:color w:val="auto"/>
        </w:rPr>
      </w:pPr>
    </w:p>
    <w:p>
      <w:pPr>
        <w:ind w:right="180" w:firstLine="436"/>
        <w:spacing w:after="0" w:line="296" w:lineRule="auto"/>
        <w:tabs>
          <w:tab w:leader="none" w:pos="83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and shall not permit any Subsidiary (other than any Allied Unrestricted Subsidiary, any Securitization Subsidiary or any Republic Insurance Entity) to make any Investment in any Allied Unrestricted Subsidiary, any Securitization Subsidiary or any Republic Insurance Entity unless (i) such loan, advance, investment, acquisition or other purchase does not cause the Borrower to violate the financial covenants contained in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(ii) no Default exists or would result therefrom, and (iii) after giving effect thereto, the aggregate amount of all outstanding Investments pursuant to this clause (b) does not exceed 15% of Consolidated Tangible Assets. In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97" w:name="page98"/>
    <w:bookmarkEnd w:id="97"/>
    <w:p>
      <w:pPr>
        <w:ind w:left="4" w:right="2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determining the amount of any Investment outstanding at any particular time for the purpose of this Agreement: (i) the amount of any Investment represented by a Guaranty Obligation shall be taken at not less than the principal amount of the obligations guaranteed and still outstanding; (ii) there shall be included as an Investment all interest accrued with respect to Indebtedness constituting an Investment unless and until such interest is paid;</w:t>
      </w:r>
    </w:p>
    <w:p>
      <w:pPr>
        <w:spacing w:after="0" w:line="2" w:lineRule="exact"/>
        <w:rPr>
          <w:sz w:val="20"/>
          <w:szCs w:val="20"/>
          <w:color w:val="auto"/>
        </w:rPr>
      </w:pPr>
    </w:p>
    <w:p>
      <w:pPr>
        <w:jc w:val="both"/>
        <w:ind w:left="4" w:right="60" w:hanging="4"/>
        <w:spacing w:after="0" w:line="295" w:lineRule="auto"/>
        <w:tabs>
          <w:tab w:leader="none" w:pos="31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there shall be deducted in respect of each Investment any amount received as a return of capital with respect to such Investment (but only by partial or full repurchase, redemption, retirement, repayment, liquidating dividend or liquidating distribution); (iv) there shall not be deducted in respect of any Investment any amounts received as earnings on such Investment, whether as dividends, interest or otherwise, except that accrued interest included as provided in the foregoing clause (ii) may be deducted when paid; and (v) any decrease in the value thereof shall not be deducted therefrom.</w:t>
      </w:r>
    </w:p>
    <w:p>
      <w:pPr>
        <w:spacing w:after="0" w:line="15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7.06</w:t>
      </w:r>
      <w:r>
        <w:rPr>
          <w:sz w:val="20"/>
          <w:szCs w:val="20"/>
          <w:color w:val="auto"/>
        </w:rPr>
        <w:tab/>
      </w:r>
      <w:r>
        <w:rPr>
          <w:rFonts w:ascii="Arial" w:cs="Arial" w:eastAsia="Arial" w:hAnsi="Arial"/>
          <w:sz w:val="16"/>
          <w:szCs w:val="16"/>
          <w:b w:val="1"/>
          <w:bCs w:val="1"/>
          <w:color w:val="auto"/>
        </w:rPr>
        <w:t>Limitation on Subsidiary Indebtedness</w:t>
      </w:r>
      <w:r>
        <w:rPr>
          <w:rFonts w:ascii="Arial" w:cs="Arial" w:eastAsia="Arial" w:hAnsi="Arial"/>
          <w:sz w:val="16"/>
          <w:szCs w:val="16"/>
          <w:color w:val="auto"/>
        </w:rPr>
        <w:t>. The Borrower shall not permit any Subsidiary to create, incur, assume or suffer to exist any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Indebtedness other than the following:</w:t>
      </w:r>
    </w:p>
    <w:p>
      <w:pPr>
        <w:spacing w:after="0" w:line="211" w:lineRule="exact"/>
        <w:rPr>
          <w:sz w:val="20"/>
          <w:szCs w:val="20"/>
          <w:color w:val="auto"/>
        </w:rPr>
      </w:pPr>
    </w:p>
    <w:p>
      <w:pPr>
        <w:ind w:left="4" w:right="20" w:firstLine="436"/>
        <w:spacing w:after="0" w:line="273" w:lineRule="auto"/>
        <w:tabs>
          <w:tab w:leader="none" w:pos="82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Indebtedness of the Borrower’s Subsidiaries listed on </w:t>
      </w:r>
      <w:r>
        <w:rPr>
          <w:rFonts w:ascii="Arial" w:cs="Arial" w:eastAsia="Arial" w:hAnsi="Arial"/>
          <w:sz w:val="17"/>
          <w:szCs w:val="17"/>
          <w:u w:val="single" w:color="auto"/>
          <w:color w:val="auto"/>
        </w:rPr>
        <w:t>Schedule 7.06</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is an extension, renewal or refinancing of existing Indebtedness, the terms and conditions of any such extension, renewals or refinancings shall not increase the relative priority of such Indebtedness over the priority of the original Indebtedness, and (ii) in no event shall the aggregate outstanding principal amount of Indebtedness permitted by this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exceed the aggregate principal amount of the Indebtedness listed on </w:t>
      </w:r>
      <w:r>
        <w:rPr>
          <w:rFonts w:ascii="Arial" w:cs="Arial" w:eastAsia="Arial" w:hAnsi="Arial"/>
          <w:sz w:val="17"/>
          <w:szCs w:val="17"/>
          <w:u w:val="single" w:color="auto"/>
          <w:color w:val="auto"/>
        </w:rPr>
        <w:t>Schedule 7.06</w:t>
      </w:r>
      <w:r>
        <w:rPr>
          <w:rFonts w:ascii="Arial" w:cs="Arial" w:eastAsia="Arial" w:hAnsi="Arial"/>
          <w:sz w:val="17"/>
          <w:szCs w:val="17"/>
          <w:color w:val="auto"/>
        </w:rPr>
        <w:t xml:space="preserve"> that is outstanding on the Effective Date (plus transaction costs, including premiums and fees, related thereto);</w:t>
      </w:r>
    </w:p>
    <w:p>
      <w:pPr>
        <w:spacing w:after="0" w:line="177" w:lineRule="exact"/>
        <w:rPr>
          <w:rFonts w:ascii="Arial" w:cs="Arial" w:eastAsia="Arial" w:hAnsi="Arial"/>
          <w:sz w:val="17"/>
          <w:szCs w:val="17"/>
          <w:color w:val="auto"/>
        </w:rPr>
      </w:pPr>
    </w:p>
    <w:p>
      <w:pPr>
        <w:ind w:left="4" w:right="280" w:firstLine="436"/>
        <w:spacing w:after="0" w:line="263" w:lineRule="auto"/>
        <w:tabs>
          <w:tab w:leader="none" w:pos="83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Indebtedness of (i) any Subsidiary (other than an Excluded Subsidiary) to the Borrower or any other Subsidiary (other than any Excluded Subsidiary), (ii) of any Excluded Subsidiary to any other Excluded Subsidiary, and (iii) to the extent permitted pursuant to </w:t>
      </w:r>
      <w:r>
        <w:rPr>
          <w:rFonts w:ascii="Arial" w:cs="Arial" w:eastAsia="Arial" w:hAnsi="Arial"/>
          <w:sz w:val="18"/>
          <w:szCs w:val="18"/>
          <w:u w:val="single" w:color="auto"/>
          <w:color w:val="auto"/>
        </w:rPr>
        <w:t>Section 7.05(b)</w:t>
      </w:r>
      <w:r>
        <w:rPr>
          <w:rFonts w:ascii="Arial" w:cs="Arial" w:eastAsia="Arial" w:hAnsi="Arial"/>
          <w:sz w:val="18"/>
          <w:szCs w:val="18"/>
          <w:color w:val="auto"/>
        </w:rPr>
        <w:t>, of any Excluded Subsidiary to the Borrower or any other Subsidiary;</w:t>
      </w:r>
    </w:p>
    <w:p>
      <w:pPr>
        <w:spacing w:after="0" w:line="183" w:lineRule="exact"/>
        <w:rPr>
          <w:rFonts w:ascii="Arial" w:cs="Arial" w:eastAsia="Arial" w:hAnsi="Arial"/>
          <w:sz w:val="18"/>
          <w:szCs w:val="18"/>
          <w:color w:val="auto"/>
        </w:rPr>
      </w:pPr>
    </w:p>
    <w:p>
      <w:pPr>
        <w:ind w:left="4" w:right="240" w:firstLine="436"/>
        <w:spacing w:after="0" w:line="277" w:lineRule="auto"/>
        <w:tabs>
          <w:tab w:leader="none" w:pos="8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any Allied Unrestricted Subsidiary, any Securitization Subsidiary or any Republic Insurance Entity, unsecured Indebtedness and Indebtedness secured directly or indirectly by the assets of such Person or its Subsidiaries; and</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83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Indebtedness of the Borrower’s Subsidiaries so long as the aggregate outstanding amount of Priority Indebtedness at any time does not exceed 15% of Consolidated Tangible Assets.</w:t>
      </w:r>
    </w:p>
    <w:p>
      <w:pPr>
        <w:spacing w:after="0" w:line="16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7.07 Transactions with Affiliates</w:t>
      </w:r>
      <w:r>
        <w:rPr>
          <w:rFonts w:ascii="Arial" w:cs="Arial" w:eastAsia="Arial" w:hAnsi="Arial"/>
          <w:sz w:val="18"/>
          <w:szCs w:val="18"/>
          <w:color w:val="auto"/>
        </w:rPr>
        <w:t>. The Borrower shall not, and shall not permit any Subsidiary (other than any Allied Unrestricted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any Securitization Subsidiary or any Republic Insurance Entity) to, enter into any transaction with any Affiliate of the Borrower (other than another Subsidiary), except upon fair and reasonable terms no less favorable to the Borrower or such Subsidiary than would obtain in a comparable arm’s-length transaction with a Person not an Affiliate of the Borrower or such Subsidiary.</w:t>
      </w:r>
    </w:p>
    <w:p>
      <w:pPr>
        <w:spacing w:after="0" w:line="18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7"/>
          <w:szCs w:val="17"/>
          <w:b w:val="1"/>
          <w:bCs w:val="1"/>
          <w:color w:val="auto"/>
        </w:rPr>
        <w:t>7.08 Use of Proceeds</w:t>
      </w:r>
      <w:r>
        <w:rPr>
          <w:rFonts w:ascii="Arial" w:cs="Arial" w:eastAsia="Arial" w:hAnsi="Arial"/>
          <w:sz w:val="17"/>
          <w:szCs w:val="17"/>
          <w:color w:val="auto"/>
        </w:rPr>
        <w:t>. The Borrower shall not, and shall not permit any Subsidiary to, use any portion of any Credit Extension or any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directly or indirectly, (i) to purchase or carry Margin Stock, (ii) to repay or otherwise refinance indebtedness of the Borrower or others incurred to purchase or carry Margin Stock, (iii) to extend credit for the purpose of purchasing or carrying any Margin Stock, (iv) in furtherance of an offer, payment, promise to pay, or authorization of the payment or giving of money, or anything else of value, to any Person in violation of any Anti-Corruption Laws, or (v) in any manner that would result in the violation of any Sanctions applicable to any party hereto.</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98" w:name="page99"/>
    <w:bookmarkEnd w:id="98"/>
    <w:p>
      <w:pPr>
        <w:ind w:left="444"/>
        <w:spacing w:after="0"/>
        <w:tabs>
          <w:tab w:leader="none" w:pos="9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7.09</w:t>
      </w:r>
      <w:r>
        <w:rPr>
          <w:sz w:val="20"/>
          <w:szCs w:val="20"/>
          <w:color w:val="auto"/>
        </w:rPr>
        <w:tab/>
      </w:r>
      <w:r>
        <w:rPr>
          <w:rFonts w:ascii="Arial" w:cs="Arial" w:eastAsia="Arial" w:hAnsi="Arial"/>
          <w:sz w:val="16"/>
          <w:szCs w:val="16"/>
          <w:b w:val="1"/>
          <w:bCs w:val="1"/>
          <w:color w:val="auto"/>
        </w:rPr>
        <w:t>Restricted Payments</w:t>
      </w:r>
      <w:r>
        <w:rPr>
          <w:rFonts w:ascii="Arial" w:cs="Arial" w:eastAsia="Arial" w:hAnsi="Arial"/>
          <w:sz w:val="16"/>
          <w:szCs w:val="16"/>
          <w:color w:val="auto"/>
        </w:rPr>
        <w:t>. The Borrower shall not, and shall not permit any Subsidiary (other than any Allied Unrestricted Subsidiary, any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Securitization Subsidiary or any Republic Insurance Entity), to make any Restricted Payment except that:</w:t>
      </w:r>
    </w:p>
    <w:p>
      <w:pPr>
        <w:spacing w:after="0" w:line="211" w:lineRule="exact"/>
        <w:rPr>
          <w:sz w:val="20"/>
          <w:szCs w:val="20"/>
          <w:color w:val="auto"/>
        </w:rPr>
      </w:pPr>
    </w:p>
    <w:p>
      <w:pPr>
        <w:ind w:left="4" w:right="500" w:firstLine="436"/>
        <w:spacing w:after="0" w:line="342" w:lineRule="auto"/>
        <w:tabs>
          <w:tab w:leader="none" w:pos="82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each Subsidiary may make Restricted Payments to the Borrower and any other Person that owns an Equity Interest in such Subsidiary, ratably according to their respective holdings of the type of Equity Interest in respect of which such Restricted Payment is being made;</w:t>
      </w:r>
    </w:p>
    <w:p>
      <w:pPr>
        <w:spacing w:after="0" w:line="123" w:lineRule="exact"/>
        <w:rPr>
          <w:rFonts w:ascii="Arial" w:cs="Arial" w:eastAsia="Arial" w:hAnsi="Arial"/>
          <w:sz w:val="16"/>
          <w:szCs w:val="16"/>
          <w:color w:val="auto"/>
        </w:rPr>
      </w:pPr>
    </w:p>
    <w:p>
      <w:pPr>
        <w:ind w:left="4" w:right="260" w:firstLine="436"/>
        <w:spacing w:after="0" w:line="277" w:lineRule="auto"/>
        <w:tabs>
          <w:tab w:leader="none" w:pos="8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common stock or other common Equity Interests of such Person;</w:t>
      </w:r>
    </w:p>
    <w:p>
      <w:pPr>
        <w:spacing w:after="0" w:line="170" w:lineRule="exact"/>
        <w:rPr>
          <w:rFonts w:ascii="Arial" w:cs="Arial" w:eastAsia="Arial" w:hAnsi="Arial"/>
          <w:sz w:val="18"/>
          <w:szCs w:val="18"/>
          <w:color w:val="auto"/>
        </w:rPr>
      </w:pPr>
    </w:p>
    <w:p>
      <w:pPr>
        <w:ind w:left="4" w:right="140" w:firstLine="436"/>
        <w:spacing w:after="0" w:line="277" w:lineRule="auto"/>
        <w:tabs>
          <w:tab w:leader="none" w:pos="8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and each Subsidiary may purchase, redeem or otherwise acquire Equity Interests issued by it with the proceeds received from the substantially concurrent issue of new shares of its common stock or other common Equity Interests; and</w:t>
      </w:r>
    </w:p>
    <w:p>
      <w:pPr>
        <w:spacing w:after="0" w:line="170" w:lineRule="exact"/>
        <w:rPr>
          <w:rFonts w:ascii="Arial" w:cs="Arial" w:eastAsia="Arial" w:hAnsi="Arial"/>
          <w:sz w:val="18"/>
          <w:szCs w:val="18"/>
          <w:color w:val="auto"/>
        </w:rPr>
      </w:pPr>
    </w:p>
    <w:p>
      <w:pPr>
        <w:ind w:left="4" w:right="200" w:firstLine="436"/>
        <w:spacing w:after="0" w:line="277" w:lineRule="auto"/>
        <w:tabs>
          <w:tab w:leader="none" w:pos="8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Borrower may make any other Restricted Payment so long as (i) such Restricted Payment would not cause the Borrower to violate any financial covenant contained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(ii) no other Default would result therefrom.</w:t>
      </w:r>
    </w:p>
    <w:p>
      <w:pPr>
        <w:spacing w:after="0" w:line="58"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b w:val="1"/>
          <w:bCs w:val="1"/>
          <w:color w:val="auto"/>
        </w:rPr>
        <w:t>7.10 ERISA</w:t>
      </w:r>
      <w:r>
        <w:rPr>
          <w:rFonts w:ascii="Arial" w:cs="Arial" w:eastAsia="Arial" w:hAnsi="Arial"/>
          <w:sz w:val="17"/>
          <w:szCs w:val="17"/>
          <w:color w:val="auto"/>
        </w:rPr>
        <w:t>. The Borrower shall not, and shall not permit any of its ERISA Affiliates to: (a) engage in a prohibited transaction or violation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fiduciary responsibility rules with respect to any Plan which has resulted or could reasonably be expected to result in liability of the Borrower in an aggregate amount in excess of $50,000,000; or (b) engage in a transaction which could reasonably be expected to result in liability to the Borrower or any ERISA Affiliate in excess of $50,000,000 pursuant to Section 4069 or 4212(c) of ERISA.</w:t>
      </w:r>
    </w:p>
    <w:p>
      <w:pPr>
        <w:spacing w:after="0" w:line="165"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b w:val="1"/>
          <w:bCs w:val="1"/>
          <w:color w:val="auto"/>
        </w:rPr>
        <w:t>7.11 Change in Business</w:t>
      </w:r>
      <w:r>
        <w:rPr>
          <w:rFonts w:ascii="Arial" w:cs="Arial" w:eastAsia="Arial" w:hAnsi="Arial"/>
          <w:sz w:val="16"/>
          <w:szCs w:val="16"/>
          <w:color w:val="auto"/>
        </w:rPr>
        <w:t>. The Borrower shall not, and shall not permit any Subsidiary to, engage in any material line of business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those lines of business carried on by the Borrower and its Subsidiaries on the Effective Date and lines of business complementary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ind w:left="4" w:right="40" w:hanging="4"/>
        <w:spacing w:after="0" w:line="253" w:lineRule="auto"/>
        <w:tabs>
          <w:tab w:leader="none" w:pos="2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no event will the Borrower permit a material portion of the business of the Borrower and its Subsidiaries, taken as a whole, to involve or relate to hazardous waste, (ii) in no event will the Borrower direct any Securitization Subsidiary to engage in any business other than Securitization Transactions permitted hereunder, and (iii) in no event will the Borrower direct any Excluded Subsidiary to engage in any business other than the business carried on by such Subsidiary on the later of the Effective Date and the date that such Subsidiary is approved by the Administrative Agent as an Excluded Subsidiary.</w:t>
      </w:r>
    </w:p>
    <w:p>
      <w:pPr>
        <w:spacing w:after="0" w:line="79"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b w:val="1"/>
          <w:bCs w:val="1"/>
          <w:color w:val="auto"/>
        </w:rPr>
        <w:t>7.12 Burdensome Agreements</w:t>
      </w:r>
      <w:r>
        <w:rPr>
          <w:rFonts w:ascii="Arial" w:cs="Arial" w:eastAsia="Arial" w:hAnsi="Arial"/>
          <w:sz w:val="16"/>
          <w:szCs w:val="16"/>
          <w:color w:val="auto"/>
        </w:rPr>
        <w:t>. The Borrower shall not, and shall not permit any Subsidiary (other than any Excluded Subsidiary) to, enter into</w:t>
      </w:r>
      <w:r>
        <w:rPr>
          <w:rFonts w:ascii="Arial" w:cs="Arial" w:eastAsia="Arial" w:hAnsi="Arial"/>
          <w:sz w:val="16"/>
          <w:szCs w:val="16"/>
          <w:b w:val="1"/>
          <w:bCs w:val="1"/>
          <w:color w:val="auto"/>
        </w:rPr>
        <w:t xml:space="preserve"> </w:t>
      </w:r>
      <w:r>
        <w:rPr>
          <w:rFonts w:ascii="Arial" w:cs="Arial" w:eastAsia="Arial" w:hAnsi="Arial"/>
          <w:sz w:val="16"/>
          <w:szCs w:val="16"/>
          <w:color w:val="auto"/>
        </w:rPr>
        <w:t>any Contractual Obligation (other than this Agreement and any other Loan Document) that (a) limits the ability (i) of any Subsidiary (other than an Excluded Subsidiary) to make Restricted Payments to the Borrower or to otherwise transfer property to the Borrower, (ii) of any Subsidiary (other than an Excluded Subsidiary) to guarantee the Indebtedness of the Borrower or (iii) of the Borrower or any Subsidiary (other than an Excluded Subsidiary) to create, incur, assume or suffer to exist Liens on property of such Person; or (b) requires the grant of a Lien to secure an obligation of such Person upon a Lien being granted to secure another obligation of such Person; except, in each case, (1) as required under applicable Requirements of Law, (2) as required under the Loan Documents, (3) for Permitted Liens, (4) for restrictions in any Senior Note Indenture that is substantively similar to, or less restrictive than, the Senior Note Indentures that are in effect on the Effective Date, (5) for prohibitions on assignment or transfer contained in leases and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 as set forth in </w:t>
      </w:r>
      <w:r>
        <w:rPr>
          <w:rFonts w:ascii="Arial" w:cs="Arial" w:eastAsia="Arial" w:hAnsi="Arial"/>
          <w:sz w:val="18"/>
          <w:szCs w:val="18"/>
          <w:u w:val="single" w:color="auto"/>
          <w:color w:val="auto"/>
        </w:rPr>
        <w:t>Schedule 7.12</w:t>
      </w:r>
      <w:r>
        <w:rPr>
          <w:rFonts w:ascii="Arial" w:cs="Arial" w:eastAsia="Arial" w:hAnsi="Arial"/>
          <w:sz w:val="18"/>
          <w:szCs w:val="18"/>
          <w:color w:val="auto"/>
        </w:rPr>
        <w:t>.</w:t>
      </w:r>
    </w:p>
    <w:p>
      <w:pPr>
        <w:spacing w:after="0" w:line="207" w:lineRule="exact"/>
        <w:rPr>
          <w:sz w:val="20"/>
          <w:szCs w:val="20"/>
          <w:color w:val="auto"/>
        </w:rPr>
      </w:pPr>
    </w:p>
    <w:p>
      <w:pPr>
        <w:ind w:left="4" w:right="60" w:firstLine="440"/>
        <w:spacing w:after="0" w:line="274" w:lineRule="auto"/>
        <w:rPr>
          <w:sz w:val="20"/>
          <w:szCs w:val="20"/>
          <w:color w:val="auto"/>
        </w:rPr>
      </w:pPr>
      <w:r>
        <w:rPr>
          <w:rFonts w:ascii="Arial" w:cs="Arial" w:eastAsia="Arial" w:hAnsi="Arial"/>
          <w:sz w:val="17"/>
          <w:szCs w:val="17"/>
          <w:b w:val="1"/>
          <w:bCs w:val="1"/>
          <w:color w:val="auto"/>
        </w:rPr>
        <w:t xml:space="preserve">7.13 Sanctions. </w:t>
      </w:r>
      <w:r>
        <w:rPr>
          <w:rFonts w:ascii="Arial" w:cs="Arial" w:eastAsia="Arial" w:hAnsi="Arial"/>
          <w:sz w:val="17"/>
          <w:szCs w:val="17"/>
          <w:color w:val="auto"/>
        </w:rPr>
        <w:t>The Borrower shall not, and shall not permit any Subsidiary to, directly or indirectly, use the proceeds of any Credit Extension,</w:t>
      </w:r>
      <w:r>
        <w:rPr>
          <w:rFonts w:ascii="Arial" w:cs="Arial" w:eastAsia="Arial" w:hAnsi="Arial"/>
          <w:sz w:val="17"/>
          <w:szCs w:val="17"/>
          <w:b w:val="1"/>
          <w:bCs w:val="1"/>
          <w:color w:val="auto"/>
        </w:rPr>
        <w:t xml:space="preserve"> </w:t>
      </w:r>
      <w:r>
        <w:rPr>
          <w:rFonts w:ascii="Arial" w:cs="Arial" w:eastAsia="Arial" w:hAnsi="Arial"/>
          <w:sz w:val="17"/>
          <w:szCs w:val="17"/>
          <w:color w:val="auto"/>
        </w:rPr>
        <w:t>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 or any applicable anti-money laundering and counter-terrorism financing provisions of the Bank Secrecy Act or any regulations issued pursuant to it.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99" w:name="page100"/>
    <w:bookmarkEnd w:id="99"/>
    <w:p>
      <w:pPr>
        <w:ind w:left="4" w:right="4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7.14 Anti-Corruption Laws</w:t>
      </w:r>
      <w:r>
        <w:rPr>
          <w:rFonts w:ascii="Arial" w:cs="Arial" w:eastAsia="Arial" w:hAnsi="Arial"/>
          <w:sz w:val="18"/>
          <w:szCs w:val="18"/>
          <w:color w:val="auto"/>
        </w:rPr>
        <w:t>. The Borrower shall not, and shall not permit any Subsidiary to, directly or indirectly use the proceeds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Credit Extension for any purpose which would breach any Anti-Corruption Laws.</w:t>
      </w:r>
    </w:p>
    <w:p>
      <w:pPr>
        <w:spacing w:after="0" w:line="37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ind w:left="4" w:firstLine="436"/>
        <w:spacing w:after="0" w:line="263" w:lineRule="auto"/>
        <w:tabs>
          <w:tab w:leader="none" w:pos="82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fails to pay (i) when and as required to be paid herein, any amount of principal of any Loan or the principal amount of any L/C Obligation, or (ii) within five days after the same becomes due, any interest, fee or any other amount payable hereunder or under any other Loan Document.</w:t>
      </w:r>
    </w:p>
    <w:p>
      <w:pPr>
        <w:spacing w:after="0" w:line="183" w:lineRule="exact"/>
        <w:rPr>
          <w:rFonts w:ascii="Arial" w:cs="Arial" w:eastAsia="Arial" w:hAnsi="Arial"/>
          <w:sz w:val="18"/>
          <w:szCs w:val="18"/>
          <w:color w:val="auto"/>
        </w:rPr>
      </w:pPr>
    </w:p>
    <w:p>
      <w:pPr>
        <w:ind w:left="4" w:right="20" w:firstLine="436"/>
        <w:spacing w:after="0" w:line="259" w:lineRule="auto"/>
        <w:tabs>
          <w:tab w:leader="none" w:pos="83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Representation or Warranty</w:t>
      </w:r>
      <w:r>
        <w:rPr>
          <w:rFonts w:ascii="Arial" w:cs="Arial" w:eastAsia="Arial" w:hAnsi="Arial"/>
          <w:sz w:val="18"/>
          <w:szCs w:val="18"/>
          <w:color w:val="auto"/>
        </w:rPr>
        <w:t>. Any representation or warranty by the Borrower or any Subsidiary made or deemed made herein or in any other Loan Document, or which is contained in any certificate, document or financial or other statement by the Borrower, any Subsidiary or any Responsible Officer furnished at any time under this Agreement or under any other Loan Document, is incorrect in any material respect on or as of the date made or deemed made.</w:t>
      </w:r>
    </w:p>
    <w:p>
      <w:pPr>
        <w:spacing w:after="0" w:line="186" w:lineRule="exact"/>
        <w:rPr>
          <w:rFonts w:ascii="Arial" w:cs="Arial" w:eastAsia="Arial" w:hAnsi="Arial"/>
          <w:sz w:val="18"/>
          <w:szCs w:val="18"/>
          <w:color w:val="auto"/>
        </w:rPr>
      </w:pPr>
    </w:p>
    <w:p>
      <w:pPr>
        <w:ind w:left="4" w:right="160" w:firstLine="436"/>
        <w:spacing w:after="0" w:line="277" w:lineRule="auto"/>
        <w:tabs>
          <w:tab w:leader="none" w:pos="82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Specific Defaults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Sections 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120" w:firstLine="436"/>
        <w:spacing w:after="0" w:line="263" w:lineRule="auto"/>
        <w:tabs>
          <w:tab w:leader="none" w:pos="83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The Borrower fails to perform or observe any other term or covenant contained in this Agreement or any other Loan Document, and such failure shall continue unremedied for a period of 30 days after the date upon which written notice thereof is given to the Borrower by the Administrative Agent or any Lender.</w:t>
      </w:r>
    </w:p>
    <w:p>
      <w:pPr>
        <w:spacing w:after="0" w:line="183" w:lineRule="exact"/>
        <w:rPr>
          <w:rFonts w:ascii="Arial" w:cs="Arial" w:eastAsia="Arial" w:hAnsi="Arial"/>
          <w:sz w:val="18"/>
          <w:szCs w:val="18"/>
          <w:color w:val="auto"/>
        </w:rPr>
      </w:pPr>
    </w:p>
    <w:p>
      <w:pPr>
        <w:ind w:left="4" w:right="60" w:firstLine="436"/>
        <w:spacing w:after="0" w:line="253" w:lineRule="auto"/>
        <w:tabs>
          <w:tab w:leader="none" w:pos="82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The Borrower or any Subsidiary (A) fails to make any payment of Material Financial Obligations when due (whether by scheduled maturity, required prepayment, acceleration, demand, or otherwise, but after giving effect to any applicable grace or cure period); or (B) fails to perform or observe any other condition or covenant, or any other event shall occur or condition shall exist, under one or more agreements or instruments relating to Material Financial Obligations, if the effect of such failure, event or condition (after giving effect to any applicable grace or cure period) is to cause (or require), or to permit the holder or holders of such Material Financial Obligations or the beneficiary or beneficiaries of such Material Financial Obligations (or a trustee or agent on behalf of such holder or holders or beneficiary or beneficiaries) to cause (or require), such Material Financial Obligations to become due and payable in an amount greater than or equal to $100,000,000 in any single instance (or to be purchased, repurchased or cash collateralized in an amount greater than or equal to $100,000,000 in any single instance) prior to the stated maturity thereof.</w:t>
      </w:r>
    </w:p>
    <w:p>
      <w:pPr>
        <w:spacing w:after="0" w:line="196" w:lineRule="exact"/>
        <w:rPr>
          <w:rFonts w:ascii="Arial" w:cs="Arial" w:eastAsia="Arial" w:hAnsi="Arial"/>
          <w:sz w:val="18"/>
          <w:szCs w:val="18"/>
          <w:color w:val="auto"/>
        </w:rPr>
      </w:pPr>
    </w:p>
    <w:p>
      <w:pPr>
        <w:ind w:left="4" w:right="260" w:firstLine="436"/>
        <w:spacing w:after="0" w:line="291" w:lineRule="auto"/>
        <w:tabs>
          <w:tab w:leader="none" w:pos="804"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Insolvency, Voluntary Proceedings</w:t>
      </w:r>
      <w:r>
        <w:rPr>
          <w:rFonts w:ascii="Arial" w:cs="Arial" w:eastAsia="Arial" w:hAnsi="Arial"/>
          <w:sz w:val="16"/>
          <w:szCs w:val="16"/>
          <w:color w:val="auto"/>
        </w:rPr>
        <w:t>. The Borrower or any Subsidiary (i) ceases or fails to be Solvent, or generally fails to pay, or admits in writing its inability to pay, its debts as they become due, subject to applicable grace periods, if any, whether at stated maturity or otherwise;</w:t>
      </w:r>
    </w:p>
    <w:p>
      <w:pPr>
        <w:jc w:val="both"/>
        <w:ind w:left="4" w:right="80" w:hanging="4"/>
        <w:spacing w:after="0" w:line="255" w:lineRule="auto"/>
        <w:tabs>
          <w:tab w:leader="none" w:pos="26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voluntarily ceases to conduct its business in the ordinary course; (iii) commences any Insolvency Proceeding with respect to itself; or (iv) takes any action to effectuate or authorize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the voluntary liquidation, dissolution or winding up of a Subsidiary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right="40" w:firstLine="436"/>
        <w:spacing w:after="0" w:line="273" w:lineRule="auto"/>
        <w:tabs>
          <w:tab w:leader="none" w:pos="834"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Involuntary Proceedings</w:t>
      </w:r>
      <w:r>
        <w:rPr>
          <w:rFonts w:ascii="Arial" w:cs="Arial" w:eastAsia="Arial" w:hAnsi="Arial"/>
          <w:sz w:val="17"/>
          <w:szCs w:val="17"/>
          <w:color w:val="auto"/>
        </w:rPr>
        <w:t>. (i) Any involuntary Insolvency Proceeding is commenced or filed against the Borrower or any Subsidiary, or any writ, judgment, warrant of attachment, execution or similar process is issued or levied against a substantial part of the Borrower’s or any Subsidiary’s properties, and such proceeding or petition shall not be dismissed, or such writ, judgment, warrant of attachment, execution or similar process shall not be released, vacated or fully bonded, within 60 days after commencement, filing or levy; (ii) the Borrower or any Subsidiary admits the material allegations of a petition against it in any Insolvency Proceeding, or an order for relief (or similar order under non-U.S. law) is ordered in any Insolvency Proceeding with respect to the Borrower or such Subsidiary; or (iii) the</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100" w:name="page101"/>
    <w:bookmarkEnd w:id="100"/>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or any Subsidiary acquiesces in the appointment of a receiver, trustee, custodian, conservator, liquidator, mortgagee in possession (or agent therefor), or other similar Person for itself or a substantial portion of its property or business.</w:t>
      </w:r>
    </w:p>
    <w:p>
      <w:pPr>
        <w:spacing w:after="0" w:line="170" w:lineRule="exact"/>
        <w:rPr>
          <w:sz w:val="20"/>
          <w:szCs w:val="20"/>
          <w:color w:val="auto"/>
        </w:rPr>
      </w:pPr>
    </w:p>
    <w:p>
      <w:pPr>
        <w:ind w:right="20" w:firstLine="436"/>
        <w:spacing w:after="0" w:line="290" w:lineRule="auto"/>
        <w:tabs>
          <w:tab w:leader="none" w:pos="83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xml:space="preserve">. (i) Except as disclosed on </w:t>
      </w:r>
      <w:r>
        <w:rPr>
          <w:rFonts w:ascii="Arial" w:cs="Arial" w:eastAsia="Arial" w:hAnsi="Arial"/>
          <w:sz w:val="16"/>
          <w:szCs w:val="16"/>
          <w:u w:val="single" w:color="auto"/>
          <w:color w:val="auto"/>
        </w:rPr>
        <w:t>Schedule 5.07</w:t>
      </w:r>
      <w:r>
        <w:rPr>
          <w:rFonts w:ascii="Arial" w:cs="Arial" w:eastAsia="Arial" w:hAnsi="Arial"/>
          <w:sz w:val="16"/>
          <w:szCs w:val="16"/>
          <w:color w:val="auto"/>
        </w:rPr>
        <w:t>, an ERISA Event shall occur with respect to a Pension Plan or Multiemployer Plan which has resulted or could reasonably be expected to result in liability of the Borrower under Title IV of ERISA to the Pension Plan, Multiemployer Plan or the PBGC in an aggregate amount in excess of $50,000,000; (ii) a contribution failure shall occur with respect to a Pension Plan sufficient to give rise to a Lien under Section 303(k) of ERISA securing obligations in excess of $20,000,000; or (iii) the Borrower or any ERISA Affiliate shall fail to pay when due, after the expiration of any applicable grace period (or any period during which (x) the Borrower is permitted to contest its obligation to make such payment without incurring any liability (other than interest) or penalty and (y) the Borrower is contesting such obligation in good faith and by appropriate proceedings), any installment payment with respect to its withdrawal liability under Section 4201 of ERISA or any contribution obligation under Section 4243 of ERISA, in each case under a Multiemployer Plan in an aggregate amount in excess of $50,000,000.</w:t>
      </w:r>
    </w:p>
    <w:p>
      <w:pPr>
        <w:spacing w:after="0" w:line="165" w:lineRule="exact"/>
        <w:rPr>
          <w:rFonts w:ascii="Arial" w:cs="Arial" w:eastAsia="Arial" w:hAnsi="Arial"/>
          <w:sz w:val="16"/>
          <w:szCs w:val="16"/>
          <w:color w:val="auto"/>
        </w:rPr>
      </w:pPr>
    </w:p>
    <w:p>
      <w:pPr>
        <w:ind w:right="40" w:firstLine="436"/>
        <w:spacing w:after="0" w:line="259" w:lineRule="auto"/>
        <w:tabs>
          <w:tab w:leader="none" w:pos="79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One or more non-interlocutory judgments, non-interlocutory orders, decrees or arbitration awards is entered against the Borrower or any Subsidiary involving in the aggregate a liability (to the extent not covered by insurance as to which the insurer does not dispute coverage) as to any single or related series of transactions, incidents or conditions of $100,000,000 or more, and the same shall remain unvacated and unstayed pending appeal for a period of 25 days after the entry thereof.</w:t>
      </w:r>
    </w:p>
    <w:p>
      <w:pPr>
        <w:spacing w:after="0" w:line="186" w:lineRule="exact"/>
        <w:rPr>
          <w:rFonts w:ascii="Arial" w:cs="Arial" w:eastAsia="Arial" w:hAnsi="Arial"/>
          <w:sz w:val="18"/>
          <w:szCs w:val="18"/>
          <w:color w:val="auto"/>
        </w:rPr>
      </w:pPr>
    </w:p>
    <w:p>
      <w:pPr>
        <w:ind w:left="780" w:hanging="344"/>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25" w:lineRule="exact"/>
        <w:rPr>
          <w:rFonts w:ascii="Arial" w:cs="Arial" w:eastAsia="Arial" w:hAnsi="Arial"/>
          <w:sz w:val="18"/>
          <w:szCs w:val="18"/>
          <w:color w:val="auto"/>
        </w:rPr>
      </w:pPr>
    </w:p>
    <w:p>
      <w:pPr>
        <w:jc w:val="both"/>
        <w:ind w:firstLine="436"/>
        <w:spacing w:after="0" w:line="259" w:lineRule="auto"/>
        <w:tabs>
          <w:tab w:leader="none" w:pos="83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satisfaction in full of all the Obligations, ceases to be in full force and effect; or the Borrower or any of its Subsidiaries contests in any manner the validity or enforceability of any Loan Document; or the Borrower or any of its Subsidiaries denies that it has any or further liability or obligation under any Loan Document, or purports to revoke, terminate or rescind any Loan Document.</w:t>
      </w:r>
    </w:p>
    <w:p>
      <w:pPr>
        <w:spacing w:after="0" w:line="183"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8.02 Remedies</w:t>
      </w:r>
      <w:r>
        <w:rPr>
          <w:rFonts w:ascii="Arial" w:cs="Arial" w:eastAsia="Arial" w:hAnsi="Arial"/>
          <w:sz w:val="18"/>
          <w:szCs w:val="18"/>
          <w:color w:val="auto"/>
        </w:rPr>
        <w:t>. If any Event of Default occurs, the Administrative Agent shall, at the request of, or may, with the consent of,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166" w:lineRule="exact"/>
        <w:rPr>
          <w:sz w:val="20"/>
          <w:szCs w:val="20"/>
          <w:color w:val="auto"/>
        </w:rPr>
      </w:pPr>
    </w:p>
    <w:p>
      <w:pPr>
        <w:ind w:right="280" w:firstLine="436"/>
        <w:spacing w:after="0" w:line="263" w:lineRule="auto"/>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(including the commitment of the Swing Line Lender to make Swing Line Loans) and any obligation of each L/C Issuer to make L/C Credit Extensions to be terminated, whereupon such commitments and obligation shall be terminated;</w:t>
      </w:r>
    </w:p>
    <w:p>
      <w:pPr>
        <w:spacing w:after="0" w:line="183" w:lineRule="exact"/>
        <w:rPr>
          <w:rFonts w:ascii="Arial" w:cs="Arial" w:eastAsia="Arial" w:hAnsi="Arial"/>
          <w:sz w:val="18"/>
          <w:szCs w:val="18"/>
          <w:color w:val="auto"/>
        </w:rPr>
      </w:pPr>
    </w:p>
    <w:p>
      <w:pPr>
        <w:ind w:right="140" w:firstLine="436"/>
        <w:spacing w:after="0" w:line="263" w:lineRule="auto"/>
        <w:tabs>
          <w:tab w:leader="none" w:pos="83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require that the Borrower Cash Collateralize the L/C Obligations (in an amount equal to the then Outstanding Amount thereof); and</w:t>
      </w:r>
    </w:p>
    <w:p>
      <w:pPr>
        <w:spacing w:after="0" w:line="236" w:lineRule="exact"/>
        <w:rPr>
          <w:rFonts w:ascii="Arial" w:cs="Arial" w:eastAsia="Arial" w:hAnsi="Arial"/>
          <w:sz w:val="17"/>
          <w:szCs w:val="17"/>
          <w:color w:val="auto"/>
        </w:rPr>
      </w:pPr>
    </w:p>
    <w:p>
      <w:pPr>
        <w:ind w:right="400" w:firstLine="436"/>
        <w:spacing w:after="0" w:line="277" w:lineRule="auto"/>
        <w:tabs>
          <w:tab w:leader="none" w:pos="83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Issuers all other rights and remedies available to it, the Lenders and the L/C Issuers under the Loan Documents or applicable law;</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upon the occurrence of any event specified in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subsection (g)</w:t>
      </w:r>
      <w:r>
        <w:rPr>
          <w:rFonts w:ascii="Arial" w:cs="Arial" w:eastAsia="Arial" w:hAnsi="Arial"/>
          <w:sz w:val="17"/>
          <w:szCs w:val="17"/>
          <w:color w:val="auto"/>
        </w:rPr>
        <w:t xml:space="preserve">, upon the expiration of the 60-day period mentioned therein),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any L/C Issuer or any other Lender. The Administrative Agent shall promptly notify the Borrower of any declaration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preceding sentence, but failure to give any such notice shall not impair any such declaration or result in any liability to the Administrative Agent.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1" w:name="page102"/>
    <w:bookmarkEnd w:id="101"/>
    <w:p>
      <w:pPr>
        <w:jc w:val="both"/>
        <w:ind w:right="2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8.03 Rights Not Exclusive</w:t>
      </w:r>
      <w:r>
        <w:rPr>
          <w:rFonts w:ascii="Arial" w:cs="Arial" w:eastAsia="Arial" w:hAnsi="Arial"/>
          <w:sz w:val="18"/>
          <w:szCs w:val="18"/>
          <w:color w:val="auto"/>
        </w:rPr>
        <w:t>. The rights provided for in this Agreement and the other Loan Documents are cumulative and are not exclusive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rights, powers, privileges or remedies provided by law or in equity, or under any other instrument, document or agreement now existing or hereafter arising.</w:t>
      </w:r>
    </w:p>
    <w:p>
      <w:pPr>
        <w:spacing w:after="0" w:line="176" w:lineRule="exact"/>
        <w:rPr>
          <w:sz w:val="20"/>
          <w:szCs w:val="20"/>
          <w:color w:val="auto"/>
        </w:rPr>
      </w:pPr>
    </w:p>
    <w:p>
      <w:pPr>
        <w:ind w:right="540" w:firstLine="440"/>
        <w:spacing w:after="0" w:line="261" w:lineRule="auto"/>
        <w:rPr>
          <w:sz w:val="20"/>
          <w:szCs w:val="20"/>
          <w:color w:val="auto"/>
        </w:rPr>
      </w:pPr>
      <w:r>
        <w:rPr>
          <w:rFonts w:ascii="Arial" w:cs="Arial" w:eastAsia="Arial" w:hAnsi="Arial"/>
          <w:sz w:val="18"/>
          <w:szCs w:val="18"/>
          <w:b w:val="1"/>
          <w:bCs w:val="1"/>
          <w:color w:val="auto"/>
        </w:rPr>
        <w:t>8.04 Application of Receipts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be applied by the Administrative Agent in the following order:</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reasonable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8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Issuers (including reasonable fees, charges and disbursements of counsel to the respective Lenders and L/C Issuers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Arial" w:cs="Arial" w:eastAsia="Arial" w:hAnsi="Arial"/>
          <w:sz w:val="18"/>
          <w:szCs w:val="18"/>
          <w:u w:val="single" w:color="auto"/>
          <w:color w:val="auto"/>
        </w:rPr>
        <w:t>Sections 2.05(c)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AGENT</w:t>
      </w:r>
    </w:p>
    <w:p>
      <w:pPr>
        <w:spacing w:after="0" w:line="207"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9.01 Appointment and Authority</w:t>
      </w:r>
      <w:r>
        <w:rPr>
          <w:rFonts w:ascii="Arial" w:cs="Arial" w:eastAsia="Arial" w:hAnsi="Arial"/>
          <w:sz w:val="18"/>
          <w:szCs w:val="18"/>
          <w:color w:val="auto"/>
        </w:rPr>
        <w:t>. Each of the Lenders and each L/C Issuer hereby irrevocably appoints Bank of America to act on its behalf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hereunder and under the other Loan Documents and authorizes the Administrative Agent to take such actions on its behalf and to exercise such powers as are delegated to the Administrative Agent by the terms hereof or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02" w:name="page103"/>
    <w:bookmarkEnd w:id="10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together with such actions and powers as are reasonably incidental thereto. The provisions of this Article, except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hereof, are solely for the benefit of the Administrative Agent, the Lenders and the L/C Issuers, and the Borrower shall not have rights as a third party beneficiary of any of such provisions, except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hereof.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shall not have any duties or obligations except those expressly set forth herein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and its duties hereunder shall be administrative in nature. Without limiting the generality of the foregoing, the Administrative Agent:</w:t>
      </w:r>
    </w:p>
    <w:p>
      <w:pPr>
        <w:spacing w:after="0" w:line="180" w:lineRule="exact"/>
        <w:rPr>
          <w:sz w:val="20"/>
          <w:szCs w:val="20"/>
          <w:color w:val="auto"/>
        </w:rPr>
      </w:pPr>
    </w:p>
    <w:p>
      <w:pPr>
        <w:ind w:left="820" w:hanging="384"/>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40" w:firstLine="436"/>
        <w:spacing w:after="0" w:line="254" w:lineRule="auto"/>
        <w:tabs>
          <w:tab w:leader="none" w:pos="8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4" w:lineRule="exact"/>
        <w:rPr>
          <w:rFonts w:ascii="Arial" w:cs="Arial" w:eastAsia="Arial" w:hAnsi="Arial"/>
          <w:sz w:val="18"/>
          <w:szCs w:val="18"/>
          <w:color w:val="auto"/>
        </w:rPr>
      </w:pPr>
    </w:p>
    <w:p>
      <w:pPr>
        <w:jc w:val="both"/>
        <w:ind w:right="380" w:firstLine="436"/>
        <w:spacing w:after="0" w:line="263" w:lineRule="auto"/>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4"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L/C Issuer.</w:t>
      </w:r>
    </w:p>
    <w:p>
      <w:pPr>
        <w:spacing w:after="0" w:line="16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3" w:name="page104"/>
    <w:bookmarkEnd w:id="10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applicable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b w:val="1"/>
          <w:bCs w:val="1"/>
          <w:color w:val="auto"/>
        </w:rPr>
        <w:t>9.05 Delegation of Duties</w:t>
      </w:r>
      <w:r>
        <w:rPr>
          <w:rFonts w:ascii="Arial" w:cs="Arial" w:eastAsia="Arial" w:hAnsi="Arial"/>
          <w:sz w:val="18"/>
          <w:szCs w:val="18"/>
          <w:color w:val="auto"/>
        </w:rPr>
        <w:t>. The Administrative Agent may perform any and all of its duties and exercise its rights and powers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color w:val="auto"/>
        </w:rPr>
        <w:t>Resignation of Administrative Agent</w:t>
      </w:r>
      <w:r>
        <w:rPr>
          <w:rFonts w:ascii="Arial" w:cs="Arial" w:eastAsia="Arial" w:hAnsi="Arial"/>
          <w:sz w:val="16"/>
          <w:szCs w:val="16"/>
          <w:color w:val="auto"/>
        </w:rPr>
        <w:t>.</w:t>
      </w:r>
    </w:p>
    <w:p>
      <w:pPr>
        <w:spacing w:after="0" w:line="121" w:lineRule="exact"/>
        <w:rPr>
          <w:sz w:val="20"/>
          <w:szCs w:val="20"/>
          <w:color w:val="auto"/>
        </w:rPr>
      </w:pPr>
    </w:p>
    <w:p>
      <w:pPr>
        <w:ind w:right="20" w:firstLine="436"/>
        <w:spacing w:after="0" w:line="254" w:lineRule="auto"/>
        <w:tabs>
          <w:tab w:leader="none" w:pos="68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“Resignation Effective Date”),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91" w:lineRule="exact"/>
        <w:rPr>
          <w:rFonts w:ascii="Arial" w:cs="Arial" w:eastAsia="Arial" w:hAnsi="Arial"/>
          <w:sz w:val="18"/>
          <w:szCs w:val="18"/>
          <w:color w:val="auto"/>
        </w:rPr>
      </w:pPr>
    </w:p>
    <w:p>
      <w:pPr>
        <w:ind w:right="140" w:firstLine="436"/>
        <w:spacing w:after="0" w:line="296" w:lineRule="auto"/>
        <w:tabs>
          <w:tab w:leader="none" w:pos="83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4" w:name="page105"/>
    <w:bookmarkEnd w:id="104"/>
    <w:p>
      <w:pPr>
        <w:ind w:firstLine="436"/>
        <w:spacing w:after="0" w:line="285" w:lineRule="auto"/>
        <w:tabs>
          <w:tab w:leader="none" w:pos="865"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(other than as a Lender) hereunder or under the other Loan Documents, including in respect of any actions taken in connection with transferring the agency to any successor Administrative Agent.</w:t>
      </w:r>
    </w:p>
    <w:p>
      <w:pPr>
        <w:spacing w:after="0" w:line="176" w:lineRule="exact"/>
        <w:rPr>
          <w:rFonts w:ascii="Arial" w:cs="Arial" w:eastAsia="Arial" w:hAnsi="Arial"/>
          <w:sz w:val="16"/>
          <w:szCs w:val="16"/>
          <w:color w:val="auto"/>
        </w:rPr>
      </w:pPr>
    </w:p>
    <w:p>
      <w:pPr>
        <w:ind w:firstLine="436"/>
        <w:spacing w:after="0" w:line="287" w:lineRule="auto"/>
        <w:tabs>
          <w:tab w:leader="none" w:pos="8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64"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9.07 Non-Reliance on Administrative Agent and Other Lenders</w:t>
      </w:r>
      <w:r>
        <w:rPr>
          <w:rFonts w:ascii="Arial" w:cs="Arial" w:eastAsia="Arial" w:hAnsi="Arial"/>
          <w:sz w:val="18"/>
          <w:szCs w:val="18"/>
          <w:color w:val="auto"/>
        </w:rPr>
        <w:t>. Each Lender and each L/C Issuer acknowledges that it has, independently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5" w:name="page106"/>
    <w:bookmarkEnd w:id="105"/>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0"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b w:val="1"/>
          <w:bCs w:val="1"/>
          <w:color w:val="auto"/>
        </w:rPr>
        <w:t>9.08 No Other Duties, Etc</w:t>
      </w:r>
      <w:r>
        <w:rPr>
          <w:rFonts w:ascii="Arial" w:cs="Arial" w:eastAsia="Arial" w:hAnsi="Arial"/>
          <w:sz w:val="17"/>
          <w:szCs w:val="17"/>
          <w:color w:val="auto"/>
        </w:rPr>
        <w:t>. Anything herein to the contrary notwithstanding, none of the co-syndication agents, documentation agents, joint</w:t>
      </w:r>
      <w:r>
        <w:rPr>
          <w:rFonts w:ascii="Arial" w:cs="Arial" w:eastAsia="Arial" w:hAnsi="Arial"/>
          <w:sz w:val="17"/>
          <w:szCs w:val="17"/>
          <w:b w:val="1"/>
          <w:bCs w:val="1"/>
          <w:color w:val="auto"/>
        </w:rPr>
        <w:t xml:space="preserve"> </w:t>
      </w:r>
      <w:r>
        <w:rPr>
          <w:rFonts w:ascii="Arial" w:cs="Arial" w:eastAsia="Arial" w:hAnsi="Arial"/>
          <w:sz w:val="17"/>
          <w:szCs w:val="17"/>
          <w:color w:val="auto"/>
        </w:rPr>
        <w:t>lead arrangers or joint bookrunners listed on the cover page hereof shall have any powers, duties or responsibilities under this Agreement or any of the other Loan Documents, except in its capacity, as applicable, as the Administrative Agent, a Lender or an L/C Issuer hereunder.</w:t>
      </w:r>
    </w:p>
    <w:p>
      <w:pPr>
        <w:spacing w:after="0" w:line="158"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9.09 Administrative Agent May File Proofs of Claim</w:t>
      </w:r>
      <w:r>
        <w:rPr>
          <w:rFonts w:ascii="Arial" w:cs="Arial" w:eastAsia="Arial" w:hAnsi="Arial"/>
          <w:sz w:val="17"/>
          <w:szCs w:val="17"/>
          <w:color w:val="auto"/>
        </w:rPr>
        <w:t>. In case of the pendency of any proceeding under any Debtor Relief Law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judicial proceeding relative to the Borrower,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69" w:lineRule="exact"/>
        <w:rPr>
          <w:sz w:val="20"/>
          <w:szCs w:val="20"/>
          <w:color w:val="auto"/>
        </w:rPr>
      </w:pPr>
    </w:p>
    <w:p>
      <w:pPr>
        <w:ind w:right="20" w:firstLine="436"/>
        <w:spacing w:after="0" w:line="296" w:lineRule="auto"/>
        <w:tabs>
          <w:tab w:leader="none" w:pos="8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161" w:lineRule="exact"/>
        <w:rPr>
          <w:rFonts w:ascii="Arial" w:cs="Arial" w:eastAsia="Arial" w:hAnsi="Arial"/>
          <w:sz w:val="16"/>
          <w:szCs w:val="16"/>
          <w:color w:val="auto"/>
        </w:rPr>
      </w:pPr>
    </w:p>
    <w:p>
      <w:pPr>
        <w:ind w:left="820" w:hanging="384"/>
        <w:spacing w:after="0"/>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or to authorize the Administrative Agent to vote in respect of the claim of any Lender or any L/C Issuer in any such proceeding.</w:t>
      </w:r>
    </w:p>
    <w:p>
      <w:pPr>
        <w:spacing w:after="0" w:line="14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FF0000"/>
          <w:strike w:val="1"/>
        </w:rPr>
        <w:t>Lender</w:t>
      </w:r>
      <w:r>
        <w:rPr>
          <w:rFonts w:ascii="Arial" w:cs="Arial" w:eastAsia="Arial" w:hAnsi="Arial"/>
          <w:sz w:val="16"/>
          <w:szCs w:val="16"/>
          <w:b w:val="1"/>
          <w:bCs w:val="1"/>
          <w:u w:val="single" w:color="auto"/>
          <w:color w:val="0000E1"/>
          <w:strike w:val="1"/>
        </w:rPr>
        <w:t>Certain</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color w:val="000000"/>
          <w:strike w:val="1"/>
        </w:rPr>
        <w:t>ERISA</w:t>
      </w:r>
      <w:r>
        <w:rPr>
          <w:rFonts w:ascii="Arial" w:cs="Arial" w:eastAsia="Arial" w:hAnsi="Arial"/>
          <w:sz w:val="16"/>
          <w:szCs w:val="16"/>
          <w:b w:val="1"/>
          <w:bCs w:val="1"/>
          <w:color w:val="FF0000"/>
          <w:strike w:val="1"/>
        </w:rPr>
        <w:t xml:space="preserve"> Representation</w:t>
      </w:r>
      <w:r>
        <w:rPr>
          <w:rFonts w:ascii="Arial" w:cs="Arial" w:eastAsia="Arial" w:hAnsi="Arial"/>
          <w:sz w:val="16"/>
          <w:szCs w:val="16"/>
          <w:b w:val="1"/>
          <w:bCs w:val="1"/>
          <w:u w:val="single" w:color="auto"/>
          <w:color w:val="0000E1"/>
          <w:strike w:val="1"/>
        </w:rPr>
        <w:t>Matters</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26035</wp:posOffset>
            </wp:positionV>
            <wp:extent cx="3683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26035</wp:posOffset>
            </wp:positionV>
            <wp:extent cx="3854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209" w:lineRule="exact"/>
        <w:rPr>
          <w:sz w:val="20"/>
          <w:szCs w:val="20"/>
          <w:color w:val="auto"/>
        </w:rPr>
      </w:pPr>
    </w:p>
    <w:p>
      <w:pPr>
        <w:ind w:firstLine="436"/>
        <w:spacing w:after="0" w:line="259" w:lineRule="auto"/>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that at least one of the following is and will be true:</w:t>
      </w:r>
    </w:p>
    <w:p>
      <w:pPr>
        <w:spacing w:after="0" w:line="78" w:lineRule="exact"/>
        <w:rPr>
          <w:rFonts w:ascii="Arial" w:cs="Arial" w:eastAsia="Arial" w:hAnsi="Arial"/>
          <w:sz w:val="18"/>
          <w:szCs w:val="18"/>
          <w:color w:val="auto"/>
        </w:rPr>
      </w:pPr>
    </w:p>
    <w:p>
      <w:pPr>
        <w:ind w:left="440" w:right="620" w:firstLine="419"/>
        <w:spacing w:after="0" w:line="263" w:lineRule="auto"/>
        <w:tabs>
          <w:tab w:leader="none" w:pos="121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such Lender is not using “plan assets” (within the meaning of </w:t>
      </w:r>
      <w:r>
        <w:rPr>
          <w:rFonts w:ascii="Arial" w:cs="Arial" w:eastAsia="Arial" w:hAnsi="Arial"/>
          <w:sz w:val="18"/>
          <w:szCs w:val="18"/>
          <w:color w:val="FF0000"/>
        </w:rPr>
        <w:t>29 CFR § 2510.3-101, as modified by</w:t>
      </w:r>
      <w:r>
        <w:rPr>
          <w:rFonts w:ascii="Arial" w:cs="Arial" w:eastAsia="Arial" w:hAnsi="Arial"/>
          <w:sz w:val="18"/>
          <w:szCs w:val="18"/>
          <w:color w:val="auto"/>
        </w:rPr>
        <w:t xml:space="preserve"> Section 3(42) of ERISA </w:t>
      </w:r>
      <w:r>
        <w:rPr>
          <w:rFonts w:ascii="Arial" w:cs="Arial" w:eastAsia="Arial" w:hAnsi="Arial"/>
          <w:sz w:val="18"/>
          <w:szCs w:val="18"/>
          <w:color w:val="0000E1"/>
        </w:rPr>
        <w:t>or</w:t>
      </w:r>
      <w:r>
        <w:rPr>
          <w:rFonts w:ascii="Arial" w:cs="Arial" w:eastAsia="Arial" w:hAnsi="Arial"/>
          <w:sz w:val="18"/>
          <w:szCs w:val="18"/>
          <w:color w:val="auto"/>
        </w:rPr>
        <w:t xml:space="preserve"> </w:t>
      </w:r>
      <w:r>
        <w:rPr>
          <w:rFonts w:ascii="Arial" w:cs="Arial" w:eastAsia="Arial" w:hAnsi="Arial"/>
          <w:sz w:val="18"/>
          <w:szCs w:val="18"/>
          <w:u w:val="single" w:color="auto"/>
          <w:color w:val="0000E1"/>
        </w:rPr>
        <w:t>otherwise</w:t>
      </w:r>
      <w:r>
        <w:rPr>
          <w:rFonts w:ascii="Arial" w:cs="Arial" w:eastAsia="Arial" w:hAnsi="Arial"/>
          <w:sz w:val="18"/>
          <w:szCs w:val="18"/>
          <w:color w:val="000000"/>
        </w:rPr>
        <w:t>) of one or more Benefit Plans</w:t>
      </w:r>
      <w:r>
        <w:rPr>
          <w:rFonts w:ascii="Arial" w:cs="Arial" w:eastAsia="Arial" w:hAnsi="Arial"/>
          <w:sz w:val="18"/>
          <w:szCs w:val="18"/>
          <w:color w:val="0000E1"/>
        </w:rPr>
        <w:t xml:space="preserve"> </w:t>
      </w:r>
      <w:r>
        <w:rPr>
          <w:rFonts w:ascii="Arial" w:cs="Arial" w:eastAsia="Arial" w:hAnsi="Arial"/>
          <w:sz w:val="18"/>
          <w:szCs w:val="18"/>
          <w:color w:val="FF0000"/>
          <w:strike w:val="1"/>
        </w:rPr>
        <w:t>in connection</w:t>
      </w:r>
      <w:r>
        <w:rPr>
          <w:rFonts w:ascii="Arial" w:cs="Arial" w:eastAsia="Arial" w:hAnsi="Arial"/>
          <w:sz w:val="18"/>
          <w:szCs w:val="18"/>
          <w:color w:val="0000E1"/>
        </w:rPr>
        <w:t xml:space="preserve"> </w:t>
      </w:r>
      <w:r>
        <w:rPr>
          <w:rFonts w:ascii="Arial" w:cs="Arial" w:eastAsia="Arial" w:hAnsi="Arial"/>
          <w:sz w:val="18"/>
          <w:szCs w:val="18"/>
          <w:color w:val="000000"/>
        </w:rPr>
        <w:t>with</w:t>
      </w:r>
      <w:r>
        <w:rPr>
          <w:rFonts w:ascii="Arial" w:cs="Arial" w:eastAsia="Arial" w:hAnsi="Arial"/>
          <w:sz w:val="18"/>
          <w:szCs w:val="18"/>
          <w:color w:val="0000E1"/>
        </w:rPr>
        <w:t xml:space="preserve"> </w:t>
      </w:r>
      <w:r>
        <w:rPr>
          <w:rFonts w:ascii="Arial" w:cs="Arial" w:eastAsia="Arial" w:hAnsi="Arial"/>
          <w:sz w:val="18"/>
          <w:szCs w:val="18"/>
          <w:u w:val="single" w:color="auto"/>
          <w:color w:val="0000E1"/>
        </w:rPr>
        <w:t>respect to such Lender’s entrance into, participation in, administration of and</w:t>
      </w:r>
      <w:r>
        <w:rPr>
          <w:rFonts w:ascii="Arial" w:cs="Arial" w:eastAsia="Arial" w:hAnsi="Arial"/>
          <w:sz w:val="18"/>
          <w:szCs w:val="18"/>
          <w:color w:val="0000E1"/>
        </w:rPr>
        <w:t xml:space="preserve"> </w:t>
      </w:r>
      <w:r>
        <w:rPr>
          <w:rFonts w:ascii="Arial" w:cs="Arial" w:eastAsia="Arial" w:hAnsi="Arial"/>
          <w:sz w:val="18"/>
          <w:szCs w:val="18"/>
          <w:u w:val="single" w:color="auto"/>
          <w:color w:val="0000E1"/>
        </w:rPr>
        <w:t>performance of</w:t>
      </w:r>
      <w:r>
        <w:rPr>
          <w:rFonts w:ascii="Arial" w:cs="Arial" w:eastAsia="Arial" w:hAnsi="Arial"/>
          <w:sz w:val="18"/>
          <w:szCs w:val="18"/>
          <w:color w:val="0000E1"/>
        </w:rPr>
        <w:t xml:space="preserve"> </w:t>
      </w:r>
      <w:r>
        <w:rPr>
          <w:rFonts w:ascii="Arial" w:cs="Arial" w:eastAsia="Arial" w:hAnsi="Arial"/>
          <w:sz w:val="18"/>
          <w:szCs w:val="18"/>
          <w:color w:val="000000"/>
        </w:rPr>
        <w:t>the Loans, the Letters of Credit</w:t>
      </w:r>
      <w:r>
        <w:rPr>
          <w:rFonts w:ascii="Arial" w:cs="Arial" w:eastAsia="Arial" w:hAnsi="Arial"/>
          <w:sz w:val="18"/>
          <w:szCs w:val="18"/>
          <w:color w:val="0000E1"/>
        </w:rPr>
        <w:t xml:space="preserve"> </w:t>
      </w:r>
      <w:r>
        <w:rPr>
          <w:rFonts w:ascii="Arial" w:cs="Arial" w:eastAsia="Arial" w:hAnsi="Arial"/>
          <w:sz w:val="18"/>
          <w:szCs w:val="18"/>
          <w:color w:val="FF0000"/>
        </w:rPr>
        <w:t>or</w:t>
      </w:r>
      <w:r>
        <w:rPr>
          <w:rFonts w:ascii="Arial" w:cs="Arial" w:eastAsia="Arial" w:hAnsi="Arial"/>
          <w:sz w:val="18"/>
          <w:szCs w:val="18"/>
          <w:u w:val="single" w:color="auto"/>
          <w:color w:val="0000E1"/>
        </w:rPr>
        <w:t>,</w:t>
      </w:r>
      <w:r>
        <w:rPr>
          <w:rFonts w:ascii="Arial" w:cs="Arial" w:eastAsia="Arial" w:hAnsi="Arial"/>
          <w:sz w:val="18"/>
          <w:szCs w:val="18"/>
          <w:color w:val="0000E1"/>
        </w:rPr>
        <w:t xml:space="preserve"> </w:t>
      </w:r>
      <w:r>
        <w:rPr>
          <w:rFonts w:ascii="Arial" w:cs="Arial" w:eastAsia="Arial" w:hAnsi="Arial"/>
          <w:sz w:val="18"/>
          <w:szCs w:val="18"/>
          <w:color w:val="000000"/>
        </w:rPr>
        <w:t>the Commitments</w:t>
      </w:r>
      <w:r>
        <w:rPr>
          <w:rFonts w:ascii="Arial" w:cs="Arial" w:eastAsia="Arial" w:hAnsi="Arial"/>
          <w:sz w:val="18"/>
          <w:szCs w:val="18"/>
          <w:color w:val="0000E1"/>
        </w:rPr>
        <w:t xml:space="preserve"> or this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-353695</wp:posOffset>
            </wp:positionV>
            <wp:extent cx="17614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6149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-276860</wp:posOffset>
            </wp:positionV>
            <wp:extent cx="1200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-311150</wp:posOffset>
            </wp:positionV>
            <wp:extent cx="1238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4368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-139700</wp:posOffset>
            </wp:positionV>
            <wp:extent cx="3514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7283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-79375</wp:posOffset>
            </wp:positionV>
            <wp:extent cx="1238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-2540</wp:posOffset>
            </wp:positionV>
            <wp:extent cx="260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-2540</wp:posOffset>
            </wp:positionV>
            <wp:extent cx="8572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-36830</wp:posOffset>
            </wp:positionV>
            <wp:extent cx="8534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344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6" w:name="page107"/>
    <w:bookmarkEnd w:id="106"/>
    <w:p>
      <w:pPr>
        <w:ind w:left="440" w:right="80" w:firstLine="419"/>
        <w:spacing w:after="0" w:line="273" w:lineRule="auto"/>
        <w:tabs>
          <w:tab w:leader="none" w:pos="1263" w:val="left"/>
        </w:tabs>
        <w:numPr>
          <w:ilvl w:val="1"/>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0" w:right="100" w:firstLine="419"/>
        <w:spacing w:after="0" w:line="254" w:lineRule="auto"/>
        <w:tabs>
          <w:tab w:leader="none" w:pos="131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0" w:right="20" w:firstLine="419"/>
        <w:spacing w:after="0" w:line="277" w:lineRule="auto"/>
        <w:tabs>
          <w:tab w:leader="none" w:pos="130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firstLine="436"/>
        <w:spacing w:after="0" w:line="253" w:lineRule="auto"/>
        <w:tabs>
          <w:tab w:leader="none" w:pos="8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In addition, unless </w:t>
      </w:r>
      <w:r>
        <w:rPr>
          <w:rFonts w:ascii="Arial" w:cs="Arial" w:eastAsia="Arial" w:hAnsi="Arial"/>
          <w:sz w:val="18"/>
          <w:szCs w:val="18"/>
          <w:u w:val="single" w:color="auto"/>
          <w:color w:val="0000E1"/>
        </w:rPr>
        <w:t>either (1)</w:t>
      </w:r>
      <w:r>
        <w:rPr>
          <w:rFonts w:ascii="Arial" w:cs="Arial" w:eastAsia="Arial" w:hAnsi="Arial"/>
          <w:sz w:val="18"/>
          <w:szCs w:val="18"/>
          <w:color w:val="auto"/>
        </w:rPr>
        <w:t xml:space="preserve"> sub-clause (i) in the immediately preceding clause (a) is true with respect to a Lender or </w:t>
      </w:r>
      <w:r>
        <w:rPr>
          <w:rFonts w:ascii="Arial" w:cs="Arial" w:eastAsia="Arial" w:hAnsi="Arial"/>
          <w:sz w:val="18"/>
          <w:szCs w:val="18"/>
          <w:color w:val="FF0000"/>
          <w:strike w:val="1"/>
        </w:rPr>
        <w:t>such</w:t>
      </w:r>
      <w:r>
        <w:rPr>
          <w:rFonts w:ascii="Arial" w:cs="Arial" w:eastAsia="Arial" w:hAnsi="Arial"/>
          <w:sz w:val="18"/>
          <w:szCs w:val="18"/>
          <w:u w:val="single" w:color="auto"/>
          <w:color w:val="0000E1"/>
        </w:rPr>
        <w:t>(2) a</w:t>
      </w:r>
      <w:r>
        <w:rPr>
          <w:rFonts w:ascii="Arial" w:cs="Arial" w:eastAsia="Arial" w:hAnsi="Arial"/>
          <w:sz w:val="18"/>
          <w:szCs w:val="18"/>
          <w:color w:val="auto"/>
        </w:rPr>
        <w:t xml:space="preserve"> Lender has </w:t>
      </w:r>
      <w:r>
        <w:rPr>
          <w:rFonts w:ascii="Arial" w:cs="Arial" w:eastAsia="Arial" w:hAnsi="Arial"/>
          <w:sz w:val="18"/>
          <w:szCs w:val="18"/>
          <w:color w:val="FF0000"/>
          <w:strike w:val="1"/>
        </w:rPr>
        <w:t>not</w:t>
      </w:r>
      <w:r>
        <w:rPr>
          <w:rFonts w:ascii="Arial" w:cs="Arial" w:eastAsia="Arial" w:hAnsi="Arial"/>
          <w:sz w:val="18"/>
          <w:szCs w:val="18"/>
          <w:color w:val="FF0000"/>
        </w:rPr>
        <w:t xml:space="preserve"> </w:t>
      </w:r>
      <w:r>
        <w:rPr>
          <w:rFonts w:ascii="Arial" w:cs="Arial" w:eastAsia="Arial" w:hAnsi="Arial"/>
          <w:sz w:val="18"/>
          <w:szCs w:val="18"/>
          <w:color w:val="000000"/>
        </w:rPr>
        <w:t>provided another representation, warranty and covenant</w:t>
      </w:r>
      <w:r>
        <w:rPr>
          <w:rFonts w:ascii="Arial" w:cs="Arial" w:eastAsia="Arial" w:hAnsi="Arial"/>
          <w:sz w:val="18"/>
          <w:szCs w:val="18"/>
          <w:color w:val="FF0000"/>
        </w:rPr>
        <w:t xml:space="preserve"> </w:t>
      </w:r>
      <w:r>
        <w:rPr>
          <w:rFonts w:ascii="Arial" w:cs="Arial" w:eastAsia="Arial" w:hAnsi="Arial"/>
          <w:sz w:val="18"/>
          <w:szCs w:val="18"/>
          <w:color w:val="FF0000"/>
          <w:strike w:val="1"/>
        </w:rPr>
        <w:t>as provided</w:t>
      </w:r>
      <w:r>
        <w:rPr>
          <w:rFonts w:ascii="Arial" w:cs="Arial" w:eastAsia="Arial" w:hAnsi="Arial"/>
          <w:sz w:val="18"/>
          <w:szCs w:val="18"/>
          <w:color w:val="FF0000"/>
        </w:rPr>
        <w:t xml:space="preserve"> </w:t>
      </w:r>
      <w:r>
        <w:rPr>
          <w:rFonts w:ascii="Arial" w:cs="Arial" w:eastAsia="Arial" w:hAnsi="Arial"/>
          <w:sz w:val="18"/>
          <w:szCs w:val="18"/>
          <w:color w:val="000000"/>
        </w:rPr>
        <w:t>in</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accordance with</w:t>
      </w:r>
      <w:r>
        <w:rPr>
          <w:rFonts w:ascii="Arial" w:cs="Arial" w:eastAsia="Arial" w:hAnsi="Arial"/>
          <w:sz w:val="18"/>
          <w:szCs w:val="18"/>
          <w:color w:val="FF0000"/>
        </w:rPr>
        <w:t xml:space="preserve"> </w:t>
      </w:r>
      <w:r>
        <w:rPr>
          <w:rFonts w:ascii="Arial" w:cs="Arial" w:eastAsia="Arial" w:hAnsi="Arial"/>
          <w:sz w:val="18"/>
          <w:szCs w:val="18"/>
          <w:color w:val="000000"/>
        </w:rPr>
        <w:t>sub-clause (iv) in the immediately preceding clause (a), such</w:t>
      </w:r>
      <w:r>
        <w:rPr>
          <w:rFonts w:ascii="Arial" w:cs="Arial" w:eastAsia="Arial" w:hAnsi="Arial"/>
          <w:sz w:val="18"/>
          <w:szCs w:val="18"/>
          <w:color w:val="FF0000"/>
        </w:rPr>
        <w:t xml:space="preserve"> </w:t>
      </w:r>
      <w:r>
        <w:rPr>
          <w:rFonts w:ascii="Arial" w:cs="Arial" w:eastAsia="Arial" w:hAnsi="Arial"/>
          <w:sz w:val="18"/>
          <w:szCs w:val="18"/>
          <w:color w:val="000000"/>
        </w:rPr>
        <w:t>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that</w:t>
      </w:r>
      <w:r>
        <w:rPr>
          <w:rFonts w:ascii="Arial" w:cs="Arial" w:eastAsia="Arial" w:hAnsi="Arial"/>
          <w:sz w:val="18"/>
          <w:szCs w:val="18"/>
          <w:color w:val="FF0000"/>
          <w:strike w:val="1"/>
        </w:rPr>
        <w:t>:(i)</w:t>
      </w:r>
      <w:r>
        <w:rPr>
          <w:rFonts w:ascii="Arial" w:cs="Arial" w:eastAsia="Arial" w:hAnsi="Arial"/>
          <w:sz w:val="18"/>
          <w:szCs w:val="18"/>
          <w:color w:val="000000"/>
        </w:rPr>
        <w:t xml:space="preserve"> none of the Administrative Agent or any Arranger or any of their respective Affiliates is a fiduciary with respect to the assets of such Lender </w:t>
      </w:r>
      <w:r>
        <w:rPr>
          <w:rFonts w:ascii="Arial" w:cs="Arial" w:eastAsia="Arial" w:hAnsi="Arial"/>
          <w:sz w:val="18"/>
          <w:szCs w:val="18"/>
          <w:u w:val="single" w:color="auto"/>
          <w:color w:val="0000E1"/>
        </w:rPr>
        <w:t>involved in such Lender’s</w:t>
      </w:r>
      <w:r>
        <w:rPr>
          <w:rFonts w:ascii="Arial" w:cs="Arial" w:eastAsia="Arial" w:hAnsi="Arial"/>
          <w:sz w:val="18"/>
          <w:szCs w:val="18"/>
          <w:color w:val="000000"/>
        </w:rPr>
        <w:t xml:space="preserve"> </w:t>
      </w:r>
      <w:r>
        <w:rPr>
          <w:rFonts w:ascii="Arial" w:cs="Arial" w:eastAsia="Arial" w:hAnsi="Arial"/>
          <w:sz w:val="18"/>
          <w:szCs w:val="18"/>
          <w:u w:val="single" w:color="auto"/>
          <w:color w:val="00C000"/>
        </w:rPr>
        <w:t>entrance into,</w:t>
      </w:r>
      <w:r>
        <w:rPr>
          <w:rFonts w:ascii="Arial" w:cs="Arial" w:eastAsia="Arial" w:hAnsi="Arial"/>
          <w:sz w:val="18"/>
          <w:szCs w:val="18"/>
          <w:color w:val="000000"/>
        </w:rPr>
        <w:t xml:space="preserve"> </w:t>
      </w:r>
      <w:r>
        <w:rPr>
          <w:rFonts w:ascii="Arial" w:cs="Arial" w:eastAsia="Arial" w:hAnsi="Arial"/>
          <w:sz w:val="18"/>
          <w:szCs w:val="18"/>
          <w:u w:val="single" w:color="auto"/>
          <w:color w:val="00C000"/>
        </w:rPr>
        <w:t>participation in, administration of and performance of the Loans, the Letters of Credit, the Commitments and this Agreement</w:t>
      </w:r>
      <w:r>
        <w:rPr>
          <w:rFonts w:ascii="Arial" w:cs="Arial" w:eastAsia="Arial" w:hAnsi="Arial"/>
          <w:sz w:val="18"/>
          <w:szCs w:val="18"/>
          <w:color w:val="00C000"/>
        </w:rPr>
        <w:t xml:space="preserve"> </w:t>
      </w:r>
      <w:r>
        <w:rPr>
          <w:rFonts w:ascii="Arial" w:cs="Arial" w:eastAsia="Arial" w:hAnsi="Arial"/>
          <w:sz w:val="18"/>
          <w:szCs w:val="18"/>
          <w:color w:val="000000"/>
        </w:rPr>
        <w:t>(including in connection</w:t>
      </w:r>
      <w:r>
        <w:rPr>
          <w:rFonts w:ascii="Arial" w:cs="Arial" w:eastAsia="Arial" w:hAnsi="Arial"/>
          <w:sz w:val="18"/>
          <w:szCs w:val="18"/>
          <w:color w:val="00C000"/>
        </w:rPr>
        <w:t xml:space="preserve"> </w:t>
      </w:r>
      <w:r>
        <w:rPr>
          <w:rFonts w:ascii="Arial" w:cs="Arial" w:eastAsia="Arial" w:hAnsi="Arial"/>
          <w:sz w:val="18"/>
          <w:szCs w:val="18"/>
          <w:color w:val="000000"/>
        </w:rPr>
        <w:t>with the reservation or exercise of any rights by the Administrative Agent under this Agreement, any Loan Document or any documents related hereto or thereto)</w:t>
      </w:r>
      <w:r>
        <w:rPr>
          <w:rFonts w:ascii="Arial" w:cs="Arial" w:eastAsia="Arial" w:hAnsi="Arial"/>
          <w:sz w:val="18"/>
          <w:szCs w:val="18"/>
          <w:color w:val="FF0000"/>
          <w:strike w:val="1"/>
        </w:rPr>
        <w:t>,</w:t>
      </w:r>
    </w:p>
    <w:p>
      <w:pPr>
        <w:spacing w:after="0" w:line="88" w:lineRule="exact"/>
        <w:rPr>
          <w:rFonts w:ascii="Arial" w:cs="Arial" w:eastAsia="Arial" w:hAnsi="Arial"/>
          <w:sz w:val="18"/>
          <w:szCs w:val="18"/>
          <w:color w:val="auto"/>
        </w:rPr>
      </w:pPr>
    </w:p>
    <w:p>
      <w:pPr>
        <w:ind w:left="440" w:right="140" w:firstLine="419"/>
        <w:spacing w:after="0" w:line="279" w:lineRule="auto"/>
        <w:tabs>
          <w:tab w:leader="none" w:pos="1263" w:val="left"/>
        </w:tabs>
        <w:numPr>
          <w:ilvl w:val="1"/>
          <w:numId w:val="136"/>
        </w:numPr>
        <w:rPr>
          <w:rFonts w:ascii="Arial" w:cs="Arial" w:eastAsia="Arial" w:hAnsi="Arial"/>
          <w:sz w:val="17"/>
          <w:szCs w:val="17"/>
          <w:color w:val="FF0000"/>
          <w:strike w:val="1"/>
        </w:rPr>
      </w:pPr>
      <w:r>
        <w:rPr>
          <w:rFonts w:ascii="Arial" w:cs="Arial" w:eastAsia="Arial" w:hAnsi="Arial"/>
          <w:sz w:val="17"/>
          <w:szCs w:val="17"/>
          <w:color w:val="FF0000"/>
          <w:strike w:val="1"/>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63" w:lineRule="exact"/>
        <w:rPr>
          <w:rFonts w:ascii="Arial" w:cs="Arial" w:eastAsia="Arial" w:hAnsi="Arial"/>
          <w:sz w:val="17"/>
          <w:szCs w:val="17"/>
          <w:color w:val="FF0000"/>
          <w:strike w:val="1"/>
        </w:rPr>
      </w:pPr>
    </w:p>
    <w:p>
      <w:pPr>
        <w:ind w:left="440" w:right="80" w:firstLine="419"/>
        <w:spacing w:after="0" w:line="311" w:lineRule="auto"/>
        <w:tabs>
          <w:tab w:leader="none" w:pos="1313" w:val="left"/>
        </w:tabs>
        <w:numPr>
          <w:ilvl w:val="1"/>
          <w:numId w:val="136"/>
        </w:numPr>
        <w:rPr>
          <w:rFonts w:ascii="Arial" w:cs="Arial" w:eastAsia="Arial" w:hAnsi="Arial"/>
          <w:sz w:val="16"/>
          <w:szCs w:val="16"/>
          <w:color w:val="FF0000"/>
          <w:strike w:val="1"/>
        </w:rPr>
      </w:pPr>
      <w:r>
        <w:rPr>
          <w:rFonts w:ascii="Arial" w:cs="Arial" w:eastAsia="Arial" w:hAnsi="Arial"/>
          <w:sz w:val="16"/>
          <w:szCs w:val="16"/>
          <w:color w:val="FF0000"/>
          <w:strike w:val="1"/>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40" w:lineRule="exact"/>
        <w:rPr>
          <w:rFonts w:ascii="Arial" w:cs="Arial" w:eastAsia="Arial" w:hAnsi="Arial"/>
          <w:sz w:val="16"/>
          <w:szCs w:val="16"/>
          <w:color w:val="FF0000"/>
          <w:strike w:val="1"/>
        </w:rPr>
      </w:pPr>
    </w:p>
    <w:p>
      <w:pPr>
        <w:ind w:left="440" w:right="100" w:firstLine="419"/>
        <w:spacing w:after="0" w:line="259" w:lineRule="auto"/>
        <w:tabs>
          <w:tab w:leader="none" w:pos="1303" w:val="left"/>
        </w:tabs>
        <w:numPr>
          <w:ilvl w:val="1"/>
          <w:numId w:val="13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Person making the investment decision on behalf of such Lender with respect to the </w:t>
      </w:r>
      <w:r>
        <w:rPr>
          <w:rFonts w:ascii="Arial" w:cs="Arial" w:eastAsia="Arial" w:hAnsi="Arial"/>
          <w:sz w:val="18"/>
          <w:szCs w:val="18"/>
          <w:color w:val="00C000"/>
          <w:strike w:val="1"/>
        </w:rPr>
        <w:t>entrance into, participation in, administration</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 xml:space="preserve">of and performance of the Loans, the Letters of Credit, the Commitments and this Agreement </w:t>
      </w:r>
      <w:r>
        <w:rPr>
          <w:rFonts w:ascii="Arial" w:cs="Arial" w:eastAsia="Arial" w:hAnsi="Arial"/>
          <w:sz w:val="18"/>
          <w:szCs w:val="18"/>
          <w:color w:val="FF0000"/>
          <w:strike w:val="1"/>
        </w:rPr>
        <w:t>is a fiduciary under ERISA or the Code, or both,</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with respect to the Loans, the Letters of Credit, the Commitments and this Agreement and is responsible for exercising independent judgment in evaluating the transactions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-2812415</wp:posOffset>
            </wp:positionV>
            <wp:extent cx="4800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-2812415</wp:posOffset>
            </wp:positionV>
            <wp:extent cx="2139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-2675255</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-2126615</wp:posOffset>
            </wp:positionV>
            <wp:extent cx="18434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43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-1989455</wp:posOffset>
            </wp:positionV>
            <wp:extent cx="57435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07" w:name="page108"/>
    <w:bookmarkEnd w:id="107"/>
    <w:p>
      <w:pPr>
        <w:ind w:left="440" w:right="220" w:firstLine="419"/>
        <w:spacing w:after="0" w:line="342" w:lineRule="auto"/>
        <w:tabs>
          <w:tab w:leader="none" w:pos="1253" w:val="left"/>
        </w:tabs>
        <w:numPr>
          <w:ilvl w:val="1"/>
          <w:numId w:val="137"/>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fee or other compensation is being paid directly to the Administrative Agent or any Arranger or any their respective Affiliates for investment advice (as opposed to other services) in connection with the Loans, the Letters of Credit, the Commitments or this Agreement.</w:t>
      </w:r>
    </w:p>
    <w:p>
      <w:pPr>
        <w:spacing w:after="0" w:line="123" w:lineRule="exact"/>
        <w:rPr>
          <w:rFonts w:ascii="Arial" w:cs="Arial" w:eastAsia="Arial" w:hAnsi="Arial"/>
          <w:sz w:val="16"/>
          <w:szCs w:val="16"/>
          <w:color w:val="FF0000"/>
          <w:strike w:val="1"/>
        </w:rPr>
      </w:pPr>
    </w:p>
    <w:p>
      <w:pPr>
        <w:ind w:firstLine="436"/>
        <w:spacing w:after="0" w:line="289" w:lineRule="auto"/>
        <w:tabs>
          <w:tab w:leader="none" w:pos="817" w:val="left"/>
        </w:tabs>
        <w:numPr>
          <w:ilvl w:val="0"/>
          <w:numId w:val="138"/>
        </w:numPr>
        <w:rPr>
          <w:rFonts w:ascii="Arial" w:cs="Arial" w:eastAsia="Arial" w:hAnsi="Arial"/>
          <w:sz w:val="16"/>
          <w:szCs w:val="16"/>
          <w:color w:val="FF0000"/>
          <w:strike w:val="1"/>
        </w:rPr>
      </w:pPr>
      <w:r>
        <w:rPr>
          <w:rFonts w:ascii="Arial" w:cs="Arial" w:eastAsia="Arial" w:hAnsi="Arial"/>
          <w:sz w:val="16"/>
          <w:szCs w:val="16"/>
          <w:color w:val="FF0000"/>
          <w:strike w:val="1"/>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6" w:lineRule="exact"/>
        <w:rPr>
          <w:sz w:val="20"/>
          <w:szCs w:val="20"/>
          <w:color w:val="auto"/>
        </w:rPr>
      </w:pPr>
    </w:p>
    <w:p>
      <w:pPr>
        <w:ind w:right="200" w:firstLine="436"/>
        <w:spacing w:after="0" w:line="263" w:lineRule="auto"/>
        <w:tabs>
          <w:tab w:leader="none" w:pos="820" w:val="left"/>
        </w:tabs>
        <w:numPr>
          <w:ilvl w:val="0"/>
          <w:numId w:val="139"/>
        </w:numPr>
        <w:rPr>
          <w:rFonts w:ascii="Arial" w:cs="Arial" w:eastAsia="Arial" w:hAnsi="Arial"/>
          <w:sz w:val="18"/>
          <w:szCs w:val="18"/>
          <w:color w:val="auto"/>
        </w:rPr>
      </w:pPr>
      <w:r>
        <w:rPr>
          <w:rFonts w:ascii="Arial" w:cs="Arial" w:eastAsia="Arial" w:hAnsi="Arial"/>
          <w:sz w:val="18"/>
          <w:szCs w:val="18"/>
          <w:color w:val="FF0000"/>
          <w:strike w:val="1"/>
        </w:rPr>
        <w:t xml:space="preserve">(d) The representations set forth in this </w:t>
      </w:r>
      <w:r>
        <w:rPr>
          <w:rFonts w:ascii="Arial" w:cs="Arial" w:eastAsia="Arial" w:hAnsi="Arial"/>
          <w:sz w:val="18"/>
          <w:szCs w:val="18"/>
          <w:u w:val="single" w:color="auto"/>
          <w:color w:val="FF0000"/>
          <w:strike w:val="1"/>
        </w:rPr>
        <w:t>Section 9.10(b)(ii)</w:t>
      </w:r>
      <w:r>
        <w:rPr>
          <w:rFonts w:ascii="Arial" w:cs="Arial" w:eastAsia="Arial" w:hAnsi="Arial"/>
          <w:sz w:val="18"/>
          <w:szCs w:val="18"/>
          <w:color w:val="FF0000"/>
          <w:strike w:val="1"/>
        </w:rPr>
        <w:t xml:space="preserve"> - </w:t>
      </w:r>
      <w:r>
        <w:rPr>
          <w:rFonts w:ascii="Arial" w:cs="Arial" w:eastAsia="Arial" w:hAnsi="Arial"/>
          <w:sz w:val="18"/>
          <w:szCs w:val="18"/>
          <w:u w:val="single" w:color="auto"/>
          <w:color w:val="FF0000"/>
          <w:strike w:val="1"/>
        </w:rPr>
        <w:t>(v)</w:t>
      </w:r>
      <w:r>
        <w:rPr>
          <w:rFonts w:ascii="Arial" w:cs="Arial" w:eastAsia="Arial" w:hAnsi="Arial"/>
          <w:sz w:val="18"/>
          <w:szCs w:val="18"/>
          <w:color w:val="FF0000"/>
          <w:strike w:val="1"/>
        </w:rPr>
        <w:t xml:space="preserve"> are intended to comply with the Department of Labor’s regulation Sections 29 C.F.R. 2510.3-21(a) and (c)(1) as promulgated on April 8, 2016 (81 Fed. Reg. 20,997), and if such regulations are no longer in effect, these representations shall be deemed to be no longer in effect</w:t>
      </w:r>
      <w:r>
        <w:rPr>
          <w:rFonts w:ascii="Arial" w:cs="Arial" w:eastAsia="Arial" w:hAnsi="Arial"/>
          <w:sz w:val="18"/>
          <w:szCs w:val="18"/>
          <w:color w:val="000000"/>
          <w:strike w:val="1"/>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10.01 Amendments, Etc</w:t>
      </w:r>
      <w:r>
        <w:rPr>
          <w:rFonts w:ascii="Arial" w:cs="Arial" w:eastAsia="Arial" w:hAnsi="Arial"/>
          <w:sz w:val="16"/>
          <w:szCs w:val="16"/>
          <w:color w:val="auto"/>
        </w:rPr>
        <w:t>. No amendment or waiver of any provision of this Agreement or any other Loan Document, and no consent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departure by the Borrower therefrom, shall be effective unless in writing signed by the Required Lenders (or by the Administrative Agent at the written request of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155" w:lineRule="exact"/>
        <w:rPr>
          <w:sz w:val="20"/>
          <w:szCs w:val="20"/>
          <w:color w:val="auto"/>
        </w:rPr>
      </w:pPr>
    </w:p>
    <w:p>
      <w:pPr>
        <w:ind w:left="680" w:hanging="244"/>
        <w:spacing w:after="0"/>
        <w:tabs>
          <w:tab w:leader="none" w:pos="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auto"/>
        </w:rPr>
      </w:pPr>
    </w:p>
    <w:p>
      <w:pPr>
        <w:ind w:right="260" w:firstLine="436"/>
        <w:spacing w:after="0" w:line="277" w:lineRule="auto"/>
        <w:tabs>
          <w:tab w:leader="none" w:pos="83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120" w:firstLine="436"/>
        <w:spacing w:after="0" w:line="342"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123" w:lineRule="exact"/>
        <w:rPr>
          <w:rFonts w:ascii="Arial" w:cs="Arial" w:eastAsia="Arial" w:hAnsi="Arial"/>
          <w:sz w:val="16"/>
          <w:szCs w:val="16"/>
          <w:color w:val="auto"/>
        </w:rPr>
      </w:pPr>
    </w:p>
    <w:p>
      <w:pPr>
        <w:ind w:right="20" w:firstLine="436"/>
        <w:spacing w:after="0" w:line="279" w:lineRule="auto"/>
        <w:tabs>
          <w:tab w:leader="none" w:pos="83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the second proviso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to amend the definition of “Default Rate” or to waive any obligation of the Borrower to pay interest or Letter of Credit Fees at the Default Rate;</w:t>
      </w:r>
    </w:p>
    <w:p>
      <w:pPr>
        <w:spacing w:after="0" w:line="171" w:lineRule="exact"/>
        <w:rPr>
          <w:rFonts w:ascii="Arial" w:cs="Arial" w:eastAsia="Arial" w:hAnsi="Arial"/>
          <w:sz w:val="17"/>
          <w:szCs w:val="17"/>
          <w:color w:val="auto"/>
        </w:rPr>
      </w:pPr>
    </w:p>
    <w:p>
      <w:pPr>
        <w:ind w:right="160" w:firstLine="436"/>
        <w:spacing w:after="0" w:line="342"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change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 a manner that would alter the pro rata sharing of payments required thereby or change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in a manner that would alter the pro rata treatment of reductions of the Aggregate Commitments, in each case without the written consent of each Lender; or</w:t>
      </w:r>
    </w:p>
    <w:p>
      <w:pPr>
        <w:spacing w:after="0" w:line="123" w:lineRule="exact"/>
        <w:rPr>
          <w:rFonts w:ascii="Arial" w:cs="Arial" w:eastAsia="Arial" w:hAnsi="Arial"/>
          <w:sz w:val="16"/>
          <w:szCs w:val="16"/>
          <w:color w:val="auto"/>
        </w:rPr>
      </w:pPr>
    </w:p>
    <w:p>
      <w:pPr>
        <w:ind w:right="220" w:firstLine="436"/>
        <w:spacing w:after="0" w:line="263" w:lineRule="auto"/>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8" w:name="page109"/>
    <w:bookmarkEnd w:id="10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 no amendment, waiver or consent shall, unless in writing and signed by the applicable L/C Issuer in addition to the Lenders required above, affect the rights or duties of the applicable L/C Issuer under this Agreement or any Issuer Document relating to any Letter of Credit issued or to be issued by it or extend the Letter of Credit Expiration Date applicable to the Letters of Credit issued by such L/C Issuer;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any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more adversely than other affected Lenders shall require the consent of such Defaulting Lender.</w:t>
      </w:r>
    </w:p>
    <w:p>
      <w:pPr>
        <w:spacing w:after="0" w:line="29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r>
        <w:rPr>
          <w:rFonts w:ascii="Arial" w:cs="Arial" w:eastAsia="Arial" w:hAnsi="Arial"/>
          <w:sz w:val="16"/>
          <w:szCs w:val="16"/>
          <w:color w:val="auto"/>
        </w:rPr>
        <w:t>.</w:t>
      </w:r>
    </w:p>
    <w:p>
      <w:pPr>
        <w:spacing w:after="0" w:line="121" w:lineRule="exact"/>
        <w:rPr>
          <w:sz w:val="20"/>
          <w:szCs w:val="20"/>
          <w:color w:val="auto"/>
        </w:rPr>
      </w:pPr>
    </w:p>
    <w:p>
      <w:pPr>
        <w:ind w:right="280" w:firstLine="436"/>
        <w:spacing w:after="0" w:line="279" w:lineRule="auto"/>
        <w:tabs>
          <w:tab w:leader="none" w:pos="82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440" w:right="180" w:firstLine="419"/>
        <w:spacing w:after="0" w:line="277" w:lineRule="auto"/>
        <w:tabs>
          <w:tab w:leader="none" w:pos="121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Bank of America as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440" w:right="280" w:firstLine="419"/>
        <w:spacing w:after="0" w:line="311" w:lineRule="auto"/>
        <w:tabs>
          <w:tab w:leader="none" w:pos="126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if to any other Lender or L/C Issuer,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9" w:lineRule="exact"/>
        <w:rPr>
          <w:sz w:val="20"/>
          <w:szCs w:val="20"/>
          <w:color w:val="auto"/>
        </w:rPr>
      </w:pPr>
    </w:p>
    <w:p>
      <w:pPr>
        <w:jc w:val="both"/>
        <w:ind w:right="140" w:firstLine="440"/>
        <w:spacing w:after="0" w:line="287"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sent by telecopier shall be deemed to have been given when sent if confirmation of delivery has been received (except that, if not given during normal business hours for the recipient, shall be deemed to have been given at the opening of business on the next Business Day for the recipient).</w:t>
      </w:r>
    </w:p>
    <w:p>
      <w:pPr>
        <w:spacing w:after="0" w:line="2"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color w:val="auto"/>
        </w:rPr>
        <w:t xml:space="preserve">Notices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5" w:lineRule="exact"/>
        <w:rPr>
          <w:sz w:val="20"/>
          <w:szCs w:val="20"/>
          <w:color w:val="auto"/>
        </w:rPr>
      </w:pPr>
    </w:p>
    <w:p>
      <w:pPr>
        <w:ind w:right="20" w:firstLine="436"/>
        <w:spacing w:after="0" w:line="254" w:lineRule="auto"/>
        <w:tabs>
          <w:tab w:leader="none" w:pos="83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09" w:name="page110"/>
    <w:bookmarkEnd w:id="109"/>
    <w:p>
      <w:pPr>
        <w:ind w:left="4"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shall be deemed received upon the sender’s receipt of an acknowledgement as provided above,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w:t>
      </w:r>
    </w:p>
    <w:p>
      <w:pPr>
        <w:spacing w:after="0" w:line="4" w:lineRule="exact"/>
        <w:rPr>
          <w:sz w:val="20"/>
          <w:szCs w:val="20"/>
          <w:color w:val="auto"/>
        </w:rPr>
      </w:pPr>
    </w:p>
    <w:p>
      <w:pPr>
        <w:ind w:left="4" w:right="120" w:hanging="4"/>
        <w:spacing w:after="0" w:line="260" w:lineRule="auto"/>
        <w:tabs>
          <w:tab w:leader="none" w:pos="219"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of notification that such notice or communication is available and identifying the website address therefor and such notice shall be deemed received upon the sender’s receipt of an acknowledgement as provided above.</w:t>
      </w:r>
    </w:p>
    <w:p>
      <w:pPr>
        <w:spacing w:after="0" w:line="185" w:lineRule="exact"/>
        <w:rPr>
          <w:rFonts w:ascii="Arial" w:cs="Arial" w:eastAsia="Arial" w:hAnsi="Arial"/>
          <w:sz w:val="18"/>
          <w:szCs w:val="18"/>
          <w:u w:val="single" w:color="auto"/>
          <w:color w:val="auto"/>
        </w:rPr>
      </w:pPr>
    </w:p>
    <w:p>
      <w:pPr>
        <w:ind w:left="4" w:right="20" w:firstLine="436"/>
        <w:spacing w:after="0" w:line="268" w:lineRule="auto"/>
        <w:tabs>
          <w:tab w:leader="none" w:pos="824"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any L/C Issuer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any L/C Issuer or any other Person for indirect, special, incidental, consequential or punitive damages (as opposed to direct or actual damages).</w:t>
      </w:r>
    </w:p>
    <w:p>
      <w:pPr>
        <w:spacing w:after="0" w:line="186" w:lineRule="exact"/>
        <w:rPr>
          <w:rFonts w:ascii="Arial" w:cs="Arial" w:eastAsia="Arial" w:hAnsi="Arial"/>
          <w:sz w:val="17"/>
          <w:szCs w:val="17"/>
          <w:color w:val="auto"/>
        </w:rPr>
      </w:pPr>
    </w:p>
    <w:p>
      <w:pPr>
        <w:ind w:left="4" w:firstLine="436"/>
        <w:spacing w:after="0" w:line="287" w:lineRule="auto"/>
        <w:tabs>
          <w:tab w:leader="none" w:pos="834"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the Administrative Agent, the L/C Issuers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L/C Issuers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Affiliates, or the respective securities of any of the foregoing, for purposes of United States Federal or state securities laws.</w:t>
      </w:r>
    </w:p>
    <w:p>
      <w:pPr>
        <w:spacing w:after="0" w:line="171" w:lineRule="exact"/>
        <w:rPr>
          <w:rFonts w:ascii="Arial" w:cs="Arial" w:eastAsia="Arial" w:hAnsi="Arial"/>
          <w:sz w:val="16"/>
          <w:szCs w:val="16"/>
          <w:color w:val="auto"/>
        </w:rPr>
      </w:pPr>
    </w:p>
    <w:p>
      <w:pPr>
        <w:jc w:val="both"/>
        <w:ind w:left="4" w:right="180" w:firstLine="436"/>
        <w:spacing w:after="0" w:line="286" w:lineRule="auto"/>
        <w:tabs>
          <w:tab w:leader="none" w:pos="824"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 and Lenders</w:t>
      </w:r>
      <w:r>
        <w:rPr>
          <w:rFonts w:ascii="Arial" w:cs="Arial" w:eastAsia="Arial" w:hAnsi="Arial"/>
          <w:sz w:val="17"/>
          <w:szCs w:val="17"/>
          <w:color w:val="auto"/>
        </w:rPr>
        <w:t>. The Administrative Agent, the L/C Issuers and the Lenders shall be entitled to rely and act upon any notices (including telephonic Committed Loan Notices and Swing Line Loan Notices) purportedly given by or on behalf of the Borrower even if (i) such notices were not made in a manner specified herein, were incomplete or were not preceded</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bookmarkStart w:id="110" w:name="page111"/>
    <w:bookmarkEnd w:id="110"/>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except in the case of any of the foregoing persons who are seeking indemnification hereunder, to the extent such reliance resulted from such Person’s gross negligence or willful misconduct as determined by a court of competent jurisdiction by a final and non-appealable judgment. All telephonic notices to and other telephonic communications with the Administrative Agent may be recorded by the Administrative Agent, and each of the parties hereto hereby consents to such recording.</w:t>
      </w:r>
    </w:p>
    <w:p>
      <w:pPr>
        <w:spacing w:after="0" w:line="191"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b w:val="1"/>
          <w:bCs w:val="1"/>
          <w:color w:val="auto"/>
        </w:rPr>
        <w:t>10.03 No Waiver; Cumulative Remedies</w:t>
      </w:r>
      <w:r>
        <w:rPr>
          <w:rFonts w:ascii="Arial" w:cs="Arial" w:eastAsia="Arial" w:hAnsi="Arial"/>
          <w:sz w:val="16"/>
          <w:szCs w:val="16"/>
          <w:color w:val="auto"/>
        </w:rPr>
        <w:t>. No failure by any Lender, any L/C Issuer or the Administrative Agent to exercise, and no delay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the Borrower under any Debtor Relief Law; and provided, further,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w:t>
      </w:r>
    </w:p>
    <w:p>
      <w:pPr>
        <w:spacing w:after="0" w:line="4" w:lineRule="exact"/>
        <w:rPr>
          <w:sz w:val="20"/>
          <w:szCs w:val="20"/>
          <w:color w:val="auto"/>
        </w:rPr>
      </w:pPr>
    </w:p>
    <w:p>
      <w:pPr>
        <w:ind w:left="4" w:right="320" w:hanging="4"/>
        <w:spacing w:after="0" w:line="260" w:lineRule="auto"/>
        <w:tabs>
          <w:tab w:leader="none" w:pos="259"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color w:val="auto"/>
        </w:rPr>
        <w:t xml:space="preserve">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89"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121" w:lineRule="exact"/>
        <w:rPr>
          <w:sz w:val="20"/>
          <w:szCs w:val="20"/>
          <w:color w:val="auto"/>
        </w:rPr>
      </w:pPr>
    </w:p>
    <w:p>
      <w:pPr>
        <w:ind w:left="4" w:firstLine="436"/>
        <w:spacing w:after="0" w:line="287" w:lineRule="auto"/>
        <w:tabs>
          <w:tab w:leader="none" w:pos="824"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reasonable out-of-pocket expenses incurred by the Administrative Agent, any Lender or any L/C Issuer (including the fees, charges and disbursements of any counsel for the Administrative Agent, any Lender or any L/C Issuer, including the reasonable fees and expenses of attorneys who may be employees of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11" w:name="page112"/>
    <w:bookmarkEnd w:id="111"/>
    <w:p>
      <w:pPr>
        <w:ind w:left="4" w:right="20" w:firstLine="436"/>
        <w:spacing w:after="0" w:line="283" w:lineRule="auto"/>
        <w:tabs>
          <w:tab w:leader="none" w:pos="834"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by the Borrower</w:t>
      </w:r>
      <w:r>
        <w:rPr>
          <w:rFonts w:ascii="Arial" w:cs="Arial" w:eastAsia="Arial" w:hAnsi="Arial"/>
          <w:sz w:val="16"/>
          <w:szCs w:val="16"/>
          <w:color w:val="auto"/>
        </w:rPr>
        <w:t>. The Borrower shall indemnify the Administrative Agent (and any sub-agent thereof), each Lender and each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reasonable fees, charges and disbursements of any counsel for any Indemnitee, including the reasonable fees and expenses of any attorney who may be an employee of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applicable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w:t>
      </w:r>
    </w:p>
    <w:p>
      <w:pPr>
        <w:spacing w:after="0" w:line="2" w:lineRule="exact"/>
        <w:rPr>
          <w:rFonts w:ascii="Arial" w:cs="Arial" w:eastAsia="Arial" w:hAnsi="Arial"/>
          <w:sz w:val="16"/>
          <w:szCs w:val="16"/>
          <w:color w:val="auto"/>
        </w:rPr>
      </w:pPr>
    </w:p>
    <w:p>
      <w:pPr>
        <w:ind w:left="4" w:hanging="4"/>
        <w:spacing w:after="0" w:line="281" w:lineRule="auto"/>
        <w:tabs>
          <w:tab w:leader="none" w:pos="30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6"/>
          <w:szCs w:val="16"/>
          <w:b w:val="1"/>
          <w:bCs w:val="1"/>
          <w:color w:val="auto"/>
        </w:rPr>
        <w:t>IN ALL CASES, WHETHER</w:t>
      </w:r>
    </w:p>
    <w:p>
      <w:pPr>
        <w:spacing w:after="0" w:line="1" w:lineRule="exact"/>
        <w:rPr>
          <w:rFonts w:ascii="Arial" w:cs="Arial" w:eastAsia="Arial" w:hAnsi="Arial"/>
          <w:sz w:val="16"/>
          <w:szCs w:val="16"/>
          <w:color w:val="auto"/>
        </w:rPr>
      </w:pPr>
    </w:p>
    <w:p>
      <w:pPr>
        <w:ind w:left="4" w:right="200"/>
        <w:spacing w:after="0" w:line="281" w:lineRule="auto"/>
        <w:rPr>
          <w:rFonts w:ascii="Arial" w:cs="Arial" w:eastAsia="Arial" w:hAnsi="Arial"/>
          <w:sz w:val="16"/>
          <w:szCs w:val="16"/>
          <w:color w:val="auto"/>
        </w:rPr>
      </w:pPr>
      <w:r>
        <w:rPr>
          <w:rFonts w:ascii="Arial" w:cs="Arial" w:eastAsia="Arial" w:hAnsi="Arial"/>
          <w:sz w:val="16"/>
          <w:szCs w:val="16"/>
          <w:b w:val="1"/>
          <w:bCs w:val="1"/>
          <w:color w:val="auto"/>
        </w:rPr>
        <w:t>OR NOT CAUSED BY OR ARISING, IN WHOLE OR IN PART, OUT OF THE COMPARATIVE, CONTRIBUTORY OR SOLE NEGLIGENCE OF THE INDEMNITEE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indemnity shall not, as to any Indemnitee, be available to the extent that such losses,</w:t>
      </w:r>
      <w:r>
        <w:rPr>
          <w:rFonts w:ascii="Arial" w:cs="Arial" w:eastAsia="Arial" w:hAnsi="Arial"/>
          <w:sz w:val="16"/>
          <w:szCs w:val="16"/>
          <w:b w:val="1"/>
          <w:bCs w:val="1"/>
          <w:color w:val="auto"/>
        </w:rPr>
        <w:t xml:space="preserve"> </w:t>
      </w:r>
      <w:r>
        <w:rPr>
          <w:rFonts w:ascii="Arial" w:cs="Arial" w:eastAsia="Arial" w:hAnsi="Arial"/>
          <w:sz w:val="16"/>
          <w:szCs w:val="16"/>
          <w:color w:val="auto"/>
        </w:rPr>
        <w:t>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Without limiting the provisions of</w:t>
      </w:r>
    </w:p>
    <w:p>
      <w:pPr>
        <w:spacing w:after="0" w:line="3" w:lineRule="exact"/>
        <w:rPr>
          <w:rFonts w:ascii="Arial" w:cs="Arial" w:eastAsia="Arial" w:hAnsi="Arial"/>
          <w:sz w:val="16"/>
          <w:szCs w:val="16"/>
          <w:color w:val="auto"/>
        </w:rPr>
      </w:pPr>
    </w:p>
    <w:p>
      <w:pPr>
        <w:ind w:left="4" w:right="2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are actual losses, claims, or damages arising and resulting from any non-Tax claim.</w:t>
      </w:r>
    </w:p>
    <w:p>
      <w:pPr>
        <w:spacing w:after="0" w:line="185" w:lineRule="exact"/>
        <w:rPr>
          <w:rFonts w:ascii="Arial" w:cs="Arial" w:eastAsia="Arial" w:hAnsi="Arial"/>
          <w:sz w:val="16"/>
          <w:szCs w:val="16"/>
          <w:color w:val="auto"/>
        </w:rPr>
      </w:pPr>
    </w:p>
    <w:p>
      <w:pPr>
        <w:ind w:left="824" w:hanging="384"/>
        <w:spacing w:after="0"/>
        <w:tabs>
          <w:tab w:leader="none" w:pos="824"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w:t>
      </w:r>
    </w:p>
    <w:p>
      <w:pPr>
        <w:spacing w:after="0" w:line="46" w:lineRule="exact"/>
        <w:rPr>
          <w:rFonts w:ascii="Arial" w:cs="Arial" w:eastAsia="Arial" w:hAnsi="Arial"/>
          <w:sz w:val="16"/>
          <w:szCs w:val="16"/>
          <w:color w:val="auto"/>
        </w:rPr>
      </w:pPr>
    </w:p>
    <w:p>
      <w:pPr>
        <w:ind w:left="4" w:right="20"/>
        <w:spacing w:after="0" w:line="269" w:lineRule="auto"/>
        <w:rPr>
          <w:rFonts w:ascii="Arial" w:cs="Arial" w:eastAsia="Arial" w:hAnsi="Arial"/>
          <w:sz w:val="16"/>
          <w:szCs w:val="16"/>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each L/C Issuer or any Related Party of any of the foregoing, each Lender severally agrees to pay to the Administrative Agent (or any such sub-agent), such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such L/C Issuer in its capacity as such, or against any Related Party of any of the foregoing acting for the Administrative Agent (or any such sub-agent) or such L/C Issuer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180" w:lineRule="exact"/>
        <w:rPr>
          <w:rFonts w:ascii="Arial" w:cs="Arial" w:eastAsia="Arial" w:hAnsi="Arial"/>
          <w:sz w:val="16"/>
          <w:szCs w:val="16"/>
          <w:color w:val="auto"/>
        </w:rPr>
      </w:pPr>
    </w:p>
    <w:p>
      <w:pPr>
        <w:ind w:left="4" w:right="160" w:firstLine="436"/>
        <w:spacing w:after="0" w:line="254" w:lineRule="auto"/>
        <w:tabs>
          <w:tab w:leader="none" w:pos="834"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12" w:name="page113"/>
    <w:bookmarkEnd w:id="112"/>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46" w:lineRule="exact"/>
        <w:rPr>
          <w:sz w:val="20"/>
          <w:szCs w:val="20"/>
          <w:color w:val="auto"/>
        </w:rPr>
      </w:pPr>
    </w:p>
    <w:p>
      <w:pPr>
        <w:ind w:left="820" w:hanging="384"/>
        <w:spacing w:after="0"/>
        <w:tabs>
          <w:tab w:leader="none" w:pos="8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60" w:firstLine="436"/>
        <w:spacing w:after="0" w:line="263" w:lineRule="auto"/>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and Bank of America as an L/C Issuer and the Swing Line Lender, the replacement of any Lender, the termination of the Aggregate Commitments and the repayment, satisfaction or discharge of all the other Obligations.</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10.05 Payments Set Aside</w:t>
      </w:r>
      <w:r>
        <w:rPr>
          <w:rFonts w:ascii="Arial" w:cs="Arial" w:eastAsia="Arial" w:hAnsi="Arial"/>
          <w:sz w:val="16"/>
          <w:szCs w:val="16"/>
          <w:color w:val="auto"/>
        </w:rPr>
        <w:t>. To the extent that any payment by or on behalf of the Borrower is made to the Administrative Agent, any L/C Issuer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269"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10.06</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121" w:lineRule="exact"/>
        <w:rPr>
          <w:sz w:val="20"/>
          <w:szCs w:val="20"/>
          <w:color w:val="auto"/>
        </w:rPr>
      </w:pPr>
    </w:p>
    <w:p>
      <w:pPr>
        <w:ind w:firstLine="436"/>
        <w:spacing w:after="0" w:line="289" w:lineRule="auto"/>
        <w:tabs>
          <w:tab w:leader="none" w:pos="82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or (iii) by way of pledge or assignment of a security interest subject to the restrictions of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166" w:lineRule="exact"/>
        <w:rPr>
          <w:rFonts w:ascii="Arial" w:cs="Arial" w:eastAsia="Arial" w:hAnsi="Arial"/>
          <w:sz w:val="16"/>
          <w:szCs w:val="16"/>
          <w:color w:val="auto"/>
        </w:rPr>
      </w:pPr>
    </w:p>
    <w:p>
      <w:pPr>
        <w:ind w:right="40" w:firstLine="436"/>
        <w:spacing w:after="0" w:line="286" w:lineRule="auto"/>
        <w:tabs>
          <w:tab w:leader="none" w:pos="83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participations in L/C Obligations and in Swing Line Loans) at the time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assignment shall be subject to the following conditions:</w:t>
      </w:r>
    </w:p>
    <w:p>
      <w:pPr>
        <w:spacing w:after="0" w:line="273" w:lineRule="exact"/>
        <w:rPr>
          <w:rFonts w:ascii="Arial" w:cs="Arial" w:eastAsia="Arial" w:hAnsi="Arial"/>
          <w:sz w:val="17"/>
          <w:szCs w:val="17"/>
          <w:color w:val="auto"/>
        </w:rPr>
      </w:pPr>
    </w:p>
    <w:p>
      <w:pPr>
        <w:ind w:left="1200" w:hanging="341"/>
        <w:spacing w:after="0"/>
        <w:tabs>
          <w:tab w:leader="none" w:pos="120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60" w:firstLine="408"/>
        <w:spacing w:after="0" w:line="263" w:lineRule="auto"/>
        <w:tabs>
          <w:tab w:leader="none" w:pos="181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75" w:lineRule="exact"/>
        <w:rPr>
          <w:rFonts w:ascii="Arial" w:cs="Arial" w:eastAsia="Arial" w:hAnsi="Arial"/>
          <w:sz w:val="18"/>
          <w:szCs w:val="18"/>
          <w:color w:val="auto"/>
        </w:rPr>
      </w:pPr>
    </w:p>
    <w:p>
      <w:pPr>
        <w:ind w:left="980" w:right="420" w:firstLine="408"/>
        <w:spacing w:after="0" w:line="277" w:lineRule="auto"/>
        <w:tabs>
          <w:tab w:leader="none" w:pos="1801" w:val="left"/>
        </w:tabs>
        <w:numPr>
          <w:ilvl w:val="2"/>
          <w:numId w:val="149"/>
        </w:numPr>
        <w:rPr>
          <w:rFonts w:ascii="Arial" w:cs="Arial" w:eastAsia="Arial" w:hAnsi="Arial"/>
          <w:sz w:val="18"/>
          <w:szCs w:val="18"/>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subsection (b)(i)(A)</w:t>
      </w:r>
      <w:r>
        <w:rPr>
          <w:rFonts w:ascii="Arial" w:cs="Arial" w:eastAsia="Arial" w:hAnsi="Arial"/>
          <w:sz w:val="18"/>
          <w:szCs w:val="18"/>
          <w:color w:val="auto"/>
        </w:rPr>
        <w:t xml:space="preserve"> of this Section, the aggregate amount of the Commitment (which for this purpose includes Loans outstanding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13" w:name="page114"/>
    <w:bookmarkEnd w:id="113"/>
    <w:p>
      <w:pPr>
        <w:ind w:left="980" w:right="1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70" w:lineRule="exact"/>
        <w:rPr>
          <w:sz w:val="20"/>
          <w:szCs w:val="20"/>
          <w:color w:val="auto"/>
        </w:rPr>
      </w:pPr>
    </w:p>
    <w:p>
      <w:pPr>
        <w:jc w:val="both"/>
        <w:ind w:left="440" w:right="180" w:firstLine="419"/>
        <w:spacing w:after="0" w:line="263" w:lineRule="auto"/>
        <w:tabs>
          <w:tab w:leader="none" w:pos="126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w:t>
      </w:r>
    </w:p>
    <w:p>
      <w:pPr>
        <w:spacing w:after="0" w:line="75" w:lineRule="exact"/>
        <w:rPr>
          <w:rFonts w:ascii="Arial" w:cs="Arial" w:eastAsia="Arial" w:hAnsi="Arial"/>
          <w:sz w:val="18"/>
          <w:szCs w:val="18"/>
          <w:color w:val="auto"/>
        </w:rPr>
      </w:pPr>
    </w:p>
    <w:p>
      <w:pPr>
        <w:ind w:left="440" w:right="460" w:firstLine="419"/>
        <w:spacing w:after="0" w:line="277" w:lineRule="auto"/>
        <w:tabs>
          <w:tab w:leader="none" w:pos="131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jc w:val="both"/>
        <w:ind w:left="980" w:right="40" w:firstLine="408"/>
        <w:spacing w:after="0" w:line="279" w:lineRule="auto"/>
        <w:tabs>
          <w:tab w:leader="none" w:pos="181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63" w:lineRule="exact"/>
        <w:rPr>
          <w:rFonts w:ascii="Arial" w:cs="Arial" w:eastAsia="Arial" w:hAnsi="Arial"/>
          <w:sz w:val="17"/>
          <w:szCs w:val="17"/>
          <w:color w:val="auto"/>
        </w:rPr>
      </w:pPr>
    </w:p>
    <w:p>
      <w:pPr>
        <w:ind w:left="980" w:right="280" w:firstLine="408"/>
        <w:spacing w:after="0" w:line="342" w:lineRule="auto"/>
        <w:tabs>
          <w:tab w:leader="none" w:pos="180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5" w:lineRule="exact"/>
        <w:rPr>
          <w:rFonts w:ascii="Arial" w:cs="Arial" w:eastAsia="Arial" w:hAnsi="Arial"/>
          <w:sz w:val="16"/>
          <w:szCs w:val="16"/>
          <w:color w:val="auto"/>
        </w:rPr>
      </w:pPr>
    </w:p>
    <w:p>
      <w:pPr>
        <w:ind w:left="980" w:right="120" w:firstLine="408"/>
        <w:spacing w:after="0" w:line="263" w:lineRule="auto"/>
        <w:tabs>
          <w:tab w:leader="none" w:pos="180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consent of the L/C Issuers (such consent not to be unreasonably withheld or delayed) shall be required for any assignment that increases the obligation of the assignee to participate in its exposure under one or more Letters of Credit (whether or not then outstanding); and</w:t>
      </w:r>
    </w:p>
    <w:p>
      <w:pPr>
        <w:spacing w:after="0" w:line="75" w:lineRule="exact"/>
        <w:rPr>
          <w:rFonts w:ascii="Arial" w:cs="Arial" w:eastAsia="Arial" w:hAnsi="Arial"/>
          <w:sz w:val="18"/>
          <w:szCs w:val="18"/>
          <w:color w:val="auto"/>
        </w:rPr>
      </w:pPr>
    </w:p>
    <w:p>
      <w:pPr>
        <w:ind w:left="980" w:right="400" w:firstLine="408"/>
        <w:spacing w:after="0" w:line="277" w:lineRule="auto"/>
        <w:tabs>
          <w:tab w:leader="none" w:pos="181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or delayed) shall be required for any assignment;</w:t>
      </w:r>
    </w:p>
    <w:p>
      <w:pPr>
        <w:spacing w:after="0" w:line="62" w:lineRule="exact"/>
        <w:rPr>
          <w:sz w:val="20"/>
          <w:szCs w:val="20"/>
          <w:color w:val="auto"/>
        </w:rPr>
      </w:pPr>
    </w:p>
    <w:p>
      <w:pPr>
        <w:jc w:val="both"/>
        <w:ind w:left="980" w:right="2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assignment by BNP Paribas to Bank of the West or BNP Paribas Fortis shall not require any consents described in clauses (A) through (D) of this subsection (b)(iii), so long as Bank of the West or BNP Paribas Fortis, as applicable, is a wholly-owned Subsidiary of BNP Paribas.</w:t>
      </w:r>
    </w:p>
    <w:p>
      <w:pPr>
        <w:spacing w:after="0" w:line="76" w:lineRule="exact"/>
        <w:rPr>
          <w:sz w:val="20"/>
          <w:szCs w:val="20"/>
          <w:color w:val="auto"/>
        </w:rPr>
      </w:pPr>
    </w:p>
    <w:p>
      <w:pPr>
        <w:jc w:val="both"/>
        <w:ind w:left="440" w:firstLine="419"/>
        <w:spacing w:after="0" w:line="259" w:lineRule="auto"/>
        <w:tabs>
          <w:tab w:leader="none" w:pos="130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440" w:right="120" w:firstLine="419"/>
        <w:spacing w:after="0" w:line="255" w:lineRule="auto"/>
        <w:tabs>
          <w:tab w:leader="none" w:pos="125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Assignment to Borrower and Defaulting Lender</w:t>
      </w:r>
      <w:r>
        <w:rPr>
          <w:rFonts w:ascii="Arial" w:cs="Arial" w:eastAsia="Arial" w:hAnsi="Arial"/>
          <w:sz w:val="18"/>
          <w:szCs w:val="18"/>
          <w:color w:val="auto"/>
        </w:rPr>
        <w:t xml:space="preserve">. No such assignment shall be made (A) to the Borrower or any of the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FF0000"/>
          <w:strike w:val="1"/>
        </w:rPr>
        <w:t>; provided, that MLPFS may, without notice to the Borrower, assign its</w:t>
      </w:r>
      <w:r>
        <w:rPr>
          <w:rFonts w:ascii="Arial" w:cs="Arial" w:eastAsia="Arial" w:hAnsi="Arial"/>
          <w:sz w:val="18"/>
          <w:szCs w:val="18"/>
          <w:color w:val="auto"/>
        </w:rPr>
        <w:t xml:space="preserve"> </w:t>
      </w:r>
      <w:r>
        <w:rPr>
          <w:rFonts w:ascii="Arial" w:cs="Arial" w:eastAsia="Arial" w:hAnsi="Arial"/>
          <w:sz w:val="18"/>
          <w:szCs w:val="18"/>
          <w:color w:val="FF0000"/>
          <w:strike w:val="1"/>
        </w:rPr>
        <w:t>rights and obligations under this Agreement to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r>
        <w:rPr>
          <w:rFonts w:ascii="Arial" w:cs="Arial" w:eastAsia="Arial" w:hAnsi="Arial"/>
          <w:sz w:val="18"/>
          <w:szCs w:val="18"/>
          <w:color w:val="000000"/>
          <w:strike w:val="1"/>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14" w:name="page115"/>
    <w:bookmarkEnd w:id="114"/>
    <w:p>
      <w:pPr>
        <w:ind w:left="440" w:right="160" w:firstLine="419"/>
        <w:spacing w:after="0" w:line="277" w:lineRule="auto"/>
        <w:tabs>
          <w:tab w:leader="none" w:pos="130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Assignment to Natural Persons</w:t>
      </w:r>
      <w:r>
        <w:rPr>
          <w:rFonts w:ascii="Arial" w:cs="Arial" w:eastAsia="Arial" w:hAnsi="Arial"/>
          <w:sz w:val="18"/>
          <w:szCs w:val="18"/>
          <w:color w:val="auto"/>
        </w:rPr>
        <w:t>. No such assignment shall be made to a natural Person (or a holding company investment vehicle or trust for, or owned and operated for the primary benefit of a natural Person).</w:t>
      </w:r>
    </w:p>
    <w:p>
      <w:pPr>
        <w:spacing w:after="0" w:line="62" w:lineRule="exact"/>
        <w:rPr>
          <w:rFonts w:ascii="Arial" w:cs="Arial" w:eastAsia="Arial" w:hAnsi="Arial"/>
          <w:sz w:val="18"/>
          <w:szCs w:val="18"/>
          <w:color w:val="auto"/>
        </w:rPr>
      </w:pPr>
    </w:p>
    <w:p>
      <w:pPr>
        <w:ind w:left="440" w:right="40" w:firstLine="419"/>
        <w:spacing w:after="0" w:line="287" w:lineRule="auto"/>
        <w:tabs>
          <w:tab w:leader="none" w:pos="135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and assumed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172" w:lineRule="exact"/>
        <w:rPr>
          <w:sz w:val="20"/>
          <w:szCs w:val="20"/>
          <w:color w:val="auto"/>
        </w:rPr>
      </w:pPr>
    </w:p>
    <w:p>
      <w:pPr>
        <w:ind w:right="20" w:firstLine="436"/>
        <w:spacing w:after="0" w:line="253" w:lineRule="auto"/>
        <w:tabs>
          <w:tab w:leader="none" w:pos="8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w:t>
      </w:r>
      <w:r>
        <w:rPr>
          <w:rFonts w:ascii="Arial" w:cs="Arial" w:eastAsia="Arial" w:hAnsi="Arial"/>
          <w:sz w:val="18"/>
          <w:szCs w:val="18"/>
          <w:b w:val="1"/>
          <w:bCs w:val="1"/>
          <w:color w:val="auto"/>
        </w:rPr>
        <w:t>.</w:t>
      </w:r>
      <w:r>
        <w:rPr>
          <w:rFonts w:ascii="Arial" w:cs="Arial" w:eastAsia="Arial" w:hAnsi="Arial"/>
          <w:sz w:val="18"/>
          <w:szCs w:val="18"/>
          <w:color w:val="auto"/>
        </w:rPr>
        <w:t xml:space="preserve"> The Register shall be available for inspection by the Borrower and any Lender at any reasonable time and from time to time upon reasonable prior notice.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15" w:name="page116"/>
    <w:bookmarkEnd w:id="115"/>
    <w:p>
      <w:pPr>
        <w:ind w:right="40" w:firstLine="436"/>
        <w:spacing w:after="0" w:line="289" w:lineRule="auto"/>
        <w:tabs>
          <w:tab w:leader="none" w:pos="83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Participations</w:t>
      </w:r>
      <w:r>
        <w:rPr>
          <w:rFonts w:ascii="Arial" w:cs="Arial" w:eastAsia="Arial" w:hAnsi="Arial"/>
          <w:sz w:val="16"/>
          <w:szCs w:val="16"/>
          <w:color w:val="auto"/>
        </w:rPr>
        <w:t>. Any Lender, that is not a Defaulting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a Disqualified Lender,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without regard to the existence of any participation.</w:t>
      </w:r>
    </w:p>
    <w:p>
      <w:pPr>
        <w:spacing w:after="0" w:line="16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ind w:right="20" w:firstLine="436"/>
        <w:spacing w:after="0" w:line="257" w:lineRule="auto"/>
        <w:tabs>
          <w:tab w:leader="none" w:pos="8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87" w:lineRule="exact"/>
        <w:rPr>
          <w:rFonts w:ascii="Arial" w:cs="Arial" w:eastAsia="Arial" w:hAnsi="Arial"/>
          <w:sz w:val="18"/>
          <w:szCs w:val="18"/>
          <w:color w:val="auto"/>
        </w:rPr>
      </w:pPr>
    </w:p>
    <w:p>
      <w:pPr>
        <w:ind w:right="220" w:firstLine="436"/>
        <w:spacing w:after="0" w:line="279" w:lineRule="auto"/>
        <w:tabs>
          <w:tab w:leader="none" w:pos="80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another central banking authority having jurisdiction over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16" w:name="page117"/>
    <w:bookmarkEnd w:id="116"/>
    <w:p>
      <w:pPr>
        <w:ind w:left="824" w:hanging="384"/>
        <w:spacing w:after="0"/>
        <w:tabs>
          <w:tab w:leader="none" w:pos="824"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83" w:lineRule="auto"/>
        <w:tabs>
          <w:tab w:leader="none" w:pos="834"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Commitment and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(i) upon 30 days’ prior notice to the Borrower and the Lenders, resign as L/C Issuer and/or (ii) upon 30 days’ prior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successor shall consent to such appointment by the Borrower;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w:t>
      </w:r>
    </w:p>
    <w:p>
      <w:pPr>
        <w:spacing w:after="0" w:line="2" w:lineRule="exact"/>
        <w:rPr>
          <w:rFonts w:ascii="Arial" w:cs="Arial" w:eastAsia="Arial" w:hAnsi="Arial"/>
          <w:sz w:val="16"/>
          <w:szCs w:val="16"/>
          <w:color w:val="auto"/>
        </w:rPr>
      </w:pPr>
    </w:p>
    <w:p>
      <w:pPr>
        <w:ind w:left="4" w:right="60" w:hanging="4"/>
        <w:spacing w:after="0" w:line="253" w:lineRule="auto"/>
        <w:tabs>
          <w:tab w:leader="none" w:pos="2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9" w:lineRule="exact"/>
        <w:rPr>
          <w:sz w:val="20"/>
          <w:szCs w:val="20"/>
          <w:color w:val="auto"/>
        </w:rPr>
      </w:pPr>
    </w:p>
    <w:p>
      <w:pPr>
        <w:ind w:left="4" w:right="60" w:firstLine="440"/>
        <w:spacing w:after="0" w:line="283" w:lineRule="auto"/>
        <w:rPr>
          <w:sz w:val="20"/>
          <w:szCs w:val="20"/>
          <w:color w:val="auto"/>
        </w:rPr>
      </w:pPr>
      <w:r>
        <w:rPr>
          <w:rFonts w:ascii="Arial" w:cs="Arial" w:eastAsia="Arial" w:hAnsi="Arial"/>
          <w:sz w:val="16"/>
          <w:szCs w:val="16"/>
          <w:b w:val="1"/>
          <w:bCs w:val="1"/>
          <w:color w:val="auto"/>
        </w:rPr>
        <w:t>10.07 Treatment of Certain Information; Confidentiality</w:t>
      </w:r>
      <w:r>
        <w:rPr>
          <w:rFonts w:ascii="Arial" w:cs="Arial" w:eastAsia="Arial" w:hAnsi="Arial"/>
          <w:sz w:val="16"/>
          <w:szCs w:val="16"/>
          <w:color w:val="auto"/>
        </w:rPr>
        <w:t>. Each of the Administrative Agent, the Lenders and the L/C Issuers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 the confidentiality of the Information (as defined below), except that Information may be disclosed (a) to its Affiliates and to its and its Affiliates’ respective partners, directors, officers, employees, agents, trustees, advisors and representatives on a need-to-know basis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Affiliates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and which gives the Borrower the right to enforce such confidentiality provisions,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or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2.17(d)</w:t>
      </w:r>
      <w:r>
        <w:rPr>
          <w:rFonts w:ascii="Arial" w:cs="Arial" w:eastAsia="Arial" w:hAnsi="Arial"/>
          <w:sz w:val="16"/>
          <w:szCs w:val="16"/>
          <w:color w:val="auto"/>
        </w:rPr>
        <w:t xml:space="preserve"> or (ii) any actual or prospective counterparty (or its advisors) to any swap or derivative transaction relating to the Borrower and its obligations,</w:t>
      </w:r>
    </w:p>
    <w:p>
      <w:pPr>
        <w:spacing w:after="0" w:line="32" w:lineRule="exact"/>
        <w:rPr>
          <w:sz w:val="20"/>
          <w:szCs w:val="20"/>
          <w:color w:val="auto"/>
        </w:rPr>
      </w:pPr>
    </w:p>
    <w:p>
      <w:pPr>
        <w:ind w:left="264" w:hanging="264"/>
        <w:spacing w:after="0"/>
        <w:tabs>
          <w:tab w:leader="none" w:pos="26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on a confidential basis to (i) any rating agency in connection with rating the Borrower or its Subsidiaries or the credit facilities provided hereunder or</w:t>
      </w:r>
    </w:p>
    <w:p>
      <w:pPr>
        <w:spacing w:after="0" w:line="32" w:lineRule="exact"/>
        <w:rPr>
          <w:rFonts w:ascii="Arial" w:cs="Arial" w:eastAsia="Arial" w:hAnsi="Arial"/>
          <w:sz w:val="16"/>
          <w:szCs w:val="16"/>
          <w:color w:val="auto"/>
        </w:rPr>
      </w:pPr>
    </w:p>
    <w:p>
      <w:pPr>
        <w:ind w:left="4" w:right="60" w:hanging="4"/>
        <w:spacing w:after="0" w:line="252" w:lineRule="auto"/>
        <w:tabs>
          <w:tab w:leader="none" w:pos="26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CUSIP Service Bureau or any similar agency in connection with the issuance and monitoring of CUSIP numbers or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Borrower or any of its Subsidiaries.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17" w:name="page118"/>
    <w:bookmarkEnd w:id="117"/>
    <w:p>
      <w:pPr>
        <w:ind w:left="4" w:right="1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the Borrower or a Subsidiary, as the case may be, (b) it has developed reasonable compliance procedures regarding the use of material non-public information and (c) it will handle such material non-public information in accordance with applicable Law, including United States Federal and state securities laws.</w:t>
      </w:r>
    </w:p>
    <w:p>
      <w:pPr>
        <w:spacing w:after="0" w:line="183"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b w:val="1"/>
          <w:bCs w:val="1"/>
          <w:color w:val="auto"/>
        </w:rPr>
        <w:t>10.08 Right of Setoff</w:t>
      </w:r>
      <w:r>
        <w:rPr>
          <w:rFonts w:ascii="Arial" w:cs="Arial" w:eastAsia="Arial" w:hAnsi="Arial"/>
          <w:sz w:val="16"/>
          <w:szCs w:val="16"/>
          <w:color w:val="auto"/>
        </w:rPr>
        <w:t>. If an Event of Default shall have occurred and be continuing, each Lender, each L/C Issuer and each of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Affiliates is hereby authorized at any time and from time to time, after giving prior written notice to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of such Lender or such L/C Issuer different from the branch or office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hereunder,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such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4"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b w:val="1"/>
          <w:bCs w:val="1"/>
          <w:color w:val="auto"/>
        </w:rPr>
        <w:t>10.09 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ind w:left="4" w:right="100" w:hanging="4"/>
        <w:spacing w:after="0" w:line="255" w:lineRule="auto"/>
        <w:tabs>
          <w:tab w:leader="none" w:pos="2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118" w:name="page119"/>
    <w:bookmarkEnd w:id="118"/>
    <w:p>
      <w:pPr>
        <w:ind w:right="20"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10.10 Counterparts; Integration; Effectiveness</w:t>
      </w:r>
      <w:r>
        <w:rPr>
          <w:rFonts w:ascii="Arial" w:cs="Arial" w:eastAsia="Arial" w:hAnsi="Arial"/>
          <w:sz w:val="18"/>
          <w:szCs w:val="18"/>
          <w:color w:val="auto"/>
        </w:rPr>
        <w:t>. This Agreement and the other Loan Documents may be executed in counterparts (and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as provided in the applicable Loan Document, this Agreement or such other Loan Documents shall become effective when they shall have been executed by the Administrative Agent and when the Administrative Agent shall have received counterparts hereof or thereof that, when taken together, bear the signatures of each of the other parties hereto. Delivery of an executed counterpart of a signature page of this Agreement and any other Loan Document by telecopy or other electronic imaging means shall be effective as delivery of a manually executed counterpart of this Agreement and the other Loan Documents.</w:t>
      </w:r>
    </w:p>
    <w:p>
      <w:pPr>
        <w:spacing w:after="0" w:line="188"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10.11 Survival of Representations and Warranties</w:t>
      </w:r>
      <w:r>
        <w:rPr>
          <w:rFonts w:ascii="Arial" w:cs="Arial" w:eastAsia="Arial" w:hAnsi="Arial"/>
          <w:sz w:val="17"/>
          <w:szCs w:val="17"/>
          <w:color w:val="auto"/>
        </w:rPr>
        <w:t>. 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3"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b w:val="1"/>
          <w:bCs w:val="1"/>
          <w:color w:val="auto"/>
        </w:rPr>
        <w:t>10.12 Severability</w:t>
      </w:r>
      <w:r>
        <w:rPr>
          <w:rFonts w:ascii="Arial" w:cs="Arial" w:eastAsia="Arial" w:hAnsi="Arial"/>
          <w:sz w:val="17"/>
          <w:szCs w:val="17"/>
          <w:color w:val="auto"/>
        </w:rPr>
        <w:t>. If any provision of this Agreement or the other Loan Documents is held to be illegal, invalid or unenforceable, (a)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10.12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28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6"/>
          <w:szCs w:val="16"/>
          <w:b w:val="1"/>
          <w:bCs w:val="1"/>
          <w:color w:val="auto"/>
        </w:rPr>
        <w:t>Replacement of Lenders; Termination of Commitments</w:t>
      </w:r>
      <w:r>
        <w:rPr>
          <w:rFonts w:ascii="Arial" w:cs="Arial" w:eastAsia="Arial" w:hAnsi="Arial"/>
          <w:sz w:val="16"/>
          <w:szCs w:val="16"/>
          <w:color w:val="auto"/>
        </w:rPr>
        <w:t>.</w:t>
      </w:r>
    </w:p>
    <w:p>
      <w:pPr>
        <w:spacing w:after="0" w:line="121" w:lineRule="exact"/>
        <w:rPr>
          <w:sz w:val="20"/>
          <w:szCs w:val="20"/>
          <w:color w:val="auto"/>
        </w:rPr>
      </w:pPr>
    </w:p>
    <w:p>
      <w:pPr>
        <w:ind w:right="20" w:firstLine="436"/>
        <w:spacing w:after="0" w:line="272" w:lineRule="auto"/>
        <w:tabs>
          <w:tab w:leader="none" w:pos="8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If (i) any Lender (or any Participant)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(ii)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(iii) any Lender is a Defaulting Lender, (iv) any Lender fails to approve any amendment, waiver or consent requested by the Borrower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that has received the written approval of not less than the Required Lenders but also requires the approval of such Lender or (v) any Lender is a Non-Extending Lender and the Borrower has satisfied the minimum extension requirements in </w:t>
      </w:r>
      <w:r>
        <w:rPr>
          <w:rFonts w:ascii="Arial" w:cs="Arial" w:eastAsia="Arial" w:hAnsi="Arial"/>
          <w:sz w:val="17"/>
          <w:szCs w:val="17"/>
          <w:u w:val="single" w:color="auto"/>
          <w:color w:val="auto"/>
        </w:rPr>
        <w:t>Section 2.17(e)</w:t>
      </w:r>
      <w:r>
        <w:rPr>
          <w:rFonts w:ascii="Arial" w:cs="Arial" w:eastAsia="Arial" w:hAnsi="Arial"/>
          <w:sz w:val="17"/>
          <w:szCs w:val="17"/>
          <w:color w:val="auto"/>
        </w:rPr>
        <w:t xml:space="preserve">, then the Borrower may elect, by delivering written notice to such Lender and the Administrative Agent, to either replace such Lender at its sole expense and effort in accordance with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or terminate all of the Commitments of such Lender in accordance with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below.</w:t>
      </w:r>
    </w:p>
    <w:p>
      <w:pPr>
        <w:spacing w:after="0" w:line="177" w:lineRule="exact"/>
        <w:rPr>
          <w:rFonts w:ascii="Arial" w:cs="Arial" w:eastAsia="Arial" w:hAnsi="Arial"/>
          <w:sz w:val="17"/>
          <w:szCs w:val="17"/>
          <w:color w:val="auto"/>
        </w:rPr>
      </w:pPr>
    </w:p>
    <w:p>
      <w:pPr>
        <w:ind w:firstLine="436"/>
        <w:spacing w:after="0" w:line="259" w:lineRule="auto"/>
        <w:tabs>
          <w:tab w:leader="none" w:pos="83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the Borrower elects to replace a Lender in accordance with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such Lender shall be required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within 10 Business Days after receipt by such Lender of the Borrower’s written notice of such election, all of its interests, rights and obligations under this Agreement and the related Loan Documents to an assignee identified by the Borrower that shall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19" w:name="page120"/>
    <w:bookmarkEnd w:id="1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444" w:right="500" w:firstLine="419"/>
        <w:spacing w:after="0" w:line="277" w:lineRule="auto"/>
        <w:tabs>
          <w:tab w:leader="none" w:pos="12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(unless waived by the Administrative Agent);</w:t>
      </w:r>
    </w:p>
    <w:p>
      <w:pPr>
        <w:spacing w:after="0" w:line="62" w:lineRule="exact"/>
        <w:rPr>
          <w:rFonts w:ascii="Arial" w:cs="Arial" w:eastAsia="Arial" w:hAnsi="Arial"/>
          <w:sz w:val="18"/>
          <w:szCs w:val="18"/>
          <w:color w:val="auto"/>
        </w:rPr>
      </w:pPr>
    </w:p>
    <w:p>
      <w:pPr>
        <w:ind w:left="444" w:right="40" w:firstLine="419"/>
        <w:spacing w:after="0" w:line="259" w:lineRule="auto"/>
        <w:tabs>
          <w:tab w:leader="none" w:pos="126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444" w:right="420" w:firstLine="419"/>
        <w:spacing w:after="0" w:line="308" w:lineRule="auto"/>
        <w:tabs>
          <w:tab w:leader="none" w:pos="131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38" w:lineRule="exact"/>
        <w:rPr>
          <w:rFonts w:ascii="Arial" w:cs="Arial" w:eastAsia="Arial" w:hAnsi="Arial"/>
          <w:sz w:val="17"/>
          <w:szCs w:val="17"/>
          <w:color w:val="auto"/>
        </w:rPr>
      </w:pPr>
    </w:p>
    <w:p>
      <w:pPr>
        <w:ind w:left="444" w:right="200" w:firstLine="419"/>
        <w:spacing w:after="0" w:line="277" w:lineRule="auto"/>
        <w:tabs>
          <w:tab w:leader="none" w:pos="130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the refusal of a Lender to approve a requested amendment, waiver or consent, the Person to whom such assignment is being made has agreed to approve such amendment, waiver or consent;</w:t>
      </w:r>
    </w:p>
    <w:p>
      <w:pPr>
        <w:spacing w:after="0" w:line="62" w:lineRule="exact"/>
        <w:rPr>
          <w:rFonts w:ascii="Arial" w:cs="Arial" w:eastAsia="Arial" w:hAnsi="Arial"/>
          <w:sz w:val="18"/>
          <w:szCs w:val="18"/>
          <w:color w:val="auto"/>
        </w:rPr>
      </w:pPr>
    </w:p>
    <w:p>
      <w:pPr>
        <w:ind w:left="444" w:right="280" w:firstLine="419"/>
        <w:spacing w:after="0" w:line="277" w:lineRule="auto"/>
        <w:tabs>
          <w:tab w:leader="none" w:pos="125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any assignment from a Non-Extending Lender, the Person to whom such assignment is made shall have agreed to the applicable extension request; and</w:t>
      </w:r>
    </w:p>
    <w:p>
      <w:pPr>
        <w:spacing w:after="0" w:line="62" w:lineRule="exact"/>
        <w:rPr>
          <w:rFonts w:ascii="Arial" w:cs="Arial" w:eastAsia="Arial" w:hAnsi="Arial"/>
          <w:sz w:val="18"/>
          <w:szCs w:val="18"/>
          <w:color w:val="auto"/>
        </w:rPr>
      </w:pPr>
    </w:p>
    <w:p>
      <w:pPr>
        <w:ind w:left="1304" w:hanging="441"/>
        <w:spacing w:after="0"/>
        <w:tabs>
          <w:tab w:leader="none" w:pos="130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4" w:right="20" w:firstLine="436"/>
        <w:spacing w:after="0" w:line="284" w:lineRule="auto"/>
        <w:tabs>
          <w:tab w:leader="none" w:pos="82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If the Borrower elects to terminate the Commitments of a Lender in accordance with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above, all of the Commitments of such Lender shall be terminated immediately (with the Aggregate Commitments reduced in a like amount on a non-pro rata basis) upon the later of (i) the date of the receipt by the Administrative Agent and such Lender of the Borrower’s written notice of such election and (ii) the date that the Borrower has repaid all of outstanding principal of its Loans and L/C Advances of such Lender, together with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(which payments may be applied to the Loans, interest, fees and other obligations of such Lender on a non-pro rata basis with payments made to the other Lenders, notwithstanding the provisions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to the contrary);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not terminate the Commitments of a Lender pursuant to this </w:t>
      </w:r>
      <w:r>
        <w:rPr>
          <w:rFonts w:ascii="Arial" w:cs="Arial" w:eastAsia="Arial" w:hAnsi="Arial"/>
          <w:sz w:val="16"/>
          <w:szCs w:val="16"/>
          <w:u w:val="single" w:color="auto"/>
          <w:color w:val="auto"/>
        </w:rPr>
        <w:t>subsection</w:t>
      </w:r>
    </w:p>
    <w:p>
      <w:pPr>
        <w:spacing w:after="0" w:line="2" w:lineRule="exact"/>
        <w:rPr>
          <w:rFonts w:ascii="Arial" w:cs="Arial" w:eastAsia="Arial" w:hAnsi="Arial"/>
          <w:sz w:val="16"/>
          <w:szCs w:val="16"/>
          <w:color w:val="auto"/>
        </w:rPr>
      </w:pPr>
    </w:p>
    <w:p>
      <w:pPr>
        <w:ind w:left="4" w:right="100" w:hanging="4"/>
        <w:spacing w:after="0" w:line="255" w:lineRule="auto"/>
        <w:tabs>
          <w:tab w:leader="none" w:pos="249" w:val="left"/>
        </w:tabs>
        <w:numPr>
          <w:ilvl w:val="0"/>
          <w:numId w:val="164"/>
        </w:numPr>
        <w:rPr>
          <w:rFonts w:ascii="Arial" w:cs="Arial" w:eastAsia="Arial" w:hAnsi="Arial"/>
          <w:sz w:val="18"/>
          <w:szCs w:val="18"/>
          <w:u w:val="single" w:color="auto"/>
          <w:color w:val="auto"/>
        </w:rPr>
      </w:pPr>
      <w:r>
        <w:rPr>
          <w:rFonts w:ascii="Arial" w:cs="Arial" w:eastAsia="Arial" w:hAnsi="Arial"/>
          <w:sz w:val="18"/>
          <w:szCs w:val="18"/>
          <w:color w:val="auto"/>
        </w:rPr>
        <w:t xml:space="preserve">if, after giving effect to such termination and the repayment of Loans of such Lender required hereby, the Total Outstandings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any Cash Collateral that the Borrower has provided to secure outstanding L/C Obligations prior to or concurrently with such termination would exceed the Aggregate Commitments.</w:t>
      </w:r>
    </w:p>
    <w:p>
      <w:pPr>
        <w:spacing w:after="0" w:line="294"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Governing Law; Jurisdiction; Etc</w:t>
      </w:r>
      <w:r>
        <w:rPr>
          <w:rFonts w:ascii="Arial" w:cs="Arial" w:eastAsia="Arial" w:hAnsi="Arial"/>
          <w:sz w:val="16"/>
          <w:szCs w:val="16"/>
          <w:color w:val="auto"/>
        </w:rPr>
        <w:t>.</w:t>
      </w:r>
    </w:p>
    <w:p>
      <w:pPr>
        <w:spacing w:after="0" w:line="121" w:lineRule="exact"/>
        <w:rPr>
          <w:sz w:val="20"/>
          <w:szCs w:val="20"/>
          <w:color w:val="auto"/>
        </w:rPr>
      </w:pPr>
    </w:p>
    <w:p>
      <w:pPr>
        <w:ind w:left="4" w:firstLine="436"/>
        <w:spacing w:after="0" w:line="277" w:lineRule="auto"/>
        <w:tabs>
          <w:tab w:leader="none" w:pos="82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70" w:lineRule="exact"/>
        <w:rPr>
          <w:rFonts w:ascii="Arial" w:cs="Arial" w:eastAsia="Arial" w:hAnsi="Arial"/>
          <w:sz w:val="18"/>
          <w:szCs w:val="18"/>
          <w:color w:val="auto"/>
        </w:rPr>
      </w:pPr>
    </w:p>
    <w:p>
      <w:pPr>
        <w:ind w:left="4" w:right="160" w:firstLine="436"/>
        <w:spacing w:after="0" w:line="253" w:lineRule="auto"/>
        <w:tabs>
          <w:tab w:leader="none" w:pos="83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SUBMITS, FOR ITSELF AND ITS PROPERTY, TO THE NONEXCLUSIVE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w:t>
      </w:r>
    </w:p>
    <w:p>
      <w:pPr>
        <w:spacing w:after="0" w:line="12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bookmarkStart w:id="120" w:name="page121"/>
    <w:bookmarkEnd w:id="120"/>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spacing w:after="0" w:line="188" w:lineRule="exact"/>
        <w:rPr>
          <w:sz w:val="20"/>
          <w:szCs w:val="20"/>
          <w:color w:val="auto"/>
        </w:rPr>
      </w:pPr>
    </w:p>
    <w:p>
      <w:pPr>
        <w:ind w:left="4" w:right="40" w:firstLine="436"/>
        <w:spacing w:after="0" w:line="255" w:lineRule="auto"/>
        <w:tabs>
          <w:tab w:leader="none" w:pos="824"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ind w:left="4" w:right="20" w:firstLine="436"/>
        <w:spacing w:after="0" w:line="257" w:lineRule="auto"/>
        <w:tabs>
          <w:tab w:leader="none" w:pos="834"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TO THE EXTENT NOT PROHIBITED BY APPLICABLE LAW. NOTHING IN THIS AGREEMENT WILL AFFECT THE RIGHT OF ANY PARTY HERETO TO SERVE PROCESS IN ANY OTHER MANNER PERMITTED BY APPLICABLE LAW. EACH PARTY HERETO IRREVOCABLY WAIVES PERSONAL SERVICE OF ANY SUMMONS, COMPLAINT OR OTHER PROCESS.</w:t>
      </w:r>
    </w:p>
    <w:p>
      <w:pPr>
        <w:spacing w:after="0" w:line="184"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b w:val="1"/>
          <w:bCs w:val="1"/>
          <w:color w:val="auto"/>
        </w:rPr>
        <w:t>10.15 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left="4" w:right="60" w:hanging="4"/>
        <w:spacing w:after="0" w:line="253" w:lineRule="auto"/>
        <w:tabs>
          <w:tab w:leader="none" w:pos="2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10.16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co-documentation agents and Lenders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co-documentation agents and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co-documentation agents nor Lenders has any obligation to the Borrower or any of its Affiliates with respect to the transactions contemplated hereby except those obligations expressly set forth herein and in the other Loan Documents and (iii) the Administrative Agent, the Arrangers, co-documentation agents and Lenders and their respective Affiliates may be engaged in a</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254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121" w:name="page122"/>
    <w:bookmarkEnd w:id="121"/>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broad range of transactions that involve interests that differ from those of the Borrower and its Affiliates, and neither the Administrative Agent, the Arrangers, co-documentation agents nor Lenders has any obligation to disclose any of such interests to the Borrower or its Affiliates. To the fullest extent permitted by law, the Borrower hereby waives and releases any claims that it may have against the Administrative Agent, the Arrangers, co-documentation agents and/or the Lenders with respect to any breach or alleged breach of agency or fiduciary duty in connection with any aspect of any transaction contemplated hereby.</w:t>
      </w:r>
    </w:p>
    <w:p>
      <w:pPr>
        <w:spacing w:after="0" w:line="184"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b w:val="1"/>
          <w:bCs w:val="1"/>
          <w:color w:val="auto"/>
        </w:rPr>
        <w:t xml:space="preserve">10.17 Electronic Execution of Assignments and Certain Other Documents. </w:t>
      </w:r>
      <w:r>
        <w:rPr>
          <w:rFonts w:ascii="Arial" w:cs="Arial" w:eastAsia="Arial" w:hAnsi="Arial"/>
          <w:sz w:val="16"/>
          <w:szCs w:val="16"/>
          <w:color w:val="auto"/>
        </w:rPr>
        <w:t>The words “execute,” “execution,” “signed,” “signature,”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and L/C Issuers are under no obligation to agree to accept electronic signatures in any form or in any format unless expressly agreed to by the Administrative Agent or such L/C Issuer, as applicable, pursuant to procedures approved by it.</w:t>
      </w:r>
    </w:p>
    <w:p>
      <w:pPr>
        <w:spacing w:after="0" w:line="16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10.18 USA PATRIOT Act Notice</w:t>
      </w:r>
      <w:r>
        <w:rPr>
          <w:rFonts w:ascii="Arial" w:cs="Arial" w:eastAsia="Arial" w:hAnsi="Arial"/>
          <w:sz w:val="17"/>
          <w:szCs w:val="17"/>
          <w:color w:val="auto"/>
        </w:rPr>
        <w:t>. Each Lender that is subject to the Act (as hereinafter defined) and the Administrative Agent (for itself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on behalf of any Lender) hereby notifies the Borrower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Borrower, which information includes the name and address of the Borrower, tax identification number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2"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10.19 Acknowledgement and Consent to Bail-In of </w:t>
      </w:r>
      <w:r>
        <w:rPr>
          <w:rFonts w:ascii="Arial" w:cs="Arial" w:eastAsia="Arial" w:hAnsi="Arial"/>
          <w:sz w:val="18"/>
          <w:szCs w:val="18"/>
          <w:b w:val="1"/>
          <w:bCs w:val="1"/>
          <w:color w:val="FF0000"/>
          <w:strike w:val="1"/>
        </w:rPr>
        <w:t>EEA</w:t>
      </w:r>
      <w:r>
        <w:rPr>
          <w:rFonts w:ascii="Arial" w:cs="Arial" w:eastAsia="Arial" w:hAnsi="Arial"/>
          <w:sz w:val="18"/>
          <w:szCs w:val="18"/>
          <w:b w:val="1"/>
          <w:bCs w:val="1"/>
          <w:u w:val="single" w:color="auto"/>
          <w:color w:val="0000E1"/>
        </w:rPr>
        <w:t>Affected</w:t>
      </w:r>
      <w:r>
        <w:rPr>
          <w:rFonts w:ascii="Arial" w:cs="Arial" w:eastAsia="Arial" w:hAnsi="Arial"/>
          <w:sz w:val="18"/>
          <w:szCs w:val="18"/>
          <w:b w:val="1"/>
          <w:bCs w:val="1"/>
          <w:color w:val="auto"/>
        </w:rPr>
        <w:t xml:space="preserve"> Financial Institutions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Notwithstanding</w:t>
      </w:r>
      <w:r>
        <w:rPr>
          <w:rFonts w:ascii="Arial" w:cs="Arial" w:eastAsia="Arial" w:hAnsi="Arial"/>
          <w:sz w:val="18"/>
          <w:szCs w:val="18"/>
          <w:u w:val="single" w:color="auto"/>
          <w:color w:val="0000E1"/>
        </w:rPr>
        <w:t>Solely to the extent any Lender 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1"/>
        </w:rPr>
        <w:t>L/C Issuer that is an Affected Financial Institution is a party to this Agreement and notwithstanding</w:t>
      </w:r>
      <w:r>
        <w:rPr>
          <w:rFonts w:ascii="Arial" w:cs="Arial" w:eastAsia="Arial" w:hAnsi="Arial"/>
          <w:sz w:val="18"/>
          <w:szCs w:val="18"/>
          <w:color w:val="0000E1"/>
        </w:rPr>
        <w:t xml:space="preserve"> </w:t>
      </w:r>
      <w:r>
        <w:rPr>
          <w:rFonts w:ascii="Arial" w:cs="Arial" w:eastAsia="Arial" w:hAnsi="Arial"/>
          <w:sz w:val="18"/>
          <w:szCs w:val="18"/>
          <w:color w:val="000000"/>
        </w:rPr>
        <w:t>anything to the contrary in any Loan Document or in</w:t>
      </w:r>
      <w:r>
        <w:rPr>
          <w:rFonts w:ascii="Arial" w:cs="Arial" w:eastAsia="Arial" w:hAnsi="Arial"/>
          <w:sz w:val="18"/>
          <w:szCs w:val="18"/>
          <w:color w:val="0000E1"/>
        </w:rPr>
        <w:t xml:space="preserve"> </w:t>
      </w:r>
      <w:r>
        <w:rPr>
          <w:rFonts w:ascii="Arial" w:cs="Arial" w:eastAsia="Arial" w:hAnsi="Arial"/>
          <w:sz w:val="18"/>
          <w:szCs w:val="18"/>
          <w:color w:val="000000"/>
        </w:rPr>
        <w:t xml:space="preserve">any other agreement, arrangement or understanding among any such parties, each party hereto acknowledges that any liability of any Lender </w:t>
      </w:r>
      <w:r>
        <w:rPr>
          <w:rFonts w:ascii="Arial" w:cs="Arial" w:eastAsia="Arial" w:hAnsi="Arial"/>
          <w:sz w:val="18"/>
          <w:szCs w:val="18"/>
          <w:u w:val="single" w:color="auto"/>
          <w:color w:val="0000E1"/>
        </w:rPr>
        <w:t>or L/C</w:t>
      </w:r>
      <w:r>
        <w:rPr>
          <w:rFonts w:ascii="Arial" w:cs="Arial" w:eastAsia="Arial" w:hAnsi="Arial"/>
          <w:sz w:val="18"/>
          <w:szCs w:val="18"/>
          <w:color w:val="000000"/>
        </w:rPr>
        <w:t xml:space="preserve"> </w:t>
      </w:r>
      <w:r>
        <w:rPr>
          <w:rFonts w:ascii="Arial" w:cs="Arial" w:eastAsia="Arial" w:hAnsi="Arial"/>
          <w:sz w:val="18"/>
          <w:szCs w:val="18"/>
          <w:u w:val="single" w:color="auto"/>
          <w:color w:val="0000E1"/>
        </w:rPr>
        <w:t>Issuer</w:t>
      </w:r>
      <w:r>
        <w:rPr>
          <w:rFonts w:ascii="Arial" w:cs="Arial" w:eastAsia="Arial" w:hAnsi="Arial"/>
          <w:sz w:val="18"/>
          <w:szCs w:val="18"/>
          <w:color w:val="0000E1"/>
        </w:rPr>
        <w:t xml:space="preserve"> </w:t>
      </w:r>
      <w:r>
        <w:rPr>
          <w:rFonts w:ascii="Arial" w:cs="Arial" w:eastAsia="Arial" w:hAnsi="Arial"/>
          <w:sz w:val="18"/>
          <w:szCs w:val="18"/>
          <w:color w:val="000000"/>
        </w:rPr>
        <w:t>that is an</w:t>
      </w:r>
      <w:r>
        <w:rPr>
          <w:rFonts w:ascii="Arial" w:cs="Arial" w:eastAsia="Arial" w:hAnsi="Arial"/>
          <w:sz w:val="18"/>
          <w:szCs w:val="18"/>
          <w:color w:val="0000E1"/>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color w:val="0000E1"/>
        </w:rPr>
        <w:t xml:space="preserve"> </w:t>
      </w:r>
      <w:r>
        <w:rPr>
          <w:rFonts w:ascii="Arial" w:cs="Arial" w:eastAsia="Arial" w:hAnsi="Arial"/>
          <w:sz w:val="18"/>
          <w:szCs w:val="18"/>
          <w:color w:val="000000"/>
        </w:rPr>
        <w:t>Financial Institution arising under any Loan Document, to the extent such liability is unsecured, may be subject to the</w:t>
      </w:r>
      <w:r>
        <w:rPr>
          <w:rFonts w:ascii="Arial" w:cs="Arial" w:eastAsia="Arial" w:hAnsi="Arial"/>
          <w:sz w:val="18"/>
          <w:szCs w:val="18"/>
          <w:color w:val="0000E1"/>
        </w:rPr>
        <w:t xml:space="preserve"> </w:t>
      </w:r>
      <w:r>
        <w:rPr>
          <w:rFonts w:ascii="Arial" w:cs="Arial" w:eastAsia="Arial" w:hAnsi="Arial"/>
          <w:sz w:val="18"/>
          <w:szCs w:val="18"/>
          <w:color w:val="FF0000"/>
          <w:strike w:val="1"/>
        </w:rPr>
        <w:t>write-down</w:t>
      </w:r>
      <w:r>
        <w:rPr>
          <w:rFonts w:ascii="Arial" w:cs="Arial" w:eastAsia="Arial" w:hAnsi="Arial"/>
          <w:sz w:val="18"/>
          <w:szCs w:val="18"/>
          <w:u w:val="single" w:color="auto"/>
          <w:color w:val="0000E1"/>
        </w:rPr>
        <w:t>Write-Down</w:t>
      </w:r>
      <w:r>
        <w:rPr>
          <w:rFonts w:ascii="Arial" w:cs="Arial" w:eastAsia="Arial" w:hAnsi="Arial"/>
          <w:sz w:val="18"/>
          <w:szCs w:val="18"/>
          <w:color w:val="FF0000"/>
        </w:rPr>
        <w:t xml:space="preserve"> </w:t>
      </w:r>
      <w:r>
        <w:rPr>
          <w:rFonts w:ascii="Arial" w:cs="Arial" w:eastAsia="Arial" w:hAnsi="Arial"/>
          <w:sz w:val="18"/>
          <w:szCs w:val="18"/>
          <w:color w:val="000000"/>
        </w:rPr>
        <w:t>and</w:t>
      </w:r>
      <w:r>
        <w:rPr>
          <w:rFonts w:ascii="Arial" w:cs="Arial" w:eastAsia="Arial" w:hAnsi="Arial"/>
          <w:sz w:val="18"/>
          <w:szCs w:val="18"/>
          <w:color w:val="FF0000"/>
        </w:rPr>
        <w:t xml:space="preserve"> </w:t>
      </w:r>
      <w:r>
        <w:rPr>
          <w:rFonts w:ascii="Arial" w:cs="Arial" w:eastAsia="Arial" w:hAnsi="Arial"/>
          <w:sz w:val="18"/>
          <w:szCs w:val="18"/>
          <w:color w:val="FF0000"/>
          <w:strike w:val="1"/>
        </w:rPr>
        <w:t>conversion powers of an EEA</w:t>
      </w:r>
      <w:r>
        <w:rPr>
          <w:rFonts w:ascii="Arial" w:cs="Arial" w:eastAsia="Arial" w:hAnsi="Arial"/>
          <w:sz w:val="18"/>
          <w:szCs w:val="18"/>
          <w:u w:val="single" w:color="auto"/>
          <w:color w:val="0000E1"/>
        </w:rPr>
        <w:t>Conversion Powers of 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 and agrees and consents to, and</w:t>
      </w:r>
      <w:r>
        <w:rPr>
          <w:rFonts w:ascii="Arial" w:cs="Arial" w:eastAsia="Arial" w:hAnsi="Arial"/>
          <w:sz w:val="18"/>
          <w:szCs w:val="18"/>
          <w:color w:val="FF0000"/>
        </w:rPr>
        <w:t xml:space="preserve"> </w:t>
      </w:r>
      <w:r>
        <w:rPr>
          <w:rFonts w:ascii="Arial" w:cs="Arial" w:eastAsia="Arial" w:hAnsi="Arial"/>
          <w:sz w:val="18"/>
          <w:szCs w:val="18"/>
          <w:color w:val="000000"/>
        </w:rPr>
        <w:t>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-683260</wp:posOffset>
            </wp:positionV>
            <wp:extent cx="4114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-683260</wp:posOffset>
            </wp:positionV>
            <wp:extent cx="15513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45516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-408940</wp:posOffset>
            </wp:positionV>
            <wp:extent cx="3086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2997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9972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-271780</wp:posOffset>
            </wp:positionV>
            <wp:extent cx="3943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-134620</wp:posOffset>
            </wp:positionV>
            <wp:extent cx="6083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-134620</wp:posOffset>
            </wp:positionV>
            <wp:extent cx="16802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71" w:lineRule="exact"/>
        <w:rPr>
          <w:sz w:val="20"/>
          <w:szCs w:val="20"/>
          <w:color w:val="auto"/>
        </w:rPr>
      </w:pPr>
    </w:p>
    <w:p>
      <w:pPr>
        <w:ind w:right="420" w:firstLine="436"/>
        <w:spacing w:after="0" w:line="277" w:lineRule="auto"/>
        <w:tabs>
          <w:tab w:leader="none" w:pos="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E1"/>
        </w:rPr>
        <w:t>the applicable</w:t>
      </w:r>
      <w:r>
        <w:rPr>
          <w:rFonts w:ascii="Arial" w:cs="Arial" w:eastAsia="Arial" w:hAnsi="Arial"/>
          <w:sz w:val="18"/>
          <w:szCs w:val="18"/>
          <w:color w:val="auto"/>
        </w:rPr>
        <w:t xml:space="preserve"> Resolution Authority to any such liabilities arising hereunder which may be payable to it by any Lender </w:t>
      </w:r>
      <w:r>
        <w:rPr>
          <w:rFonts w:ascii="Arial" w:cs="Arial" w:eastAsia="Arial" w:hAnsi="Arial"/>
          <w:sz w:val="18"/>
          <w:szCs w:val="18"/>
          <w:u w:val="single" w:color="auto"/>
          <w:color w:val="0000E1"/>
        </w:rPr>
        <w:t>or L/C Issuer</w:t>
      </w:r>
      <w:r>
        <w:rPr>
          <w:rFonts w:ascii="Arial" w:cs="Arial" w:eastAsia="Arial" w:hAnsi="Arial"/>
          <w:sz w:val="18"/>
          <w:szCs w:val="18"/>
          <w:color w:val="auto"/>
        </w:rPr>
        <w:t xml:space="preserve">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color w:val="auto"/>
        </w:rPr>
        <w:t xml:space="preserve"> Financial Institution;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680" w:firstLine="419"/>
        <w:spacing w:after="0" w:line="277" w:lineRule="auto"/>
        <w:tabs>
          <w:tab w:leader="none" w:pos="126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color w:val="auto"/>
        </w:rPr>
        <w:t xml:space="preserve"> Financial Institution, its parent undertaking, or a 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-970915</wp:posOffset>
            </wp:positionV>
            <wp:extent cx="643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-833755</wp:posOffset>
            </wp:positionV>
            <wp:extent cx="634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-833755</wp:posOffset>
            </wp:positionV>
            <wp:extent cx="4032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-147955</wp:posOffset>
            </wp:positionV>
            <wp:extent cx="3943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22" w:name="page123"/>
    <w:bookmarkEnd w:id="122"/>
    <w:p>
      <w:pPr>
        <w:ind w:left="44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2" w:lineRule="exact"/>
        <w:rPr>
          <w:sz w:val="20"/>
          <w:szCs w:val="20"/>
          <w:color w:val="auto"/>
        </w:rPr>
      </w:pPr>
    </w:p>
    <w:p>
      <w:pPr>
        <w:ind w:left="440" w:right="1040" w:firstLine="419"/>
        <w:spacing w:after="0" w:line="277" w:lineRule="auto"/>
        <w:tabs>
          <w:tab w:leader="none" w:pos="13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variation of the terms of such liability in connection with the exercise of the </w:t>
      </w:r>
      <w:r>
        <w:rPr>
          <w:rFonts w:ascii="Arial" w:cs="Arial" w:eastAsia="Arial" w:hAnsi="Arial"/>
          <w:sz w:val="18"/>
          <w:szCs w:val="18"/>
          <w:color w:val="FF0000"/>
          <w:strike w:val="1"/>
        </w:rPr>
        <w:t>write-down</w:t>
      </w:r>
      <w:r>
        <w:rPr>
          <w:rFonts w:ascii="Arial" w:cs="Arial" w:eastAsia="Arial" w:hAnsi="Arial"/>
          <w:sz w:val="18"/>
          <w:szCs w:val="18"/>
          <w:u w:val="single" w:color="auto"/>
          <w:color w:val="0000E1"/>
        </w:rPr>
        <w:t>Write-Down</w:t>
      </w:r>
      <w:r>
        <w:rPr>
          <w:rFonts w:ascii="Arial" w:cs="Arial" w:eastAsia="Arial" w:hAnsi="Arial"/>
          <w:sz w:val="18"/>
          <w:szCs w:val="18"/>
          <w:color w:val="auto"/>
        </w:rPr>
        <w:t xml:space="preserve"> and </w:t>
      </w:r>
      <w:r>
        <w:rPr>
          <w:rFonts w:ascii="Arial" w:cs="Arial" w:eastAsia="Arial" w:hAnsi="Arial"/>
          <w:sz w:val="18"/>
          <w:szCs w:val="18"/>
          <w:color w:val="FF0000"/>
          <w:strike w:val="1"/>
        </w:rPr>
        <w:t>conversion</w:t>
      </w:r>
      <w:r>
        <w:rPr>
          <w:rFonts w:ascii="Arial" w:cs="Arial" w:eastAsia="Arial" w:hAnsi="Arial"/>
          <w:sz w:val="18"/>
          <w:szCs w:val="18"/>
          <w:color w:val="auto"/>
        </w:rPr>
        <w:t xml:space="preserve"> </w:t>
      </w:r>
      <w:r>
        <w:rPr>
          <w:rFonts w:ascii="Arial" w:cs="Arial" w:eastAsia="Arial" w:hAnsi="Arial"/>
          <w:sz w:val="18"/>
          <w:szCs w:val="18"/>
          <w:color w:val="FF0000"/>
          <w:strike w:val="1"/>
        </w:rPr>
        <w:t>powers</w:t>
      </w:r>
      <w:r>
        <w:rPr>
          <w:rFonts w:ascii="Arial" w:cs="Arial" w:eastAsia="Arial" w:hAnsi="Arial"/>
          <w:sz w:val="18"/>
          <w:szCs w:val="18"/>
          <w:u w:val="single" w:color="auto"/>
          <w:color w:val="0000E1"/>
        </w:rPr>
        <w:t>Conversion Powers</w:t>
      </w:r>
      <w:r>
        <w:rPr>
          <w:rFonts w:ascii="Arial" w:cs="Arial" w:eastAsia="Arial" w:hAnsi="Arial"/>
          <w:sz w:val="18"/>
          <w:szCs w:val="18"/>
          <w:color w:val="FF0000"/>
        </w:rPr>
        <w:t xml:space="preserve"> </w:t>
      </w:r>
      <w:r>
        <w:rPr>
          <w:rFonts w:ascii="Arial" w:cs="Arial" w:eastAsia="Arial" w:hAnsi="Arial"/>
          <w:sz w:val="18"/>
          <w:szCs w:val="18"/>
          <w:color w:val="000000"/>
        </w:rPr>
        <w:t>of any EEA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-147955</wp:posOffset>
            </wp:positionV>
            <wp:extent cx="57467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-10795</wp:posOffset>
            </wp:positionV>
            <wp:extent cx="8915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46" w:lineRule="exact"/>
        <w:rPr>
          <w:sz w:val="20"/>
          <w:szCs w:val="20"/>
          <w:color w:val="auto"/>
        </w:rPr>
      </w:pPr>
    </w:p>
    <w:p>
      <w:pPr>
        <w:ind w:right="100" w:firstLine="440"/>
        <w:spacing w:after="0" w:line="287" w:lineRule="auto"/>
        <w:rPr>
          <w:sz w:val="20"/>
          <w:szCs w:val="20"/>
          <w:color w:val="auto"/>
        </w:rPr>
      </w:pPr>
      <w:r>
        <w:rPr>
          <w:rFonts w:ascii="Arial" w:cs="Arial" w:eastAsia="Arial" w:hAnsi="Arial"/>
          <w:sz w:val="16"/>
          <w:szCs w:val="16"/>
          <w:b w:val="1"/>
          <w:bCs w:val="1"/>
          <w:color w:val="auto"/>
        </w:rPr>
        <w:t>10.20 Judgment Currency</w:t>
      </w:r>
      <w:r>
        <w:rPr>
          <w:rFonts w:ascii="Arial" w:cs="Arial" w:eastAsia="Arial" w:hAnsi="Arial"/>
          <w:sz w:val="16"/>
          <w:szCs w:val="16"/>
          <w:color w:val="auto"/>
        </w:rPr>
        <w:t>. 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6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u w:val="single" w:color="auto"/>
          <w:color w:val="0000E1"/>
        </w:rPr>
        <w:t>10.21 Acknowledgement Regarding Any Supported QFCs</w:t>
      </w:r>
      <w:r>
        <w:rPr>
          <w:rFonts w:ascii="Arial" w:cs="Arial" w:eastAsia="Arial" w:hAnsi="Arial"/>
          <w:sz w:val="17"/>
          <w:szCs w:val="17"/>
          <w:u w:val="single" w:color="auto"/>
          <w:color w:val="0000E1"/>
        </w:rPr>
        <w:t>. To the extent that the Loan Documents provide support, through a guarantee or</w:t>
      </w:r>
      <w:r>
        <w:rPr>
          <w:rFonts w:ascii="Arial" w:cs="Arial" w:eastAsia="Arial" w:hAnsi="Arial"/>
          <w:sz w:val="17"/>
          <w:szCs w:val="17"/>
          <w:b w:val="1"/>
          <w:bCs w:val="1"/>
          <w:u w:val="single" w:color="auto"/>
          <w:color w:val="0000E1"/>
        </w:rPr>
        <w:t xml:space="preserve"> </w:t>
      </w:r>
      <w:r>
        <w:rPr>
          <w:rFonts w:ascii="Arial" w:cs="Arial" w:eastAsia="Arial" w:hAnsi="Arial"/>
          <w:sz w:val="17"/>
          <w:szCs w:val="17"/>
          <w:u w:val="single" w:color="auto"/>
          <w:color w:val="0000E1"/>
        </w:rPr>
        <w:t>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-830580</wp:posOffset>
            </wp:positionV>
            <wp:extent cx="66008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-693420</wp:posOffset>
            </wp:positionV>
            <wp:extent cx="66776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67551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-419100</wp:posOffset>
            </wp:positionV>
            <wp:extent cx="6943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-281940</wp:posOffset>
            </wp:positionV>
            <wp:extent cx="69519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69519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30429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56" w:lineRule="exact"/>
        <w:rPr>
          <w:sz w:val="20"/>
          <w:szCs w:val="20"/>
          <w:color w:val="auto"/>
        </w:rPr>
      </w:pPr>
    </w:p>
    <w:p>
      <w:pPr>
        <w:ind w:firstLine="436"/>
        <w:spacing w:after="0" w:line="287" w:lineRule="auto"/>
        <w:tabs>
          <w:tab w:leader="none" w:pos="820" w:val="left"/>
        </w:tabs>
        <w:numPr>
          <w:ilvl w:val="0"/>
          <w:numId w:val="170"/>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-1381125</wp:posOffset>
            </wp:positionV>
            <wp:extent cx="64122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-1243965</wp:posOffset>
            </wp:positionV>
            <wp:extent cx="69608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-1106805</wp:posOffset>
            </wp:positionV>
            <wp:extent cx="68319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-969645</wp:posOffset>
            </wp:positionV>
            <wp:extent cx="68065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-832485</wp:posOffset>
            </wp:positionV>
            <wp:extent cx="68751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-695325</wp:posOffset>
            </wp:positionV>
            <wp:extent cx="6934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-558165</wp:posOffset>
            </wp:positionV>
            <wp:extent cx="6540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-421005</wp:posOffset>
            </wp:positionV>
            <wp:extent cx="66948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-283845</wp:posOffset>
            </wp:positionV>
            <wp:extent cx="66948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-146685</wp:posOffset>
            </wp:positionV>
            <wp:extent cx="69862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-9525</wp:posOffset>
            </wp:positionV>
            <wp:extent cx="4963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23" w:name="page124"/>
    <w:bookmarkEnd w:id="123"/>
    <w:p>
      <w:pPr>
        <w:ind w:left="880" w:hanging="444"/>
        <w:spacing w:after="0"/>
        <w:tabs>
          <w:tab w:leader="none" w:pos="880" w:val="left"/>
        </w:tabs>
        <w:numPr>
          <w:ilvl w:val="0"/>
          <w:numId w:val="171"/>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in this Section 10.21, the following terms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9433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97" w:lineRule="exact"/>
        <w:rPr>
          <w:sz w:val="20"/>
          <w:szCs w:val="20"/>
          <w:color w:val="auto"/>
        </w:rPr>
      </w:pPr>
    </w:p>
    <w:p>
      <w:pPr>
        <w:ind w:left="440" w:right="160" w:firstLine="423"/>
        <w:spacing w:after="0" w:line="277" w:lineRule="auto"/>
        <w:rPr>
          <w:sz w:val="20"/>
          <w:szCs w:val="20"/>
          <w:color w:val="auto"/>
        </w:rPr>
      </w:pPr>
      <w:r>
        <w:rPr>
          <w:rFonts w:ascii="Arial" w:cs="Arial" w:eastAsia="Arial" w:hAnsi="Arial"/>
          <w:sz w:val="18"/>
          <w:szCs w:val="18"/>
          <w:u w:val="single" w:color="auto"/>
          <w:color w:val="0000E1"/>
        </w:rPr>
        <w:t>“BHC Act Affiliate” of a party means an “affiliate ” (as such term is defined under, and interpreted in accordance with, 12 U.S.C. 1841(k))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-147955</wp:posOffset>
            </wp:positionV>
            <wp:extent cx="63436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6172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0000E1"/>
        </w:rPr>
        <w:t>“ Covered Entity” means any of the following: (i) a “covered entity” as that term is defined in, and interpreted in accordance with, 12 C.F.R.</w:t>
      </w:r>
    </w:p>
    <w:p>
      <w:pPr>
        <w:spacing w:after="0" w:line="46" w:lineRule="exact"/>
        <w:rPr>
          <w:sz w:val="20"/>
          <w:szCs w:val="20"/>
          <w:color w:val="auto"/>
        </w:rPr>
      </w:pPr>
    </w:p>
    <w:p>
      <w:pPr>
        <w:ind w:left="440" w:right="280" w:hanging="4"/>
        <w:spacing w:after="0" w:line="260" w:lineRule="auto"/>
        <w:tabs>
          <w:tab w:leader="none" w:pos="575" w:val="left"/>
        </w:tabs>
        <w:numPr>
          <w:ilvl w:val="0"/>
          <w:numId w:val="172"/>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252.82(b); (ii) a “covered bank” as that term is defined in, and interpreted in accordance with, 12 C.F.R. § 47.3(b); or (iii) a “covered FSI” as that term is defined in, and interpreted in accordance with, 12 C.F.R. § 382.2(b).</w:t>
      </w:r>
    </w:p>
    <w:p>
      <w:pPr>
        <w:spacing w:after="0" w:line="77" w:lineRule="exact"/>
        <w:rPr>
          <w:rFonts w:ascii="Arial" w:cs="Arial" w:eastAsia="Arial" w:hAnsi="Arial"/>
          <w:sz w:val="18"/>
          <w:szCs w:val="18"/>
          <w:u w:val="single" w:color="auto"/>
          <w:color w:val="0000E1"/>
        </w:rPr>
      </w:pPr>
    </w:p>
    <w:p>
      <w:pPr>
        <w:ind w:left="440" w:firstLine="423"/>
        <w:spacing w:after="0" w:line="277" w:lineRule="auto"/>
        <w:rPr>
          <w:rFonts w:ascii="Arial" w:cs="Arial" w:eastAsia="Arial" w:hAnsi="Arial"/>
          <w:sz w:val="18"/>
          <w:szCs w:val="18"/>
          <w:u w:val="single" w:color="auto"/>
          <w:color w:val="0000E1"/>
        </w:rPr>
      </w:pPr>
      <w:r>
        <w:rPr>
          <w:rFonts w:ascii="Arial" w:cs="Arial" w:eastAsia="Arial" w:hAnsi="Arial"/>
          <w:sz w:val="18"/>
          <w:szCs w:val="18"/>
          <w:u w:val="single" w:color="auto"/>
          <w:color w:val="0000E1"/>
        </w:rPr>
        <w:t>“ Default Right” has the meaning assigned to that term in, and shall be interpreted in accordance with, 12 C.F.R. §§ 252.81, 47.2 or 382.1, as applicable.</w:t>
      </w:r>
    </w:p>
    <w:p>
      <w:pPr>
        <w:spacing w:after="0" w:line="62" w:lineRule="exact"/>
        <w:rPr>
          <w:rFonts w:ascii="Arial" w:cs="Arial" w:eastAsia="Arial" w:hAnsi="Arial"/>
          <w:sz w:val="18"/>
          <w:szCs w:val="18"/>
          <w:u w:val="single" w:color="auto"/>
          <w:color w:val="0000E1"/>
        </w:rPr>
      </w:pPr>
    </w:p>
    <w:p>
      <w:pPr>
        <w:ind w:left="440" w:right="580" w:firstLine="423"/>
        <w:spacing w:after="0" w:line="277" w:lineRule="auto"/>
        <w:rPr>
          <w:rFonts w:ascii="Arial" w:cs="Arial" w:eastAsia="Arial" w:hAnsi="Arial"/>
          <w:sz w:val="18"/>
          <w:szCs w:val="18"/>
          <w:u w:val="single" w:color="auto"/>
          <w:color w:val="0000E1"/>
        </w:rPr>
      </w:pPr>
      <w:r>
        <w:rPr>
          <w:rFonts w:ascii="Arial" w:cs="Arial" w:eastAsia="Arial" w:hAnsi="Arial"/>
          <w:sz w:val="18"/>
          <w:szCs w:val="18"/>
          <w:u w:val="single" w:color="auto"/>
          <w:color w:val="0000E1"/>
        </w:rPr>
        <w:t>“ QFC” has the meaning assigned to the term “qualified financial contract” in, and shall be interpreted in accordance with, 12 U.S.C. 5390(c)(8)(D).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-970915</wp:posOffset>
            </wp:positionV>
            <wp:extent cx="641223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-833755</wp:posOffset>
            </wp:positionV>
            <wp:extent cx="65233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-696595</wp:posOffset>
            </wp:positionV>
            <wp:extent cx="366014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6014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-490855</wp:posOffset>
            </wp:positionV>
            <wp:extent cx="64376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-353695</wp:posOffset>
            </wp:positionV>
            <wp:extent cx="4972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-147955</wp:posOffset>
            </wp:positionV>
            <wp:extent cx="606933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6686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4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u w:val="single" w:color="auto"/>
          <w:color w:val="0000E1"/>
        </w:rPr>
        <w:t>10.22</w:t>
      </w:r>
      <w:r>
        <w:rPr>
          <w:rFonts w:ascii="Arial" w:cs="Arial" w:eastAsia="Arial" w:hAnsi="Arial"/>
          <w:sz w:val="18"/>
          <w:szCs w:val="18"/>
          <w:b w:val="1"/>
          <w:bCs w:val="1"/>
          <w:color w:val="0000E1"/>
        </w:rPr>
        <w:t xml:space="preserve"> </w:t>
      </w:r>
      <w:r>
        <w:rPr>
          <w:rFonts w:ascii="Arial" w:cs="Arial" w:eastAsia="Arial" w:hAnsi="Arial"/>
          <w:sz w:val="18"/>
          <w:szCs w:val="18"/>
          <w:b w:val="1"/>
          <w:bCs w:val="1"/>
          <w:color w:val="FF0000"/>
          <w:strike w:val="1"/>
        </w:rPr>
        <w:t>10.21</w:t>
      </w:r>
      <w:r>
        <w:rPr>
          <w:rFonts w:ascii="Arial" w:cs="Arial" w:eastAsia="Arial" w:hAnsi="Arial"/>
          <w:sz w:val="18"/>
          <w:szCs w:val="18"/>
          <w:b w:val="1"/>
          <w:bCs w:val="1"/>
          <w:color w:val="0000E1"/>
        </w:rPr>
        <w:t xml:space="preserve"> </w:t>
      </w:r>
      <w:r>
        <w:rPr>
          <w:rFonts w:ascii="Arial" w:cs="Arial" w:eastAsia="Arial" w:hAnsi="Arial"/>
          <w:sz w:val="18"/>
          <w:szCs w:val="18"/>
          <w:b w:val="1"/>
          <w:bCs w:val="1"/>
          <w:color w:val="000000"/>
        </w:rPr>
        <w:t>ENTIRE AGREEMENT. THIS AGREEMENT AND THE OTHER LOAN DOCUMENTS REPRESENT THE FINAL</w:t>
      </w:r>
      <w:r>
        <w:rPr>
          <w:rFonts w:ascii="Arial" w:cs="Arial" w:eastAsia="Arial" w:hAnsi="Arial"/>
          <w:sz w:val="18"/>
          <w:szCs w:val="18"/>
          <w:b w:val="1"/>
          <w:bCs w:val="1"/>
          <w:color w:val="0000E1"/>
        </w:rPr>
        <w:t xml:space="preserve"> </w:t>
      </w:r>
      <w:r>
        <w:rPr>
          <w:rFonts w:ascii="Arial" w:cs="Arial" w:eastAsia="Arial" w:hAnsi="Arial"/>
          <w:sz w:val="18"/>
          <w:szCs w:val="18"/>
          <w:b w:val="1"/>
          <w:bCs w:val="1"/>
          <w:color w:val="000000"/>
        </w:rPr>
        <w:t>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2571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is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101250789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129624357_3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54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24" w:name="page125"/>
    <w:bookmarkEnd w:id="124"/>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B</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Exhibit D – Form of Compliance Certificate</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0019"/>
          </w:cols>
          <w:pgMar w:left="440" w:top="270"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7920"/>
        <w:spacing w:after="0"/>
        <w:tabs>
          <w:tab w:leader="none" w:pos="10360" w:val="left"/>
        </w:tabs>
        <w:rPr>
          <w:sz w:val="20"/>
          <w:szCs w:val="20"/>
          <w:color w:val="auto"/>
        </w:rPr>
      </w:pPr>
      <w:r>
        <w:rPr>
          <w:rFonts w:ascii="Arial" w:cs="Arial" w:eastAsia="Arial" w:hAnsi="Arial"/>
          <w:sz w:val="18"/>
          <w:szCs w:val="18"/>
          <w:color w:val="auto"/>
        </w:rPr>
        <w:t>Financial Statement Date: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-10160</wp:posOffset>
            </wp:positionV>
            <wp:extent cx="7423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Reference is made to that certain Credit Agreement, dated as of June 8, 2018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Republic Services,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an L/C Issuer and Swing Line Lender.</w:t>
      </w:r>
    </w:p>
    <w:p>
      <w:pPr>
        <w:spacing w:after="0" w:line="187" w:lineRule="exact"/>
        <w:rPr>
          <w:sz w:val="20"/>
          <w:szCs w:val="20"/>
          <w:color w:val="auto"/>
        </w:rPr>
      </w:pPr>
    </w:p>
    <w:p>
      <w:pPr>
        <w:ind w:left="440"/>
        <w:spacing w:after="0"/>
        <w:tabs>
          <w:tab w:leader="none" w:pos="8900" w:val="left"/>
        </w:tabs>
        <w:rPr>
          <w:sz w:val="20"/>
          <w:szCs w:val="20"/>
          <w:color w:val="auto"/>
        </w:rPr>
      </w:pPr>
      <w:r>
        <w:rPr>
          <w:rFonts w:ascii="Arial" w:cs="Arial" w:eastAsia="Arial" w:hAnsi="Arial"/>
          <w:sz w:val="18"/>
          <w:szCs w:val="18"/>
          <w:color w:val="auto"/>
        </w:rPr>
        <w:t>The undersigned Responsible Officer hereby certifies as of the date hereof that he/she is the</w:t>
      </w:r>
      <w:r>
        <w:rPr>
          <w:sz w:val="20"/>
          <w:szCs w:val="20"/>
          <w:color w:val="auto"/>
        </w:rPr>
        <w:tab/>
      </w:r>
      <w:r>
        <w:rPr>
          <w:rFonts w:ascii="Arial" w:cs="Arial" w:eastAsia="Arial" w:hAnsi="Arial"/>
          <w:sz w:val="16"/>
          <w:szCs w:val="16"/>
          <w:color w:val="auto"/>
        </w:rPr>
        <w:t>of the Borrower, and that,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-10160</wp:posOffset>
            </wp:positionV>
            <wp:extent cx="11423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such, he/she is authorized to execute and deliver this Certificate to the Administrative Agent on behalf of the Borrower, and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225" w:lineRule="exact"/>
        <w:rPr>
          <w:sz w:val="20"/>
          <w:szCs w:val="20"/>
          <w:color w:val="auto"/>
        </w:rPr>
      </w:pPr>
    </w:p>
    <w:p>
      <w:pPr>
        <w:ind w:right="180" w:firstLine="436"/>
        <w:spacing w:after="0" w:line="308" w:lineRule="auto"/>
        <w:tabs>
          <w:tab w:leader="none" w:pos="75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The Borrower has delivered the year-end audited financial statements required by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Agreement for the fiscal year of the Borrower ended as of the above date, together with the report of an independent certified public accountant required by such section.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quarter-end</w:t>
      </w:r>
      <w:r>
        <w:rPr>
          <w:rFonts w:ascii="Arial" w:cs="Arial" w:eastAsia="Arial" w:hAnsi="Arial"/>
          <w:sz w:val="18"/>
          <w:szCs w:val="18"/>
          <w:i w:val="1"/>
          <w:iCs w:val="1"/>
          <w:color w:val="auto"/>
        </w:rPr>
        <w:t xml:space="preserve"> financial statements]</w:t>
      </w:r>
    </w:p>
    <w:p>
      <w:pPr>
        <w:spacing w:after="0" w:line="225" w:lineRule="exact"/>
        <w:rPr>
          <w:sz w:val="20"/>
          <w:szCs w:val="20"/>
          <w:color w:val="auto"/>
        </w:rPr>
      </w:pPr>
    </w:p>
    <w:p>
      <w:pPr>
        <w:ind w:right="140" w:firstLine="436"/>
        <w:spacing w:after="0" w:line="259" w:lineRule="auto"/>
        <w:tabs>
          <w:tab w:leader="none" w:pos="7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Borrower has delivered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Agreement for the fiscal quarter of the Borrower ended as of the above date. Such financial statements fairly present, in accordance with GAAP (subject to the absence of footnotes and to ordinary, good faith year-end audit adjustments), the financial position and the results of operations of the Borrower and its Subsidiaries as of such date and for such period.</w:t>
      </w:r>
    </w:p>
    <w:p>
      <w:pPr>
        <w:spacing w:after="0" w:line="186" w:lineRule="exact"/>
        <w:rPr>
          <w:rFonts w:ascii="Arial" w:cs="Arial" w:eastAsia="Arial" w:hAnsi="Arial"/>
          <w:sz w:val="18"/>
          <w:szCs w:val="18"/>
          <w:color w:val="auto"/>
        </w:rPr>
      </w:pPr>
    </w:p>
    <w:p>
      <w:pPr>
        <w:ind w:right="220" w:firstLine="436"/>
        <w:spacing w:after="0" w:line="263" w:lineRule="auto"/>
        <w:tabs>
          <w:tab w:leader="none" w:pos="7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Agreement and has made, or has caused to be made under his/her supervision, a detailed review of the transactions and condition (financial or otherwise) of the Borrower during the accounting period covered by such financial statements.</w:t>
      </w:r>
    </w:p>
    <w:p>
      <w:pPr>
        <w:spacing w:after="0" w:line="183" w:lineRule="exact"/>
        <w:rPr>
          <w:rFonts w:ascii="Arial" w:cs="Arial" w:eastAsia="Arial" w:hAnsi="Arial"/>
          <w:sz w:val="18"/>
          <w:szCs w:val="18"/>
          <w:color w:val="auto"/>
        </w:rPr>
      </w:pPr>
    </w:p>
    <w:p>
      <w:pPr>
        <w:ind w:right="280" w:firstLine="436"/>
        <w:spacing w:after="0" w:line="308" w:lineRule="auto"/>
        <w:tabs>
          <w:tab w:leader="none" w:pos="74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[select one:]</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[to the best knowledge of the undersigned, during such fiscal period, the Borrower performed and observed each covenant and condition of the Loan Documents applicable to it, and no Default has occurred and is continuing.]</w:t>
      </w:r>
    </w:p>
    <w:p>
      <w:pPr>
        <w:spacing w:after="0" w:line="170"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--or--</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1020"/>
          </w:cols>
          <w:pgMar w:left="440" w:top="270" w:right="439" w:bottom="1440" w:gutter="0" w:footer="0" w:header="0"/>
        </w:sectPr>
      </w:pPr>
    </w:p>
    <w:bookmarkStart w:id="126" w:name="page127"/>
    <w:bookmarkEnd w:id="126"/>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best knowledge of the undersigned, during such fiscal period the following covenants or conditions have not been performed or observed and the following is a list of each such Default and its nature and status:]</w:t>
      </w:r>
    </w:p>
    <w:p>
      <w:pPr>
        <w:spacing w:after="0" w:line="170" w:lineRule="exact"/>
        <w:rPr>
          <w:sz w:val="20"/>
          <w:szCs w:val="20"/>
          <w:color w:val="auto"/>
        </w:rPr>
      </w:pPr>
    </w:p>
    <w:p>
      <w:pPr>
        <w:ind w:firstLine="436"/>
        <w:spacing w:after="0" w:line="273" w:lineRule="auto"/>
        <w:tabs>
          <w:tab w:leader="none" w:pos="75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Agreement, and any representations and warranties of the Borrower that are contained in any Loan Document or other document furnished at any time under or in connection with the Loan Documents, are true and correct on and as of the date hereof, except to the extent that such representations and warranties specifically refer to an earlier date, in which case they are true and correct as of such earlier date, and except that for purposes of this Certificate, the representations and warranties contained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of the Agreement shall be deemed to refer to the most recent statements furnished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Agreement, including the statements in connection with which this Certificate is delivered.</w:t>
      </w:r>
    </w:p>
    <w:p>
      <w:pPr>
        <w:spacing w:after="0" w:line="177" w:lineRule="exact"/>
        <w:rPr>
          <w:rFonts w:ascii="Arial" w:cs="Arial" w:eastAsia="Arial" w:hAnsi="Arial"/>
          <w:sz w:val="17"/>
          <w:szCs w:val="17"/>
          <w:color w:val="auto"/>
        </w:rPr>
      </w:pPr>
    </w:p>
    <w:p>
      <w:pPr>
        <w:ind w:right="340" w:firstLine="436"/>
        <w:spacing w:after="0" w:line="277" w:lineRule="auto"/>
        <w:tabs>
          <w:tab w:leader="none" w:pos="7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The financial covenant analyses and information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are true and accurate on and as of the date of this Certificate.</w:t>
      </w:r>
    </w:p>
    <w:p>
      <w:pPr>
        <w:spacing w:after="0" w:line="170" w:lineRule="exact"/>
        <w:rPr>
          <w:sz w:val="20"/>
          <w:szCs w:val="20"/>
          <w:color w:val="auto"/>
        </w:rPr>
      </w:pPr>
    </w:p>
    <w:p>
      <w:pPr>
        <w:ind w:left="440"/>
        <w:spacing w:after="0"/>
        <w:tabs>
          <w:tab w:leader="none" w:pos="6900" w:val="left"/>
          <w:tab w:leader="none" w:pos="7540" w:val="left"/>
        </w:tabs>
        <w:rPr>
          <w:sz w:val="20"/>
          <w:szCs w:val="20"/>
          <w:color w:val="auto"/>
        </w:rPr>
      </w:pPr>
      <w:r>
        <w:rPr>
          <w:rFonts w:ascii="Arial" w:cs="Arial" w:eastAsia="Arial" w:hAnsi="Arial"/>
          <w:sz w:val="18"/>
          <w:szCs w:val="18"/>
          <w:i w:val="1"/>
          <w:iCs w:val="1"/>
          <w:color w:val="auto"/>
        </w:rPr>
        <w:t>IN WITNESS WHEREOF</w:t>
      </w:r>
      <w:r>
        <w:rPr>
          <w:rFonts w:ascii="Arial" w:cs="Arial" w:eastAsia="Arial" w:hAnsi="Arial"/>
          <w:sz w:val="18"/>
          <w:szCs w:val="18"/>
          <w:color w:val="auto"/>
        </w:rPr>
        <w:t>, the undersigned has executed this Certificate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-10160</wp:posOffset>
            </wp:positionV>
            <wp:extent cx="9709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REPUBLIC SERVICES,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1000"/>
          </w:cols>
          <w:pgMar w:left="440" w:top="274" w:right="459" w:bottom="1440" w:gutter="0" w:footer="0" w:header="0"/>
        </w:sectPr>
      </w:pPr>
    </w:p>
    <w:bookmarkStart w:id="127" w:name="page128"/>
    <w:bookmarkEnd w:id="127"/>
    <w:p>
      <w:pPr>
        <w:jc w:val="right"/>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Quarter/Year ended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Statement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-10160</wp:posOffset>
            </wp:positionV>
            <wp:extent cx="19710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to the Compliance Certificate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in 000’s)</w:t>
      </w:r>
    </w:p>
    <w:p>
      <w:pPr>
        <w:spacing w:after="0" w:line="238" w:lineRule="exact"/>
        <w:rPr>
          <w:sz w:val="20"/>
          <w:szCs w:val="20"/>
          <w:color w:val="auto"/>
        </w:rPr>
      </w:pPr>
    </w:p>
    <w:p>
      <w:pPr>
        <w:ind w:left="724" w:hanging="724"/>
        <w:spacing w:after="0"/>
        <w:tabs>
          <w:tab w:leader="none" w:pos="724"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Subsection 7.01(a): Consolidated Interest Coverage Ratio</w:t>
      </w:r>
    </w:p>
    <w:p>
      <w:pPr>
        <w:spacing w:after="0" w:line="225" w:lineRule="exact"/>
        <w:rPr>
          <w:sz w:val="20"/>
          <w:szCs w:val="20"/>
          <w:color w:val="auto"/>
        </w:rPr>
      </w:pPr>
    </w:p>
    <w:p>
      <w:pPr>
        <w:ind w:left="1264" w:hanging="535"/>
        <w:spacing w:after="0"/>
        <w:tabs>
          <w:tab w:leader="none" w:pos="126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Consolidated EBITDA for Computation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6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6680" w:type="dxa"/>
            <w:vAlign w:val="bottom"/>
          </w:tcPr>
          <w:p>
            <w:pPr>
              <w:ind w:left="160"/>
              <w:spacing w:after="0"/>
              <w:rPr>
                <w:sz w:val="20"/>
                <w:szCs w:val="20"/>
                <w:color w:val="auto"/>
              </w:rPr>
            </w:pPr>
            <w:r>
              <w:rPr>
                <w:rFonts w:ascii="Arial" w:cs="Arial" w:eastAsia="Arial" w:hAnsi="Arial"/>
                <w:sz w:val="18"/>
                <w:szCs w:val="18"/>
                <w:color w:val="auto"/>
              </w:rPr>
              <w:t>Consolidated Net Income for Computation Period:</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16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w:t>
            </w:r>
          </w:p>
        </w:tc>
        <w:tc>
          <w:tcPr>
            <w:tcW w:w="66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Consolidated Interest Expense for Computation Period:</w:t>
            </w:r>
          </w:p>
        </w:tc>
        <w:tc>
          <w:tcPr>
            <w:tcW w:w="206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164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(3)</w:t>
            </w:r>
          </w:p>
        </w:tc>
        <w:tc>
          <w:tcPr>
            <w:tcW w:w="66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taxes on income for Computation Period:</w:t>
            </w:r>
          </w:p>
        </w:tc>
        <w:tc>
          <w:tcPr>
            <w:tcW w:w="206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1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16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(4)</w:t>
            </w:r>
          </w:p>
        </w:tc>
        <w:tc>
          <w:tcPr>
            <w:tcW w:w="66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depreciation, amortization and depletion for Computation Period:</w:t>
            </w:r>
          </w:p>
        </w:tc>
        <w:tc>
          <w:tcPr>
            <w:tcW w:w="206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164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(5)</w:t>
            </w:r>
          </w:p>
        </w:tc>
        <w:tc>
          <w:tcPr>
            <w:tcW w:w="66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accretion for Computation Period:</w:t>
            </w:r>
          </w:p>
        </w:tc>
        <w:tc>
          <w:tcPr>
            <w:tcW w:w="206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
        </w:trPr>
        <w:tc>
          <w:tcPr>
            <w:tcW w:w="1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6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(6)</w:t>
            </w:r>
          </w:p>
        </w:tc>
        <w:tc>
          <w:tcPr>
            <w:tcW w:w="66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loss on extinguishment of Indebtedness for Computation Period:</w:t>
            </w:r>
          </w:p>
        </w:tc>
        <w:tc>
          <w:tcPr>
            <w:tcW w:w="206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
        </w:trPr>
        <w:tc>
          <w:tcPr>
            <w:tcW w:w="164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ind w:left="1804" w:hanging="535"/>
        <w:spacing w:after="0"/>
        <w:tabs>
          <w:tab w:leader="none" w:pos="18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non-cash charges incurred with respect to Borrower’s withdrawal liabilities disclosed on </w:t>
      </w:r>
      <w:r>
        <w:rPr>
          <w:rFonts w:ascii="Arial" w:cs="Arial" w:eastAsia="Arial" w:hAnsi="Arial"/>
          <w:sz w:val="18"/>
          <w:szCs w:val="18"/>
          <w:u w:val="single" w:color="auto"/>
          <w:color w:val="auto"/>
        </w:rPr>
        <w:t>Schedule 5.07</w:t>
      </w:r>
      <w:r>
        <w:rPr>
          <w:rFonts w:ascii="Arial" w:cs="Arial" w:eastAsia="Arial" w:hAnsi="Arial"/>
          <w:sz w:val="18"/>
          <w:szCs w:val="18"/>
          <w:color w:val="auto"/>
        </w:rPr>
        <w:t xml:space="preserv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117475</wp:posOffset>
            </wp:positionV>
            <wp:extent cx="3429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1" w:lineRule="exact"/>
        <w:rPr>
          <w:sz w:val="20"/>
          <w:szCs w:val="20"/>
          <w:color w:val="auto"/>
        </w:rPr>
      </w:pPr>
    </w:p>
    <w:p>
      <w:pPr>
        <w:ind w:left="1804" w:hanging="535"/>
        <w:spacing w:after="0"/>
        <w:tabs>
          <w:tab w:leader="none" w:pos="18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non-cash write-downs or write-offs of assets, including non-cash losses on the sale of assets outside the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274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9"/>
        </w:trPr>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60" w:type="dxa"/>
            <w:vAlign w:val="bottom"/>
          </w:tcPr>
          <w:p>
            <w:pPr>
              <w:ind w:left="340"/>
              <w:spacing w:after="0" w:line="199" w:lineRule="exact"/>
              <w:rPr>
                <w:sz w:val="20"/>
                <w:szCs w:val="20"/>
                <w:color w:val="auto"/>
              </w:rPr>
            </w:pPr>
            <w:r>
              <w:rPr>
                <w:rFonts w:ascii="Arial" w:cs="Arial" w:eastAsia="Arial" w:hAnsi="Arial"/>
                <w:sz w:val="18"/>
                <w:szCs w:val="18"/>
                <w:color w:val="auto"/>
              </w:rPr>
              <w:t>course of business:</w:t>
            </w:r>
          </w:p>
        </w:tc>
        <w:tc>
          <w:tcPr>
            <w:tcW w:w="2680" w:type="dxa"/>
            <w:vAlign w:val="bottom"/>
          </w:tcPr>
          <w:p>
            <w:pPr>
              <w:jc w:val="right"/>
              <w:ind w:right="70"/>
              <w:spacing w:after="0" w:line="199"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0" w:type="dxa"/>
            <w:vAlign w:val="bottom"/>
          </w:tcPr>
          <w:p>
            <w:pPr>
              <w:ind w:left="180"/>
              <w:spacing w:after="0" w:line="196" w:lineRule="exact"/>
              <w:rPr>
                <w:sz w:val="20"/>
                <w:szCs w:val="20"/>
                <w:color w:val="auto"/>
              </w:rPr>
            </w:pPr>
            <w:r>
              <w:rPr>
                <w:rFonts w:ascii="Arial" w:cs="Arial" w:eastAsia="Arial" w:hAnsi="Arial"/>
                <w:sz w:val="18"/>
                <w:szCs w:val="18"/>
                <w:color w:val="auto"/>
              </w:rPr>
              <w:t>(9)</w:t>
            </w:r>
          </w:p>
        </w:tc>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Lines I.A.(1)+(2)+(3)+(4)+(5)+(6)+(7)+(8):</w:t>
            </w:r>
          </w:p>
        </w:tc>
        <w:tc>
          <w:tcPr>
            <w:tcW w:w="26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080" w:type="dxa"/>
            <w:vAlign w:val="bottom"/>
            <w:tcBorders>
              <w:bottom w:val="single" w:sz="8" w:color="CCEEFF"/>
            </w:tcBorders>
            <w:shd w:val="clear" w:color="auto" w:fill="CCEEFF"/>
          </w:tcPr>
          <w:p>
            <w:pPr>
              <w:ind w:left="720"/>
              <w:spacing w:after="0" w:line="176" w:lineRule="exact"/>
              <w:rPr>
                <w:sz w:val="20"/>
                <w:szCs w:val="20"/>
                <w:color w:val="auto"/>
              </w:rPr>
            </w:pPr>
            <w:r>
              <w:rPr>
                <w:rFonts w:ascii="Arial" w:cs="Arial" w:eastAsia="Arial" w:hAnsi="Arial"/>
                <w:sz w:val="18"/>
                <w:szCs w:val="18"/>
                <w:color w:val="auto"/>
              </w:rPr>
              <w:t>B.</w:t>
            </w:r>
          </w:p>
        </w:tc>
        <w:tc>
          <w:tcPr>
            <w:tcW w:w="662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Consolidated Interest Expense for Computation Period:</w:t>
            </w:r>
          </w:p>
        </w:tc>
        <w:tc>
          <w:tcPr>
            <w:tcW w:w="268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
        </w:trPr>
        <w:tc>
          <w:tcPr>
            <w:tcW w:w="10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724"/>
        <w:spacing w:after="0"/>
        <w:tabs>
          <w:tab w:leader="none" w:pos="1244" w:val="left"/>
          <w:tab w:leader="none" w:pos="10444"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Line I.A.(9) divided by Line I.B.:</w:t>
      </w:r>
      <w:r>
        <w:rPr>
          <w:sz w:val="20"/>
          <w:szCs w:val="20"/>
          <w:color w:val="auto"/>
        </w:rPr>
        <w:tab/>
      </w:r>
      <w:r>
        <w:rPr>
          <w:rFonts w:ascii="Arial" w:cs="Arial" w:eastAsia="Arial" w:hAnsi="Arial"/>
          <w:sz w:val="16"/>
          <w:szCs w:val="16"/>
          <w:color w:val="auto"/>
        </w:rPr>
        <w:t>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6500495</wp:posOffset>
            </wp:positionH>
            <wp:positionV relativeFrom="paragraph">
              <wp:posOffset>-10160</wp:posOffset>
            </wp:positionV>
            <wp:extent cx="1143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1264"/>
        <w:spacing w:after="0"/>
        <w:rPr>
          <w:sz w:val="20"/>
          <w:szCs w:val="20"/>
          <w:color w:val="auto"/>
        </w:rPr>
      </w:pPr>
      <w:r>
        <w:rPr>
          <w:rFonts w:ascii="Arial" w:cs="Arial" w:eastAsia="Arial" w:hAnsi="Arial"/>
          <w:sz w:val="18"/>
          <w:szCs w:val="18"/>
          <w:color w:val="auto"/>
        </w:rPr>
        <w:t>(Line I.C. must not be less than 3.00 to 1.00)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129661568_3</w:t>
      </w:r>
    </w:p>
    <w:p>
      <w:pPr>
        <w:sectPr>
          <w:pgSz w:w="11900" w:h="16838" w:orient="portrait"/>
          <w:cols w:equalWidth="0" w:num="1">
            <w:col w:w="11024"/>
          </w:cols>
          <w:pgMar w:left="436" w:top="274" w:right="439" w:bottom="1440" w:gutter="0" w:footer="0" w:header="0"/>
        </w:sectPr>
      </w:pPr>
    </w:p>
    <w:bookmarkStart w:id="128" w:name="page129"/>
    <w:bookmarkEnd w:id="128"/>
    <w:p>
      <w:pPr>
        <w:ind w:left="724" w:hanging="724"/>
        <w:spacing w:after="0"/>
        <w:tabs>
          <w:tab w:leader="none" w:pos="724"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Subsection 7.01(b): Total Debt to EBITDA Ratio</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32"/>
        </w:trPr>
        <w:tc>
          <w:tcPr>
            <w:tcW w:w="1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w:t>
            </w:r>
          </w:p>
        </w:tc>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as of last day of Computation Period:</w:t>
            </w:r>
          </w:p>
        </w:tc>
        <w:tc>
          <w:tcPr>
            <w:tcW w:w="2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83"/>
        </w:trPr>
        <w:tc>
          <w:tcPr>
            <w:tcW w:w="108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B.</w:t>
            </w:r>
          </w:p>
        </w:tc>
        <w:tc>
          <w:tcPr>
            <w:tcW w:w="65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Restricted Cash as of last day of Computation Period:</w:t>
            </w:r>
          </w:p>
        </w:tc>
        <w:tc>
          <w:tcPr>
            <w:tcW w:w="274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21" w:lineRule="exact"/>
        <w:rPr>
          <w:sz w:val="20"/>
          <w:szCs w:val="20"/>
          <w:color w:val="auto"/>
        </w:rPr>
      </w:pPr>
    </w:p>
    <w:p>
      <w:pPr>
        <w:jc w:val="center"/>
        <w:ind w:left="1444" w:right="1300" w:hanging="715"/>
        <w:spacing w:after="0" w:line="291" w:lineRule="auto"/>
        <w:tabs>
          <w:tab w:leader="none" w:pos="126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Outstanding tax-exempt bonds that are included in Total Debt and that are held by the Borrower or a Subsidiary as an Investment included on the balance sheet of the Borrower or a Subsidiary pending the remarketing or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6995160" cy="4114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p>
      <w:pPr>
        <w:ind w:left="1444"/>
        <w:spacing w:after="0"/>
        <w:rPr>
          <w:sz w:val="20"/>
          <w:szCs w:val="20"/>
          <w:color w:val="auto"/>
        </w:rPr>
      </w:pPr>
      <w:r>
        <w:rPr>
          <w:rFonts w:ascii="Arial" w:cs="Arial" w:eastAsia="Arial" w:hAnsi="Arial"/>
          <w:sz w:val="16"/>
          <w:szCs w:val="16"/>
          <w:color w:val="auto"/>
        </w:rPr>
        <w:t>thereof as of the last day of the Computation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160" w:lineRule="exact"/>
        <w:rPr>
          <w:sz w:val="20"/>
          <w:szCs w:val="20"/>
          <w:color w:val="auto"/>
        </w:rPr>
      </w:pPr>
    </w:p>
    <w:p>
      <w:pPr>
        <w:sectPr>
          <w:pgSz w:w="11900" w:h="16838" w:orient="portrait"/>
          <w:cols w:equalWidth="0" w:num="2">
            <w:col w:w="9424" w:space="720"/>
            <w:col w:w="880"/>
          </w:cols>
          <w:pgMar w:left="436" w:top="274" w:right="439" w:bottom="1440" w:gutter="0" w:footer="0" w:header="0"/>
          <w:type w:val="continuous"/>
        </w:sectPr>
      </w:pPr>
    </w:p>
    <w:p>
      <w:pPr>
        <w:ind w:left="724"/>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Line II.A. minus Line II.B. minus Line II.C: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25400</wp:posOffset>
            </wp:positionV>
            <wp:extent cx="3429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3">
            <w:col w:w="904" w:space="360"/>
            <w:col w:w="8160" w:space="720"/>
            <w:col w:w="880"/>
          </w:cols>
          <w:pgMar w:left="436" w:top="274" w:right="439" w:bottom="1440" w:gutter="0" w:footer="0" w:header="0"/>
          <w:type w:val="continuous"/>
        </w:sectPr>
      </w:pPr>
    </w:p>
    <w:p>
      <w:pPr>
        <w:ind w:left="1264" w:hanging="535"/>
        <w:spacing w:after="0"/>
        <w:tabs>
          <w:tab w:leader="none" w:pos="12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Consolidated EBITDA for Computation Period</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6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6680" w:type="dxa"/>
            <w:vAlign w:val="bottom"/>
          </w:tcPr>
          <w:p>
            <w:pPr>
              <w:ind w:left="160"/>
              <w:spacing w:after="0"/>
              <w:rPr>
                <w:sz w:val="20"/>
                <w:szCs w:val="20"/>
                <w:color w:val="auto"/>
              </w:rPr>
            </w:pPr>
            <w:r>
              <w:rPr>
                <w:rFonts w:ascii="Arial" w:cs="Arial" w:eastAsia="Arial" w:hAnsi="Arial"/>
                <w:sz w:val="18"/>
                <w:szCs w:val="18"/>
                <w:color w:val="auto"/>
              </w:rPr>
              <w:t>Consolidated Net Income for Computation Period:</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16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w:t>
            </w:r>
          </w:p>
        </w:tc>
        <w:tc>
          <w:tcPr>
            <w:tcW w:w="66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Consolidated Interest Expense for Computation Period:</w:t>
            </w:r>
          </w:p>
        </w:tc>
        <w:tc>
          <w:tcPr>
            <w:tcW w:w="206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64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(3)</w:t>
            </w:r>
          </w:p>
        </w:tc>
        <w:tc>
          <w:tcPr>
            <w:tcW w:w="66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taxes on income for Computation Period:</w:t>
            </w:r>
          </w:p>
        </w:tc>
        <w:tc>
          <w:tcPr>
            <w:tcW w:w="206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
        </w:trPr>
        <w:tc>
          <w:tcPr>
            <w:tcW w:w="1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16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(4)</w:t>
            </w:r>
          </w:p>
        </w:tc>
        <w:tc>
          <w:tcPr>
            <w:tcW w:w="66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depreciation, amortization and depletion for Computation Period:</w:t>
            </w:r>
          </w:p>
        </w:tc>
        <w:tc>
          <w:tcPr>
            <w:tcW w:w="206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164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(5)</w:t>
            </w:r>
          </w:p>
        </w:tc>
        <w:tc>
          <w:tcPr>
            <w:tcW w:w="66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accretion for Computation Period:</w:t>
            </w:r>
          </w:p>
        </w:tc>
        <w:tc>
          <w:tcPr>
            <w:tcW w:w="2060" w:type="dxa"/>
            <w:vAlign w:val="bottom"/>
            <w:tcBorders>
              <w:top w:val="single" w:sz="8" w:color="CCEEFF"/>
            </w:tcBorders>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1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6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(6)</w:t>
            </w:r>
          </w:p>
        </w:tc>
        <w:tc>
          <w:tcPr>
            <w:tcW w:w="66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loss on extinguishment of Indebtedness for Computation Period:</w:t>
            </w:r>
          </w:p>
        </w:tc>
        <w:tc>
          <w:tcPr>
            <w:tcW w:w="206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ind w:left="1804" w:hanging="535"/>
        <w:spacing w:after="0"/>
        <w:tabs>
          <w:tab w:leader="none" w:pos="18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non-cash charges incurred with respect to Borrower’s withdrawal liabilities disclosed on </w:t>
      </w:r>
      <w:r>
        <w:rPr>
          <w:rFonts w:ascii="Arial" w:cs="Arial" w:eastAsia="Arial" w:hAnsi="Arial"/>
          <w:sz w:val="18"/>
          <w:szCs w:val="18"/>
          <w:u w:val="single" w:color="auto"/>
          <w:color w:val="auto"/>
        </w:rPr>
        <w:t>Schedule 5.07</w:t>
      </w:r>
      <w:r>
        <w:rPr>
          <w:rFonts w:ascii="Arial" w:cs="Arial" w:eastAsia="Arial" w:hAnsi="Arial"/>
          <w:sz w:val="18"/>
          <w:szCs w:val="18"/>
          <w:color w:val="auto"/>
        </w:rPr>
        <w:t xml:space="preserv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117475</wp:posOffset>
            </wp:positionV>
            <wp:extent cx="3429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1" w:lineRule="exact"/>
        <w:rPr>
          <w:sz w:val="20"/>
          <w:szCs w:val="20"/>
          <w:color w:val="auto"/>
        </w:rPr>
      </w:pPr>
    </w:p>
    <w:p>
      <w:pPr>
        <w:ind w:left="1804" w:hanging="535"/>
        <w:spacing w:after="0"/>
        <w:tabs>
          <w:tab w:leader="none" w:pos="180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non-cash write-downs or write-offs of assets, including non-cash losses on the sale of assets outside the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274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9"/>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20" w:type="dxa"/>
            <w:vAlign w:val="bottom"/>
            <w:gridSpan w:val="3"/>
          </w:tcPr>
          <w:p>
            <w:pPr>
              <w:ind w:left="340"/>
              <w:spacing w:after="0" w:line="199" w:lineRule="exact"/>
              <w:rPr>
                <w:sz w:val="20"/>
                <w:szCs w:val="20"/>
                <w:color w:val="auto"/>
              </w:rPr>
            </w:pPr>
            <w:r>
              <w:rPr>
                <w:rFonts w:ascii="Arial" w:cs="Arial" w:eastAsia="Arial" w:hAnsi="Arial"/>
                <w:sz w:val="18"/>
                <w:szCs w:val="18"/>
                <w:color w:val="auto"/>
              </w:rPr>
              <w:t>course of business:</w:t>
            </w: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80" w:type="dxa"/>
            <w:vAlign w:val="bottom"/>
          </w:tcPr>
          <w:p>
            <w:pPr>
              <w:ind w:left="200"/>
              <w:spacing w:after="0" w:line="196" w:lineRule="exact"/>
              <w:rPr>
                <w:sz w:val="20"/>
                <w:szCs w:val="20"/>
                <w:color w:val="auto"/>
              </w:rPr>
            </w:pPr>
            <w:r>
              <w:rPr>
                <w:rFonts w:ascii="Arial" w:cs="Arial" w:eastAsia="Arial" w:hAnsi="Arial"/>
                <w:sz w:val="18"/>
                <w:szCs w:val="18"/>
                <w:color w:val="auto"/>
              </w:rPr>
              <w:t>(9)</w:t>
            </w:r>
          </w:p>
        </w:tc>
        <w:tc>
          <w:tcPr>
            <w:tcW w:w="792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Lines II.E.(1)+(2)+(3)+(4)+(5)+(6)+(7)+(8):</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28"/>
        </w:trPr>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1"/>
        </w:trPr>
        <w:tc>
          <w:tcPr>
            <w:tcW w:w="1060" w:type="dxa"/>
            <w:vAlign w:val="bottom"/>
            <w:tcBorders>
              <w:bottom w:val="single" w:sz="8" w:color="CCEEFF"/>
            </w:tcBorders>
            <w:shd w:val="clear" w:color="auto" w:fill="CCEEFF"/>
          </w:tcPr>
          <w:p>
            <w:pPr>
              <w:ind w:left="720"/>
              <w:spacing w:after="0" w:line="176" w:lineRule="exact"/>
              <w:rPr>
                <w:sz w:val="20"/>
                <w:szCs w:val="20"/>
                <w:color w:val="auto"/>
              </w:rPr>
            </w:pPr>
            <w:r>
              <w:rPr>
                <w:rFonts w:ascii="Arial" w:cs="Arial" w:eastAsia="Arial" w:hAnsi="Arial"/>
                <w:sz w:val="18"/>
                <w:szCs w:val="18"/>
                <w:color w:val="auto"/>
              </w:rPr>
              <w:t>F.</w:t>
            </w:r>
          </w:p>
        </w:tc>
        <w:tc>
          <w:tcPr>
            <w:tcW w:w="8500" w:type="dxa"/>
            <w:vAlign w:val="bottom"/>
            <w:tcBorders>
              <w:bottom w:val="single" w:sz="8" w:color="CCEEFF"/>
            </w:tcBorders>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rPr>
              <w:t>Line II.D. divided by Line II.E.(9):</w:t>
            </w: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to 1.00</w:t>
            </w:r>
          </w:p>
        </w:tc>
      </w:tr>
      <w:tr>
        <w:trPr>
          <w:trHeight w:val="283"/>
        </w:trPr>
        <w:tc>
          <w:tcPr>
            <w:tcW w:w="1060" w:type="dxa"/>
            <w:vAlign w:val="bottom"/>
            <w:tcBorders>
              <w:top w:val="single" w:sz="8" w:color="CCEEFF"/>
            </w:tcBorders>
          </w:tcPr>
          <w:p>
            <w:pPr>
              <w:spacing w:after="0"/>
              <w:rPr>
                <w:sz w:val="24"/>
                <w:szCs w:val="24"/>
                <w:color w:val="auto"/>
              </w:rPr>
            </w:pPr>
          </w:p>
        </w:tc>
        <w:tc>
          <w:tcPr>
            <w:tcW w:w="8500" w:type="dxa"/>
            <w:vAlign w:val="bottom"/>
            <w:tcBorders>
              <w:top w:val="single" w:sz="8" w:color="CCEEFF"/>
            </w:tcBorders>
            <w:gridSpan w:val="4"/>
          </w:tcPr>
          <w:p>
            <w:pPr>
              <w:ind w:left="200"/>
              <w:spacing w:after="0"/>
              <w:rPr>
                <w:sz w:val="20"/>
                <w:szCs w:val="20"/>
                <w:color w:val="auto"/>
              </w:rPr>
            </w:pPr>
            <w:r>
              <w:rPr>
                <w:rFonts w:ascii="Arial" w:cs="Arial" w:eastAsia="Arial" w:hAnsi="Arial"/>
                <w:sz w:val="18"/>
                <w:szCs w:val="18"/>
                <w:color w:val="auto"/>
                <w:w w:val="97"/>
              </w:rPr>
              <w:t>(Line II.F must not be greater than 3.50 to 1.00, subject to the proviso in Section 7.01(b) of the Agreement)</w:t>
            </w:r>
          </w:p>
        </w:tc>
        <w:tc>
          <w:tcPr>
            <w:tcW w:w="6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224" w:right="300" w:hanging="224"/>
        <w:spacing w:after="0" w:line="263" w:lineRule="auto"/>
        <w:tabs>
          <w:tab w:leader="none" w:pos="224" w:val="left"/>
        </w:tabs>
        <w:numPr>
          <w:ilvl w:val="0"/>
          <w:numId w:val="185"/>
        </w:numPr>
        <w:rPr>
          <w:rFonts w:ascii="Arial" w:cs="Arial" w:eastAsia="Arial" w:hAnsi="Arial"/>
          <w:sz w:val="15"/>
          <w:szCs w:val="15"/>
          <w:color w:val="auto"/>
        </w:rPr>
      </w:pPr>
      <w:r>
        <w:rPr>
          <w:rFonts w:ascii="Arial" w:cs="Arial" w:eastAsia="Arial" w:hAnsi="Arial"/>
          <w:sz w:val="18"/>
          <w:szCs w:val="18"/>
          <w:color w:val="auto"/>
        </w:rPr>
        <w:t xml:space="preserve">To the extent that any Acquisition has been consummated during a Computation Period, Consolidated EBITDA shall be computed on a pro forma basis in accordance with Article 11 of Regulation S-X of the SEC or in a manner otherwise approved by the Administrative Agent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for the purpose of determining the Total Debt to EBITDA Ratio.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129661568_3</w:t>
      </w:r>
    </w:p>
    <w:sectPr>
      <w:pgSz w:w="11900" w:h="16838" w:orient="portrait"/>
      <w:cols w:equalWidth="0" w:num="1">
        <w:col w:w="11024"/>
      </w:cols>
      <w:pgMar w:left="436"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upperLetter"/>
      <w:start w:val="1"/>
    </w:lvl>
  </w:abstractNum>
  <w:abstractNum w:abstractNumId="2">
    <w:nsid w:val="60EF0119"/>
    <w:multiLevelType w:val="hybridMultilevel"/>
    <w:lvl w:ilvl="0">
      <w:lvlJc w:val="left"/>
      <w:lvlText w:val="%1."/>
      <w:numFmt w:val="decimal"/>
      <w:start w:val="1"/>
    </w:lvl>
  </w:abstractNum>
  <w:abstractNum w:abstractNumId="3">
    <w:nsid w:val="26F324BA"/>
    <w:multiLevelType w:val="hybridMultilevel"/>
    <w:lvl w:ilvl="0">
      <w:lvlJc w:val="left"/>
      <w:lvlText w:val="%1."/>
      <w:numFmt w:val="decimal"/>
      <w:start w:val="3"/>
    </w:lvl>
  </w:abstractNum>
  <w:abstractNum w:abstractNumId="4">
    <w:nsid w:val="7F01579B"/>
    <w:multiLevelType w:val="hybridMultilevel"/>
    <w:lvl w:ilvl="0">
      <w:lvlJc w:val="left"/>
      <w:lvlText w:val="(%1)"/>
      <w:numFmt w:val="lowerLetter"/>
      <w:start w:val="1"/>
    </w:lvl>
  </w:abstractNum>
  <w:abstractNum w:abstractNumId="5">
    <w:nsid w:val="49DA307D"/>
    <w:multiLevelType w:val="hybridMultilevel"/>
    <w:lvl w:ilvl="0">
      <w:lvlJc w:val="left"/>
      <w:lvlText w:val="(%1)"/>
      <w:numFmt w:val="lowerLetter"/>
      <w:start w:val="2"/>
    </w:lvl>
  </w:abstractNum>
  <w:abstractNum w:abstractNumId="6">
    <w:nsid w:val="7055A5F5"/>
    <w:multiLevelType w:val="hybridMultilevel"/>
    <w:lvl w:ilvl="0">
      <w:lvlJc w:val="left"/>
      <w:lvlText w:val="%1."/>
      <w:numFmt w:val="decimal"/>
      <w:start w:val="4"/>
    </w:lvl>
  </w:abstractNum>
  <w:abstractNum w:abstractNumId="7">
    <w:nsid w:val="5FB8370B"/>
    <w:multiLevelType w:val="hybridMultilevel"/>
    <w:lvl w:ilvl="0">
      <w:lvlJc w:val="left"/>
      <w:lvlText w:val="%1."/>
      <w:numFmt w:val="decimal"/>
      <w:start w:val="8"/>
    </w:lvl>
  </w:abstractNum>
  <w:abstractNum w:abstractNumId="8">
    <w:nsid w:val="50801EE1"/>
    <w:multiLevelType w:val="hybridMultilevel"/>
    <w:lvl w:ilvl="0">
      <w:lvlJc w:val="left"/>
      <w:lvlText w:val="A"/>
      <w:numFmt w:val="bullet"/>
      <w:start w:val="1"/>
    </w:lvl>
  </w:abstractNum>
  <w:abstractNum w:abstractNumId="9">
    <w:nsid w:val="488AC1A"/>
    <w:multiLevelType w:val="hybridMultilevel"/>
    <w:lvl w:ilvl="0">
      <w:lvlJc w:val="left"/>
      <w:lvlText w:val="B"/>
      <w:numFmt w:val="bullet"/>
      <w:start w:val="1"/>
    </w:lvl>
  </w:abstractNum>
  <w:abstractNum w:abstractNumId="10">
    <w:nsid w:val="5FB8011C"/>
    <w:multiLevelType w:val="hybridMultilevel"/>
    <w:lvl w:ilvl="0">
      <w:lvlJc w:val="left"/>
      <w:lvlText w:val="C"/>
      <w:numFmt w:val="bullet"/>
      <w:start w:val="1"/>
    </w:lvl>
  </w:abstractNum>
  <w:abstractNum w:abstractNumId="11">
    <w:nsid w:val="6AA78F7F"/>
    <w:multiLevelType w:val="hybridMultilevel"/>
    <w:lvl w:ilvl="0">
      <w:lvlJc w:val="left"/>
      <w:lvlText w:val="D"/>
      <w:numFmt w:val="bullet"/>
      <w:start w:val="1"/>
    </w:lvl>
  </w:abstractNum>
  <w:abstractNum w:abstractNumId="12">
    <w:nsid w:val="7672BD23"/>
    <w:multiLevelType w:val="hybridMultilevel"/>
    <w:lvl w:ilvl="0">
      <w:lvlJc w:val="left"/>
      <w:lvlText w:val="F"/>
      <w:numFmt w:val="bullet"/>
      <w:start w:val="1"/>
    </w:lvl>
  </w:abstractNum>
  <w:abstractNum w:abstractNumId="13">
    <w:nsid w:val="6FC75AF8"/>
    <w:multiLevelType w:val="hybridMultilevel"/>
    <w:lvl w:ilvl="0">
      <w:lvlJc w:val="left"/>
      <w:lvlText w:val="G"/>
      <w:numFmt w:val="bullet"/>
      <w:start w:val="1"/>
    </w:lvl>
  </w:abstractNum>
  <w:abstractNum w:abstractNumId="14">
    <w:nsid w:val="6A5F7029"/>
    <w:multiLevelType w:val="hybridMultilevel"/>
    <w:lvl w:ilvl="0">
      <w:lvlJc w:val="left"/>
      <w:lvlText w:val="(%1)"/>
      <w:numFmt w:val="lowerLetter"/>
      <w:start w:val="3"/>
    </w:lvl>
  </w:abstractNum>
  <w:abstractNum w:abstractNumId="15">
    <w:nsid w:val="7D5E18F8"/>
    <w:multiLevelType w:val="hybridMultilevel"/>
    <w:lvl w:ilvl="0">
      <w:lvlJc w:val="left"/>
      <w:lvlText w:val="(%1)"/>
      <w:numFmt w:val="lowerLetter"/>
      <w:start w:val="1"/>
    </w:lvl>
  </w:abstractNum>
  <w:abstractNum w:abstractNumId="16">
    <w:nsid w:val="5F3534A4"/>
    <w:multiLevelType w:val="hybridMultilevel"/>
    <w:lvl w:ilvl="0">
      <w:lvlJc w:val="left"/>
      <w:lvlText w:val="(%1)"/>
      <w:numFmt w:val="lowerLetter"/>
      <w:start w:val="3"/>
    </w:lvl>
  </w:abstractNum>
  <w:abstractNum w:abstractNumId="17">
    <w:nsid w:val="73A1821B"/>
    <w:multiLevelType w:val="hybridMultilevel"/>
    <w:lvl w:ilvl="0">
      <w:lvlJc w:val="left"/>
      <w:lvlText w:val="(%1)"/>
      <w:numFmt w:val="lowerLetter"/>
      <w:start w:val="1"/>
    </w:lvl>
  </w:abstractNum>
  <w:abstractNum w:abstractNumId="18">
    <w:nsid w:val="7DE67713"/>
    <w:multiLevelType w:val="hybridMultilevel"/>
    <w:lvl w:ilvl="0">
      <w:lvlJc w:val="left"/>
      <w:lvlText w:val="(%1)"/>
      <w:numFmt w:val="lowerRoman"/>
      <w:start w:val="2"/>
    </w:lvl>
  </w:abstractNum>
  <w:abstractNum w:abstractNumId="19">
    <w:nsid w:val="555C55B5"/>
    <w:multiLevelType w:val="hybridMultilevel"/>
    <w:lvl w:ilvl="0">
      <w:lvlJc w:val="left"/>
      <w:lvlText w:val="(%1)"/>
      <w:numFmt w:val="lowerRoman"/>
      <w:start w:val="1"/>
    </w:lvl>
  </w:abstractNum>
  <w:abstractNum w:abstractNumId="20">
    <w:nsid w:val="3FA62ACA"/>
    <w:multiLevelType w:val="hybridMultilevel"/>
    <w:lvl w:ilvl="0">
      <w:lvlJc w:val="left"/>
      <w:lvlText w:val="\ldblquote"/>
      <w:numFmt w:val="bullet"/>
      <w:start w:val="1"/>
    </w:lvl>
  </w:abstractNum>
  <w:abstractNum w:abstractNumId="21">
    <w:nsid w:val="14FCE74E"/>
    <w:multiLevelType w:val="hybridMultilevel"/>
    <w:lvl w:ilvl="0">
      <w:lvlJc w:val="left"/>
      <w:lvlText w:val="(%1)"/>
      <w:numFmt w:val="lowerLetter"/>
      <w:start w:val="1"/>
    </w:lvl>
  </w:abstractNum>
  <w:abstractNum w:abstractNumId="22">
    <w:nsid w:val="6A3DD3E8"/>
    <w:multiLevelType w:val="hybridMultilevel"/>
    <w:lvl w:ilvl="0">
      <w:lvlJc w:val="left"/>
      <w:lvlText w:val="(%1)"/>
      <w:numFmt w:val="lowerLetter"/>
      <w:start w:val="1"/>
    </w:lvl>
  </w:abstractNum>
  <w:abstractNum w:abstractNumId="23">
    <w:nsid w:val="71C91298"/>
    <w:multiLevelType w:val="hybridMultilevel"/>
    <w:lvl w:ilvl="0">
      <w:lvlJc w:val="left"/>
      <w:lvlText w:val="(%1)"/>
      <w:numFmt w:val="lowerLetter"/>
      <w:start w:val="1"/>
    </w:lvl>
  </w:abstractNum>
  <w:abstractNum w:abstractNumId="24">
    <w:nsid w:val="9DAF632"/>
    <w:multiLevelType w:val="hybridMultilevel"/>
    <w:lvl w:ilvl="0">
      <w:lvlJc w:val="left"/>
      <w:lvlText w:val="(%1)"/>
      <w:numFmt w:val="lowerLetter"/>
      <w:start w:val="1"/>
    </w:lvl>
  </w:abstractNum>
  <w:abstractNum w:abstractNumId="25">
    <w:nsid w:val="53299938"/>
    <w:multiLevelType w:val="hybridMultilevel"/>
    <w:lvl w:ilvl="0">
      <w:lvlJc w:val="left"/>
      <w:lvlText w:val="(%1)"/>
      <w:numFmt w:val="lowerLetter"/>
      <w:start w:val="2"/>
    </w:lvl>
  </w:abstractNum>
  <w:abstractNum w:abstractNumId="26">
    <w:nsid w:val="1FBFE8E0"/>
    <w:multiLevelType w:val="hybridMultilevel"/>
    <w:lvl w:ilvl="0">
      <w:lvlJc w:val="left"/>
      <w:lvlText w:val="\ldblquote"/>
      <w:numFmt w:val="bullet"/>
      <w:start w:val="1"/>
    </w:lvl>
  </w:abstractNum>
  <w:abstractNum w:abstractNumId="27">
    <w:nsid w:val="5092CA79"/>
    <w:multiLevelType w:val="hybridMultilevel"/>
    <w:lvl w:ilvl="0">
      <w:lvlJc w:val="left"/>
      <w:lvlText w:val="(%1)"/>
      <w:numFmt w:val="lowerLetter"/>
      <w:start w:val="1"/>
    </w:lvl>
  </w:abstractNum>
  <w:abstractNum w:abstractNumId="28">
    <w:nsid w:val="1D545C4D"/>
    <w:multiLevelType w:val="hybridMultilevel"/>
    <w:lvl w:ilvl="0">
      <w:lvlJc w:val="left"/>
      <w:lvlText w:val="(%1)"/>
      <w:numFmt w:val="lowerLetter"/>
      <w:start w:val="2"/>
    </w:lvl>
  </w:abstractNum>
  <w:abstractNum w:abstractNumId="29">
    <w:nsid w:val="59ADEA3D"/>
    <w:multiLevelType w:val="hybridMultilevel"/>
    <w:lvl w:ilvl="0">
      <w:lvlJc w:val="left"/>
      <w:lvlText w:val="(%1)"/>
      <w:numFmt w:val="lowerRoman"/>
      <w:start w:val="1"/>
    </w:lvl>
  </w:abstractNum>
  <w:abstractNum w:abstractNumId="30">
    <w:nsid w:val="288F1A34"/>
    <w:multiLevelType w:val="hybridMultilevel"/>
    <w:lvl w:ilvl="0">
      <w:lvlJc w:val="left"/>
      <w:lvlText w:val="(%1)"/>
      <w:numFmt w:val="lowerLetter"/>
      <w:start w:val="1"/>
    </w:lvl>
  </w:abstractNum>
  <w:abstractNum w:abstractNumId="31">
    <w:nsid w:val="2A155DBC"/>
    <w:multiLevelType w:val="hybridMultilevel"/>
    <w:lvl w:ilvl="0">
      <w:lvlJc w:val="left"/>
      <w:lvlText w:val="(%1)"/>
      <w:numFmt w:val="lowerLetter"/>
      <w:start w:val="3"/>
    </w:lvl>
  </w:abstractNum>
  <w:abstractNum w:abstractNumId="32">
    <w:nsid w:val="1D9F6E5F"/>
    <w:multiLevelType w:val="hybridMultilevel"/>
    <w:lvl w:ilvl="0">
      <w:lvlJc w:val="left"/>
      <w:lvlText w:val="(%1)"/>
      <w:numFmt w:val="lowerLetter"/>
      <w:start w:val="1"/>
    </w:lvl>
    <w:lvl w:ilvl="1">
      <w:lvlJc w:val="left"/>
      <w:lvlText w:val="(%2)"/>
      <w:numFmt w:val="lowerLetter"/>
      <w:start w:val="9"/>
    </w:lvl>
  </w:abstractNum>
  <w:abstractNum w:abstractNumId="33">
    <w:nsid w:val="97E1B4E"/>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34">
    <w:nsid w:val="51088277"/>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35">
    <w:nsid w:val="1CA0C5FA"/>
    <w:multiLevelType w:val="hybridMultilevel"/>
    <w:lvl w:ilvl="0">
      <w:lvlJc w:val="left"/>
      <w:lvlText w:val="%1"/>
      <w:numFmt w:val="lowerLetter"/>
      <w:start w:val="1"/>
    </w:lvl>
    <w:lvl w:ilvl="1">
      <w:lvlJc w:val="left"/>
      <w:lvlText w:val="(%2)"/>
      <w:numFmt w:val="lowerRoman"/>
      <w:start w:val="5"/>
    </w:lvl>
  </w:abstractNum>
  <w:abstractNum w:abstractNumId="36">
    <w:nsid w:val="53584BCB"/>
    <w:multiLevelType w:val="hybridMultilevel"/>
    <w:lvl w:ilvl="0">
      <w:lvlJc w:val="left"/>
      <w:lvlText w:val="(%1)"/>
      <w:numFmt w:val="lowerLetter"/>
      <w:start w:val="2"/>
    </w:lvl>
    <w:lvl w:ilvl="1">
      <w:lvlJc w:val="left"/>
      <w:lvlText w:val="(%2)"/>
      <w:numFmt w:val="lowerRoman"/>
      <w:start w:val="1"/>
    </w:lvl>
  </w:abstractNum>
  <w:abstractNum w:abstractNumId="37">
    <w:nsid w:val="415E286C"/>
    <w:multiLevelType w:val="hybridMultilevel"/>
    <w:lvl w:ilvl="0">
      <w:lvlJc w:val="left"/>
      <w:lvlText w:val="(%1)"/>
      <w:numFmt w:val="lowerRoman"/>
      <w:start w:val="2"/>
    </w:lvl>
  </w:abstractNum>
  <w:abstractNum w:abstractNumId="38">
    <w:nsid w:val="7C58FD05"/>
    <w:multiLevelType w:val="hybridMultilevel"/>
    <w:lvl w:ilvl="0">
      <w:lvlJc w:val="left"/>
      <w:lvlText w:val="%1"/>
      <w:numFmt w:val="lowerLetter"/>
      <w:start w:val="1"/>
    </w:lvl>
    <w:lvl w:ilvl="1">
      <w:lvlJc w:val="left"/>
      <w:lvlText w:val="(%2)"/>
      <w:numFmt w:val="lowerLetter"/>
      <w:start w:val="22"/>
    </w:lvl>
  </w:abstractNum>
  <w:abstractNum w:abstractNumId="39">
    <w:nsid w:val="23D86AAC"/>
    <w:multiLevelType w:val="hybridMultilevel"/>
    <w:lvl w:ilvl="0">
      <w:lvlJc w:val="left"/>
      <w:lvlText w:val="(%1)"/>
      <w:numFmt w:val="lowerLetter"/>
      <w:start w:val="3"/>
    </w:lvl>
    <w:lvl w:ilvl="1">
      <w:lvlJc w:val="left"/>
      <w:lvlText w:val="(%2)"/>
      <w:numFmt w:val="lowerLetter"/>
      <w:start w:val="9"/>
    </w:lvl>
  </w:abstractNum>
  <w:abstractNum w:abstractNumId="40">
    <w:nsid w:val="45E6D486"/>
    <w:multiLevelType w:val="hybridMultilevel"/>
    <w:lvl w:ilvl="0">
      <w:lvlJc w:val="left"/>
      <w:lvlText w:val="(%1)"/>
      <w:numFmt w:val="lowerRoman"/>
      <w:start w:val="2"/>
    </w:lvl>
  </w:abstractNum>
  <w:abstractNum w:abstractNumId="41">
    <w:nsid w:val="5C10FE21"/>
    <w:multiLevelType w:val="hybridMultilevel"/>
    <w:lvl w:ilvl="0">
      <w:lvlJc w:val="left"/>
      <w:lvlText w:val="%1"/>
      <w:numFmt w:val="lowerLetter"/>
      <w:start w:val="1"/>
    </w:lvl>
    <w:lvl w:ilvl="1">
      <w:lvlJc w:val="left"/>
      <w:lvlText w:val="(%2)"/>
      <w:numFmt w:val="lowerRoman"/>
      <w:start w:val="5"/>
    </w:lvl>
  </w:abstractNum>
  <w:abstractNum w:abstractNumId="42">
    <w:nsid w:val="E7FFA2B"/>
    <w:multiLevelType w:val="hybridMultilevel"/>
    <w:lvl w:ilvl="0">
      <w:lvlJc w:val="left"/>
      <w:lvlText w:val="(%1)"/>
      <w:numFmt w:val="lowerLetter"/>
      <w:start w:val="4"/>
    </w:lvl>
    <w:lvl w:ilvl="1">
      <w:lvlJc w:val="left"/>
      <w:lvlText w:val="(%2)"/>
      <w:numFmt w:val="lowerRoman"/>
      <w:start w:val="1"/>
    </w:lvl>
  </w:abstractNum>
  <w:abstractNum w:abstractNumId="43">
    <w:nsid w:val="3C5991AA"/>
    <w:multiLevelType w:val="hybridMultilevel"/>
    <w:lvl w:ilvl="0">
      <w:lvlJc w:val="left"/>
      <w:lvlText w:val="(%1)"/>
      <w:numFmt w:val="lowerRoman"/>
      <w:start w:val="1"/>
    </w:lvl>
  </w:abstractNum>
  <w:abstractNum w:abstractNumId="44">
    <w:nsid w:val="4BD8591A"/>
    <w:multiLevelType w:val="hybridMultilevel"/>
    <w:lvl w:ilvl="0">
      <w:lvlJc w:val="left"/>
      <w:lvlText w:val="(%1)"/>
      <w:numFmt w:val="lowerLetter"/>
      <w:start w:val="6"/>
    </w:lvl>
  </w:abstractNum>
  <w:abstractNum w:abstractNumId="45">
    <w:nsid w:val="78DF6A55"/>
    <w:multiLevelType w:val="hybridMultilevel"/>
    <w:lvl w:ilvl="0">
      <w:lvlJc w:val="left"/>
      <w:lvlText w:val="(%1)"/>
      <w:numFmt w:val="lowerLetter"/>
      <w:start w:val="7"/>
    </w:lvl>
  </w:abstractNum>
  <w:abstractNum w:abstractNumId="46">
    <w:nsid w:val="39B7AAA2"/>
    <w:multiLevelType w:val="hybridMultilevel"/>
    <w:lvl w:ilvl="0">
      <w:lvlJc w:val="left"/>
      <w:lvlText w:val="(%1)"/>
      <w:numFmt w:val="lowerLetter"/>
      <w:start w:val="9"/>
    </w:lvl>
  </w:abstractNum>
  <w:abstractNum w:abstractNumId="47">
    <w:nsid w:val="2B0D8DBE"/>
    <w:multiLevelType w:val="hybridMultilevel"/>
    <w:lvl w:ilvl="0">
      <w:lvlJc w:val="left"/>
      <w:lvlText w:val="%1"/>
      <w:numFmt w:val="lowerLetter"/>
      <w:start w:val="1"/>
    </w:lvl>
    <w:lvl w:ilvl="1">
      <w:lvlJc w:val="left"/>
      <w:lvlText w:val="(%2)"/>
      <w:numFmt w:val="lowerLetter"/>
      <w:start w:val="1"/>
    </w:lvl>
  </w:abstractNum>
  <w:abstractNum w:abstractNumId="48">
    <w:nsid w:val="6C80EC70"/>
    <w:multiLevelType w:val="hybridMultilevel"/>
    <w:lvl w:ilvl="0">
      <w:lvlJc w:val="left"/>
      <w:lvlText w:val="(%1)"/>
      <w:numFmt w:val="lowerLetter"/>
      <w:start w:val="24"/>
    </w:lvl>
    <w:lvl w:ilvl="1">
      <w:lvlJc w:val="left"/>
      <w:lvlText w:val="%2"/>
      <w:numFmt w:val="lowerLetter"/>
      <w:start w:val="1"/>
    </w:lvl>
  </w:abstractNum>
  <w:abstractNum w:abstractNumId="49">
    <w:nsid w:val="379E21B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0">
    <w:nsid w:val="69E37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1">
    <w:nsid w:val="2C27173B"/>
    <w:multiLevelType w:val="hybridMultilevel"/>
    <w:lvl w:ilvl="0">
      <w:lvlJc w:val="left"/>
      <w:lvlText w:val="%1"/>
      <w:numFmt w:val="lowerLetter"/>
      <w:start w:val="1"/>
    </w:lvl>
    <w:lvl w:ilvl="1">
      <w:lvlJc w:val="left"/>
      <w:lvlText w:val="(%2)"/>
      <w:numFmt w:val="lowerRoman"/>
      <w:start w:val="4"/>
    </w:lvl>
  </w:abstractNum>
  <w:abstractNum w:abstractNumId="52">
    <w:nsid w:val="4C9B0904"/>
    <w:multiLevelType w:val="hybridMultilevel"/>
    <w:lvl w:ilvl="0">
      <w:lvlJc w:val="left"/>
      <w:lvlText w:val="(%1)"/>
      <w:numFmt w:val="lowerLetter"/>
      <w:start w:val="4"/>
    </w:lvl>
    <w:lvl w:ilvl="1">
      <w:lvlJc w:val="left"/>
      <w:lvlText w:val="(%2)"/>
      <w:numFmt w:val="lowerRoman"/>
      <w:start w:val="1"/>
    </w:lvl>
  </w:abstractNum>
  <w:abstractNum w:abstractNumId="53">
    <w:nsid w:val="6AA7B75C"/>
    <w:multiLevelType w:val="hybridMultilevel"/>
    <w:lvl w:ilvl="0">
      <w:lvlJc w:val="left"/>
      <w:lvlText w:val="(%1)"/>
      <w:numFmt w:val="lowerLetter"/>
      <w:start w:val="1"/>
    </w:lvl>
  </w:abstractNum>
  <w:abstractNum w:abstractNumId="54">
    <w:nsid w:val="1DF029D3"/>
    <w:multiLevelType w:val="hybridMultilevel"/>
    <w:lvl w:ilvl="0">
      <w:lvlJc w:val="left"/>
      <w:lvlText w:val="(%1)"/>
      <w:numFmt w:val="lowerLetter"/>
      <w:start w:val="2"/>
    </w:lvl>
  </w:abstractNum>
  <w:abstractNum w:abstractNumId="55">
    <w:nsid w:val="5675FF36"/>
    <w:multiLevelType w:val="hybridMultilevel"/>
    <w:lvl w:ilvl="0">
      <w:lvlJc w:val="left"/>
      <w:lvlText w:val="(%1)"/>
      <w:numFmt w:val="lowerLetter"/>
      <w:start w:val="1"/>
    </w:lvl>
  </w:abstractNum>
  <w:abstractNum w:abstractNumId="56">
    <w:nsid w:val="3DD15094"/>
    <w:multiLevelType w:val="hybridMultilevel"/>
    <w:lvl w:ilvl="0">
      <w:lvlJc w:val="left"/>
      <w:lvlText w:val="(%1)"/>
      <w:numFmt w:val="lowerLetter"/>
      <w:start w:val="1"/>
    </w:lvl>
    <w:lvl w:ilvl="1">
      <w:lvlJc w:val="left"/>
      <w:lvlText w:val="(%2)"/>
      <w:numFmt w:val="lowerRoman"/>
      <w:start w:val="2"/>
    </w:lvl>
  </w:abstractNum>
  <w:abstractNum w:abstractNumId="57">
    <w:nsid w:val="3DB012B3"/>
    <w:multiLevelType w:val="hybridMultilevel"/>
    <w:lvl w:ilvl="0">
      <w:lvlJc w:val="left"/>
      <w:lvlText w:val="(%1)"/>
      <w:numFmt w:val="lowerLetter"/>
      <w:start w:val="1"/>
    </w:lvl>
    <w:lvl w:ilvl="1">
      <w:lvlJc w:val="left"/>
      <w:lvlText w:val="(%2)"/>
      <w:numFmt w:val="lowerLetter"/>
      <w:start w:val="9"/>
    </w:lvl>
  </w:abstractNum>
  <w:abstractNum w:abstractNumId="58">
    <w:nsid w:val="2708C9AF"/>
    <w:multiLevelType w:val="hybridMultilevel"/>
    <w:lvl w:ilvl="0">
      <w:lvlJc w:val="left"/>
      <w:lvlText w:val="(%1)"/>
      <w:numFmt w:val="lowerRoman"/>
      <w:start w:val="2"/>
    </w:lvl>
  </w:abstractNum>
  <w:abstractNum w:abstractNumId="59">
    <w:nsid w:val="5B25ACE2"/>
    <w:multiLevelType w:val="hybridMultilevel"/>
    <w:lvl w:ilvl="0">
      <w:lvlJc w:val="left"/>
      <w:lvlText w:val="(%1)"/>
      <w:numFmt w:val="lowerLetter"/>
      <w:start w:val="1"/>
    </w:lvl>
  </w:abstractNum>
  <w:abstractNum w:abstractNumId="60">
    <w:nsid w:val="175DFCF0"/>
    <w:multiLevelType w:val="hybridMultilevel"/>
    <w:lvl w:ilvl="0">
      <w:lvlJc w:val="left"/>
      <w:lvlText w:val="(%1)"/>
      <w:numFmt w:val="lowerLetter"/>
      <w:start w:val="1"/>
    </w:lvl>
  </w:abstractNum>
  <w:abstractNum w:abstractNumId="61">
    <w:nsid w:val="4F97E3E4"/>
    <w:multiLevelType w:val="hybridMultilevel"/>
    <w:lvl w:ilvl="0">
      <w:lvlJc w:val="left"/>
      <w:lvlText w:val="(%1)"/>
      <w:numFmt w:val="lowerRoman"/>
      <w:start w:val="2"/>
    </w:lvl>
  </w:abstractNum>
  <w:abstractNum w:abstractNumId="62">
    <w:nsid w:val="53B0A9E"/>
    <w:multiLevelType w:val="hybridMultilevel"/>
    <w:lvl w:ilvl="0">
      <w:lvlJc w:val="left"/>
      <w:lvlText w:val="(%1)"/>
      <w:numFmt w:val="lowerLetter"/>
      <w:start w:val="3"/>
    </w:lvl>
  </w:abstractNum>
  <w:abstractNum w:abstractNumId="63">
    <w:nsid w:val="34FD6B4F"/>
    <w:multiLevelType w:val="hybridMultilevel"/>
    <w:lvl w:ilvl="0">
      <w:lvlJc w:val="left"/>
      <w:lvlText w:val="(%1)"/>
      <w:numFmt w:val="lowerLetter"/>
      <w:start w:val="5"/>
    </w:lvl>
  </w:abstractNum>
  <w:abstractNum w:abstractNumId="64">
    <w:nsid w:val="5915FF32"/>
    <w:multiLevelType w:val="hybridMultilevel"/>
    <w:lvl w:ilvl="0">
      <w:lvlJc w:val="left"/>
      <w:lvlText w:val="(%1)"/>
      <w:numFmt w:val="lowerRoman"/>
      <w:start w:val="1"/>
    </w:lvl>
  </w:abstractNum>
  <w:abstractNum w:abstractNumId="65">
    <w:nsid w:val="56438D15"/>
    <w:multiLevelType w:val="hybridMultilevel"/>
    <w:lvl w:ilvl="0">
      <w:lvlJc w:val="left"/>
      <w:lvlText w:val="(%1)"/>
      <w:numFmt w:val="lowerLetter"/>
      <w:start w:val="1"/>
    </w:lvl>
  </w:abstractNum>
  <w:abstractNum w:abstractNumId="66">
    <w:nsid w:val="519E3149"/>
    <w:multiLevelType w:val="hybridMultilevel"/>
    <w:lvl w:ilvl="0">
      <w:lvlJc w:val="left"/>
      <w:lvlText w:val="(%1)"/>
      <w:numFmt w:val="upperLetter"/>
      <w:start w:val="2"/>
    </w:lvl>
    <w:lvl w:ilvl="1">
      <w:lvlJc w:val="left"/>
      <w:lvlText w:val="(%2)"/>
      <w:numFmt w:val="lowerLetter"/>
      <w:start w:val="5"/>
    </w:lvl>
  </w:abstractNum>
  <w:abstractNum w:abstractNumId="67">
    <w:nsid w:val="2C6E4AFD"/>
    <w:multiLevelType w:val="hybridMultilevel"/>
    <w:lvl w:ilvl="0">
      <w:lvlJc w:val="left"/>
      <w:lvlText w:val="(%1)"/>
      <w:numFmt w:val="lowerLetter"/>
      <w:start w:val="1"/>
    </w:lvl>
  </w:abstractNum>
  <w:abstractNum w:abstractNumId="68">
    <w:nsid w:val="17A1B582"/>
    <w:multiLevelType w:val="hybridMultilevel"/>
    <w:lvl w:ilvl="0">
      <w:lvlJc w:val="left"/>
      <w:lvlText w:val="(%1)"/>
      <w:numFmt w:val="lowerRoman"/>
      <w:start w:val="10"/>
    </w:lvl>
  </w:abstractNum>
  <w:abstractNum w:abstractNumId="69">
    <w:nsid w:val="4DF72E4E"/>
    <w:multiLevelType w:val="hybridMultilevel"/>
    <w:lvl w:ilvl="0">
      <w:lvlJc w:val="left"/>
      <w:lvlText w:val="(%1)"/>
      <w:numFmt w:val="lowerLetter"/>
      <w:start w:val="1"/>
    </w:lvl>
    <w:lvl w:ilvl="1">
      <w:lvlJc w:val="left"/>
      <w:lvlText w:val="(%2)"/>
      <w:numFmt w:val="lowerRoman"/>
      <w:start w:val="1"/>
    </w:lvl>
  </w:abstractNum>
  <w:abstractNum w:abstractNumId="70">
    <w:nsid w:val="5046B5A9"/>
    <w:multiLevelType w:val="hybridMultilevel"/>
    <w:lvl w:ilvl="0">
      <w:lvlJc w:val="left"/>
      <w:lvlText w:val="(%1)"/>
      <w:numFmt w:val="lowerLetter"/>
      <w:start w:val="25"/>
    </w:lvl>
    <w:lvl w:ilvl="1">
      <w:lvlJc w:val="left"/>
      <w:lvlText w:val="(%2)"/>
      <w:numFmt w:val="lowerRoman"/>
      <w:start w:val="3"/>
    </w:lvl>
  </w:abstractNum>
  <w:abstractNum w:abstractNumId="71">
    <w:nsid w:val="5D888A08"/>
    <w:multiLevelType w:val="hybridMultilevel"/>
    <w:lvl w:ilvl="0">
      <w:lvlJc w:val="left"/>
      <w:lvlText w:val="%1"/>
      <w:numFmt w:val="decimal"/>
      <w:start w:val="1"/>
    </w:lvl>
    <w:lvl w:ilvl="1">
      <w:lvlJc w:val="left"/>
      <w:lvlText w:val="(%2)"/>
      <w:numFmt w:val="lowerRoman"/>
      <w:start w:val="4"/>
    </w:lvl>
  </w:abstractNum>
  <w:abstractNum w:abstractNumId="72">
    <w:nsid w:val="2A082C70"/>
    <w:multiLevelType w:val="hybridMultilevel"/>
    <w:lvl w:ilvl="0">
      <w:lvlJc w:val="left"/>
      <w:lvlText w:val="(%1)"/>
      <w:numFmt w:val="decimal"/>
      <w:start w:val="1"/>
    </w:lvl>
    <w:lvl w:ilvl="1">
      <w:lvlJc w:val="left"/>
      <w:lvlText w:val="%2"/>
      <w:numFmt w:val="lowerRoman"/>
      <w:start w:val="1"/>
    </w:lvl>
  </w:abstractNum>
  <w:abstractNum w:abstractNumId="73">
    <w:nsid w:val="5EC6AFD4"/>
    <w:multiLevelType w:val="hybridMultilevel"/>
    <w:lvl w:ilvl="0">
      <w:lvlJc w:val="left"/>
      <w:lvlText w:val="(%1)"/>
      <w:numFmt w:val="lowerLetter"/>
      <w:start w:val="2"/>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3"/>
    </w:lvl>
  </w:abstractNum>
  <w:abstractNum w:abstractNumId="76">
    <w:nsid w:val="57A61A29"/>
    <w:multiLevelType w:val="hybridMultilevel"/>
    <w:lvl w:ilvl="0">
      <w:lvlJc w:val="left"/>
      <w:lvlText w:val="%1"/>
      <w:numFmt w:val="lowerLetter"/>
      <w:start w:val="1"/>
    </w:lvl>
    <w:lvl w:ilvl="1">
      <w:lvlJc w:val="left"/>
      <w:lvlText w:val="(%2)"/>
      <w:numFmt w:val="lowerLetter"/>
      <w:start w:val="1"/>
    </w:lvl>
  </w:abstractNum>
  <w:abstractNum w:abstractNumId="77">
    <w:nsid w:val="5399C654"/>
    <w:multiLevelType w:val="hybridMultilevel"/>
    <w:lvl w:ilvl="0">
      <w:lvlJc w:val="left"/>
      <w:lvlText w:val="(%1)"/>
      <w:numFmt w:val="lowerLetter"/>
      <w:start w:val="5"/>
    </w:lvl>
    <w:lvl w:ilvl="1">
      <w:lvlJc w:val="left"/>
      <w:lvlText w:val="(%2)"/>
      <w:numFmt w:val="lowerLetter"/>
      <w:start w:val="35"/>
    </w:lvl>
  </w:abstractNum>
  <w:abstractNum w:abstractNumId="78">
    <w:nsid w:val="20EE1348"/>
    <w:multiLevelType w:val="hybridMultilevel"/>
    <w:lvl w:ilvl="0">
      <w:lvlJc w:val="left"/>
      <w:lvlText w:val="%1"/>
      <w:numFmt w:val="lowerLetter"/>
      <w:start w:val="1"/>
    </w:lvl>
    <w:lvl w:ilvl="1">
      <w:lvlJc w:val="left"/>
      <w:lvlText w:val="(%2)"/>
      <w:numFmt w:val="lowerLetter"/>
      <w:start w:val="61"/>
    </w:lvl>
  </w:abstractNum>
  <w:abstractNum w:abstractNumId="79">
    <w:nsid w:val="4427069A"/>
    <w:multiLevelType w:val="hybridMultilevel"/>
    <w:lvl w:ilvl="0">
      <w:lvlJc w:val="left"/>
      <w:lvlText w:val="(%1)"/>
      <w:numFmt w:val="lowerLetter"/>
      <w:start w:val="2"/>
    </w:lvl>
    <w:lvl w:ilvl="1">
      <w:lvlJc w:val="left"/>
      <w:lvlText w:val="(%2)"/>
      <w:numFmt w:val="lowerLetter"/>
      <w:start w:val="9"/>
    </w:lvl>
  </w:abstractNum>
  <w:abstractNum w:abstractNumId="80">
    <w:nsid w:val="B37E80A"/>
    <w:multiLevelType w:val="hybridMultilevel"/>
    <w:lvl w:ilvl="0">
      <w:lvlJc w:val="left"/>
      <w:lvlText w:val="(%1)"/>
      <w:numFmt w:val="lowerRoman"/>
      <w:start w:val="2"/>
    </w:lvl>
  </w:abstractNum>
  <w:abstractNum w:abstractNumId="81">
    <w:nsid w:val="2157F6B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82">
    <w:nsid w:val="704E1DD5"/>
    <w:multiLevelType w:val="hybridMultilevel"/>
    <w:lvl w:ilvl="0">
      <w:lvlJc w:val="left"/>
      <w:lvlText w:val="(%1)"/>
      <w:numFmt w:val="upperLetter"/>
      <w:start w:val="35"/>
    </w:lvl>
  </w:abstractNum>
  <w:abstractNum w:abstractNumId="83">
    <w:nsid w:val="57D2F10E"/>
    <w:multiLevelType w:val="hybridMultilevel"/>
    <w:lvl w:ilvl="0">
      <w:lvlJc w:val="left"/>
      <w:lvlText w:val="%1"/>
      <w:numFmt w:val="upperLetter"/>
      <w:start w:val="1"/>
    </w:lvl>
    <w:lvl w:ilvl="1">
      <w:lvlJc w:val="left"/>
      <w:lvlText w:val="(%2)"/>
      <w:numFmt w:val="upperLetter"/>
      <w:start w:val="61"/>
    </w:lvl>
  </w:abstractNum>
  <w:abstractNum w:abstractNumId="84">
    <w:nsid w:val="BFFAE18"/>
    <w:multiLevelType w:val="hybridMultilevel"/>
    <w:lvl w:ilvl="0">
      <w:lvlJc w:val="left"/>
      <w:lvlText w:val="(%1)"/>
      <w:numFmt w:val="upperLetter"/>
      <w:start w:val="2"/>
    </w:lvl>
    <w:lvl w:ilvl="1">
      <w:lvlJc w:val="left"/>
      <w:lvlText w:val="%2"/>
      <w:numFmt w:val="upperLetter"/>
      <w:start w:val="1"/>
    </w:lvl>
  </w:abstractNum>
  <w:abstractNum w:abstractNumId="85">
    <w:nsid w:val="E3E47A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86">
    <w:nsid w:val="2E48F04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7">
    <w:nsid w:val="49D0FEA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88">
    <w:nsid w:val="4BEE5A5B"/>
    <w:multiLevelType w:val="hybridMultilevel"/>
    <w:lvl w:ilvl="0">
      <w:lvlJc w:val="left"/>
      <w:lvlText w:val="(%1)"/>
      <w:numFmt w:val="lowerLetter"/>
      <w:start w:val="7"/>
    </w:lvl>
  </w:abstractNum>
  <w:abstractNum w:abstractNumId="89">
    <w:nsid w:val="5551B9F3"/>
    <w:multiLevelType w:val="hybridMultilevel"/>
    <w:lvl w:ilvl="0">
      <w:lvlJc w:val="left"/>
      <w:lvlText w:val="(%1)"/>
      <w:numFmt w:val="lowerLetter"/>
      <w:start w:val="1"/>
    </w:lvl>
    <w:lvl w:ilvl="1">
      <w:lvlJc w:val="left"/>
      <w:lvlText w:val="(%2)"/>
      <w:numFmt w:val="lowerRoman"/>
      <w:start w:val="1"/>
    </w:lvl>
  </w:abstractNum>
  <w:abstractNum w:abstractNumId="90">
    <w:nsid w:val="24F6AB8E"/>
    <w:multiLevelType w:val="hybridMultilevel"/>
    <w:lvl w:ilvl="0">
      <w:lvlJc w:val="left"/>
      <w:lvlText w:val="(%1)"/>
      <w:numFmt w:val="lowerRoman"/>
      <w:start w:val="3"/>
    </w:lvl>
  </w:abstractNum>
  <w:abstractNum w:abstractNumId="91">
    <w:nsid w:val="634C574C"/>
    <w:multiLevelType w:val="hybridMultilevel"/>
    <w:lvl w:ilvl="0">
      <w:lvlJc w:val="left"/>
      <w:lvlText w:val="(%1)"/>
      <w:numFmt w:val="lowerLetter"/>
      <w:start w:val="1"/>
    </w:lvl>
    <w:lvl w:ilvl="1">
      <w:lvlJc w:val="left"/>
      <w:lvlText w:val="(%2)"/>
      <w:numFmt w:val="lowerRoman"/>
      <w:start w:val="1"/>
    </w:lvl>
  </w:abstractNum>
  <w:abstractNum w:abstractNumId="92">
    <w:nsid w:val="24E99DD7"/>
    <w:multiLevelType w:val="hybridMultilevel"/>
    <w:lvl w:ilvl="0">
      <w:lvlJc w:val="left"/>
      <w:lvlText w:val="(%1)"/>
      <w:numFmt w:val="lowerLetter"/>
      <w:start w:val="2"/>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lowerLetter"/>
      <w:start w:val="1"/>
    </w:lvl>
  </w:abstractNum>
  <w:abstractNum w:abstractNumId="95">
    <w:nsid w:val="7DFF9D09"/>
    <w:multiLevelType w:val="hybridMultilevel"/>
    <w:lvl w:ilvl="0">
      <w:lvlJc w:val="left"/>
      <w:lvlText w:val="(%1)"/>
      <w:numFmt w:val="lowerLetter"/>
      <w:start w:val="1"/>
    </w:lvl>
    <w:lvl w:ilvl="1">
      <w:lvlJc w:val="left"/>
      <w:lvlText w:val="(%2)"/>
      <w:numFmt w:val="lowerRoman"/>
      <w:start w:val="1"/>
    </w:lvl>
  </w:abstractNum>
  <w:abstractNum w:abstractNumId="96">
    <w:nsid w:val="754342"/>
    <w:multiLevelType w:val="hybridMultilevel"/>
    <w:lvl w:ilvl="0">
      <w:lvlJc w:val="left"/>
      <w:lvlText w:val="%1"/>
      <w:numFmt w:val="lowerLetter"/>
      <w:start w:val="1"/>
    </w:lvl>
    <w:lvl w:ilvl="1">
      <w:lvlJc w:val="left"/>
      <w:lvlText w:val="(%2)"/>
      <w:numFmt w:val="lowerRoman"/>
      <w:start w:val="5"/>
    </w:lvl>
  </w:abstractNum>
  <w:abstractNum w:abstractNumId="97">
    <w:nsid w:val="69E7F3E5"/>
    <w:multiLevelType w:val="hybridMultilevel"/>
    <w:lvl w:ilvl="0">
      <w:lvlJc w:val="left"/>
      <w:lvlText w:val="(%1)"/>
      <w:numFmt w:val="lowerLetter"/>
      <w:start w:val="2"/>
    </w:lvl>
    <w:lvl w:ilvl="1">
      <w:lvlJc w:val="left"/>
      <w:lvlText w:val="%2"/>
      <w:numFmt w:val="lowerRoman"/>
      <w:start w:val="1"/>
    </w:lvl>
  </w:abstractNum>
  <w:abstractNum w:abstractNumId="98">
    <w:nsid w:val="2A6DE806"/>
    <w:multiLevelType w:val="hybridMultilevel"/>
    <w:lvl w:ilvl="0">
      <w:lvlJc w:val="left"/>
      <w:lvlText w:val="(%1)"/>
      <w:numFmt w:val="lowerLetter"/>
      <w:start w:val="1"/>
    </w:lvl>
  </w:abstractNum>
  <w:abstractNum w:abstractNumId="99">
    <w:nsid w:val="1816F8C4"/>
    <w:multiLevelType w:val="hybridMultilevel"/>
    <w:lvl w:ilvl="0">
      <w:lvlJc w:val="left"/>
      <w:lvlText w:val="(%1)"/>
      <w:numFmt w:val="lowerLetter"/>
      <w:start w:val="1"/>
    </w:lvl>
  </w:abstractNum>
  <w:abstractNum w:abstractNumId="100">
    <w:nsid w:val="37DF2233"/>
    <w:multiLevelType w:val="hybridMultilevel"/>
    <w:lvl w:ilvl="0">
      <w:lvlJc w:val="left"/>
      <w:lvlText w:val="(%1)"/>
      <w:numFmt w:val="lowerLetter"/>
      <w:start w:val="1"/>
    </w:lvl>
  </w:abstractNum>
  <w:abstractNum w:abstractNumId="101">
    <w:nsid w:val="7AB49DAF"/>
    <w:multiLevelType w:val="hybridMultilevel"/>
    <w:lvl w:ilvl="0">
      <w:lvlJc w:val="left"/>
      <w:lvlText w:val="(%1)"/>
      <w:numFmt w:val="lowerLetter"/>
      <w:start w:val="1"/>
    </w:lvl>
  </w:abstractNum>
  <w:abstractNum w:abstractNumId="102">
    <w:nsid w:val="759F82CD"/>
    <w:multiLevelType w:val="hybridMultilevel"/>
    <w:lvl w:ilvl="0">
      <w:lvlJc w:val="left"/>
      <w:lvlText w:val="%1"/>
      <w:numFmt w:val="lowerRoman"/>
      <w:start w:val="1"/>
    </w:lvl>
    <w:lvl w:ilvl="1">
      <w:lvlJc w:val="left"/>
      <w:lvlText w:val="(%2)"/>
      <w:numFmt w:val="lowerLetter"/>
      <w:start w:val="1"/>
    </w:lvl>
  </w:abstractNum>
  <w:abstractNum w:abstractNumId="103">
    <w:nsid w:val="61E74EA3"/>
    <w:multiLevelType w:val="hybridMultilevel"/>
    <w:lvl w:ilvl="0">
      <w:lvlJc w:val="left"/>
      <w:lvlText w:val="(%1)"/>
      <w:numFmt w:val="lowerRoman"/>
      <w:start w:val="4"/>
    </w:lvl>
    <w:lvl w:ilvl="1">
      <w:lvlJc w:val="left"/>
      <w:lvlText w:val="%2"/>
      <w:numFmt w:val="lowerLetter"/>
      <w:start w:val="1"/>
    </w:lvl>
  </w:abstractNum>
  <w:abstractNum w:abstractNumId="104">
    <w:nsid w:val="597B4D84"/>
    <w:multiLevelType w:val="hybridMultilevel"/>
    <w:lvl w:ilvl="0">
      <w:lvlJc w:val="left"/>
      <w:lvlText w:val="(%1)"/>
      <w:numFmt w:val="lowerLetter"/>
      <w:start w:val="4"/>
    </w:lvl>
  </w:abstractNum>
  <w:abstractNum w:abstractNumId="105">
    <w:nsid w:val="F819E7F"/>
    <w:multiLevelType w:val="hybridMultilevel"/>
    <w:lvl w:ilvl="0">
      <w:lvlJc w:val="left"/>
      <w:lvlText w:val="(%1)"/>
      <w:numFmt w:val="lowerLetter"/>
      <w:start w:val="1"/>
    </w:lvl>
    <w:lvl w:ilvl="1">
      <w:lvlJc w:val="left"/>
      <w:lvlText w:val="(%2)"/>
      <w:numFmt w:val="lowerRoman"/>
      <w:start w:val="1"/>
    </w:lvl>
  </w:abstractNum>
  <w:abstractNum w:abstractNumId="106">
    <w:nsid w:val="57C7D42D"/>
    <w:multiLevelType w:val="hybridMultilevel"/>
    <w:lvl w:ilvl="0">
      <w:lvlJc w:val="left"/>
      <w:lvlText w:val="(%1)"/>
      <w:numFmt w:val="lowerRoman"/>
      <w:start w:val="1"/>
    </w:lvl>
  </w:abstractNum>
  <w:abstractNum w:abstractNumId="107">
    <w:nsid w:val="312167AD"/>
    <w:multiLevelType w:val="hybridMultilevel"/>
    <w:lvl w:ilvl="0">
      <w:lvlJc w:val="left"/>
      <w:lvlText w:val="(%1)"/>
      <w:numFmt w:val="lowerLetter"/>
      <w:start w:val="1"/>
    </w:lvl>
  </w:abstractNum>
  <w:abstractNum w:abstractNumId="108">
    <w:nsid w:val="631B64D4"/>
    <w:multiLevelType w:val="hybridMultilevel"/>
    <w:lvl w:ilvl="0">
      <w:lvlJc w:val="left"/>
      <w:lvlText w:val="(%1)"/>
      <w:numFmt w:val="lowerLetter"/>
      <w:start w:val="1"/>
    </w:lvl>
  </w:abstractNum>
  <w:abstractNum w:abstractNumId="109">
    <w:nsid w:val="78B5E776"/>
    <w:multiLevelType w:val="hybridMultilevel"/>
    <w:lvl w:ilvl="0">
      <w:lvlJc w:val="left"/>
      <w:lvlText w:val="(%1)"/>
      <w:numFmt w:val="lowerRoman"/>
      <w:start w:val="1"/>
    </w:lvl>
  </w:abstractNum>
  <w:abstractNum w:abstractNumId="110">
    <w:nsid w:val="75486E47"/>
    <w:multiLevelType w:val="hybridMultilevel"/>
    <w:lvl w:ilvl="0">
      <w:lvlJc w:val="left"/>
      <w:lvlText w:val="(%1)"/>
      <w:numFmt w:val="lowerLetter"/>
      <w:start w:val="1"/>
    </w:lvl>
    <w:lvl w:ilvl="1">
      <w:lvlJc w:val="left"/>
      <w:lvlText w:val="(%2)"/>
      <w:numFmt w:val="lowerRoman"/>
      <w:start w:val="1"/>
    </w:lvl>
  </w:abstractNum>
  <w:abstractNum w:abstractNumId="111">
    <w:nsid w:val="6E534CDE"/>
    <w:multiLevelType w:val="hybridMultilevel"/>
    <w:lvl w:ilvl="0">
      <w:lvlJc w:val="left"/>
      <w:lvlText w:val="%1"/>
      <w:numFmt w:val="lowerLetter"/>
      <w:start w:val="1"/>
    </w:lvl>
    <w:lvl w:ilvl="1">
      <w:lvlJc w:val="left"/>
      <w:lvlText w:val="(%2)"/>
      <w:numFmt w:val="lowerLetter"/>
      <w:start w:val="61"/>
    </w:lvl>
  </w:abstractNum>
  <w:abstractNum w:abstractNumId="112">
    <w:nsid w:val="1A0DDE32"/>
    <w:multiLevelType w:val="hybridMultilevel"/>
    <w:lvl w:ilvl="0">
      <w:lvlJc w:val="left"/>
      <w:lvlText w:val="(%1)"/>
      <w:numFmt w:val="lowerLetter"/>
      <w:start w:val="3"/>
    </w:lvl>
    <w:lvl w:ilvl="1">
      <w:lvlJc w:val="left"/>
      <w:lvlText w:val="(%2)"/>
      <w:numFmt w:val="lowerLetter"/>
      <w:start w:val="9"/>
    </w:lvl>
  </w:abstractNum>
  <w:abstractNum w:abstractNumId="113">
    <w:nsid w:val="65968C1C"/>
    <w:multiLevelType w:val="hybridMultilevel"/>
    <w:lvl w:ilvl="0">
      <w:lvlJc w:val="left"/>
      <w:lvlText w:val="%1"/>
      <w:numFmt w:val="lowerLetter"/>
      <w:start w:val="1"/>
    </w:lvl>
    <w:lvl w:ilvl="1">
      <w:lvlJc w:val="left"/>
      <w:lvlText w:val="(%2)"/>
      <w:numFmt w:val="lowerRoman"/>
      <w:start w:val="2"/>
    </w:lvl>
  </w:abstractNum>
  <w:abstractNum w:abstractNumId="114">
    <w:nsid w:val="46263DEC"/>
    <w:multiLevelType w:val="hybridMultilevel"/>
    <w:lvl w:ilvl="0">
      <w:lvlJc w:val="left"/>
      <w:lvlText w:val="(%1)"/>
      <w:numFmt w:val="lowerLetter"/>
      <w:start w:val="4"/>
    </w:lvl>
    <w:lvl w:ilvl="1">
      <w:lvlJc w:val="left"/>
      <w:lvlText w:val="%2"/>
      <w:numFmt w:val="lowerRoman"/>
      <w:start w:val="1"/>
    </w:lvl>
  </w:abstractNum>
  <w:abstractNum w:abstractNumId="115">
    <w:nsid w:val="260D8C4A"/>
    <w:multiLevelType w:val="hybridMultilevel"/>
    <w:lvl w:ilvl="0">
      <w:lvlJc w:val="left"/>
      <w:lvlText w:val="(%1)"/>
      <w:numFmt w:val="lowerLetter"/>
      <w:start w:val="1"/>
    </w:lvl>
  </w:abstractNum>
  <w:abstractNum w:abstractNumId="116">
    <w:nsid w:val="73D4D3C4"/>
    <w:multiLevelType w:val="hybridMultilevel"/>
    <w:lvl w:ilvl="0">
      <w:lvlJc w:val="left"/>
      <w:lvlText w:val="(%1)"/>
      <w:numFmt w:val="lowerLetter"/>
      <w:start w:val="1"/>
    </w:lvl>
  </w:abstractNum>
  <w:abstractNum w:abstractNumId="117">
    <w:nsid w:val="746F2E30"/>
    <w:multiLevelType w:val="hybridMultilevel"/>
    <w:lvl w:ilvl="0">
      <w:lvlJc w:val="left"/>
      <w:lvlText w:val="(%1)"/>
      <w:numFmt w:val="lowerLetter"/>
      <w:start w:val="1"/>
    </w:lvl>
  </w:abstractNum>
  <w:abstractNum w:abstractNumId="118">
    <w:nsid w:val="6FDE8AF6"/>
    <w:multiLevelType w:val="hybridMultilevel"/>
    <w:lvl w:ilvl="0">
      <w:lvlJc w:val="left"/>
      <w:lvlText w:val="(%1)"/>
      <w:numFmt w:val="lowerLetter"/>
      <w:start w:val="1"/>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lowerLetter"/>
      <w:start w:val="2"/>
    </w:lvl>
  </w:abstractNum>
  <w:abstractNum w:abstractNumId="121">
    <w:nsid w:val="14D53685"/>
    <w:multiLevelType w:val="hybridMultilevel"/>
    <w:lvl w:ilvl="0">
      <w:lvlJc w:val="left"/>
      <w:lvlText w:val="(%1)"/>
      <w:numFmt w:val="lowerRoman"/>
      <w:start w:val="3"/>
    </w:lvl>
  </w:abstractNum>
  <w:abstractNum w:abstractNumId="122">
    <w:nsid w:val="230F856C"/>
    <w:multiLevelType w:val="hybridMultilevel"/>
    <w:lvl w:ilvl="0">
      <w:lvlJc w:val="left"/>
      <w:lvlText w:val="(%1)"/>
      <w:numFmt w:val="lowerLetter"/>
      <w:start w:val="1"/>
    </w:lvl>
  </w:abstractNum>
  <w:abstractNum w:abstractNumId="123">
    <w:nsid w:val="6EAA85FB"/>
    <w:multiLevelType w:val="hybridMultilevel"/>
    <w:lvl w:ilvl="0">
      <w:lvlJc w:val="left"/>
      <w:lvlText w:val="(%1)"/>
      <w:numFmt w:val="lowerLetter"/>
      <w:start w:val="1"/>
    </w:lvl>
  </w:abstractNum>
  <w:abstractNum w:abstractNumId="124">
    <w:nsid w:val="3F06ECB2"/>
    <w:multiLevelType w:val="hybridMultilevel"/>
    <w:lvl w:ilvl="0">
      <w:lvlJc w:val="left"/>
      <w:lvlText w:val="(%1)"/>
      <w:numFmt w:val="lowerRoman"/>
      <w:start w:val="1"/>
    </w:lvl>
  </w:abstractNum>
  <w:abstractNum w:abstractNumId="125">
    <w:nsid w:val="3B594807"/>
    <w:multiLevelType w:val="hybridMultilevel"/>
    <w:lvl w:ilvl="0">
      <w:lvlJc w:val="left"/>
      <w:lvlText w:val="%1"/>
      <w:numFmt w:val="lowerLetter"/>
      <w:start w:val="1"/>
    </w:lvl>
    <w:lvl w:ilvl="1">
      <w:lvlJc w:val="left"/>
      <w:lvlText w:val="(%2)"/>
      <w:numFmt w:val="lowerLetter"/>
      <w:start w:val="1"/>
    </w:lvl>
  </w:abstractNum>
  <w:abstractNum w:abstractNumId="126">
    <w:nsid w:val="6CAA2304"/>
    <w:multiLevelType w:val="hybridMultilevel"/>
    <w:lvl w:ilvl="0">
      <w:lvlJc w:val="left"/>
      <w:lvlText w:val="(%1)"/>
      <w:numFmt w:val="lowerLetter"/>
      <w:start w:val="35"/>
    </w:lvl>
    <w:lvl w:ilvl="1">
      <w:lvlJc w:val="left"/>
      <w:lvlText w:val="(%2)"/>
      <w:numFmt w:val="lowerLetter"/>
      <w:start w:val="7"/>
    </w:lvl>
  </w:abstractNum>
  <w:abstractNum w:abstractNumId="127">
    <w:nsid w:val="3F7C2FF4"/>
    <w:multiLevelType w:val="hybridMultilevel"/>
    <w:lvl w:ilvl="0">
      <w:lvlJc w:val="left"/>
      <w:lvlText w:val="(%1)"/>
      <w:numFmt w:val="lowerLetter"/>
      <w:start w:val="8"/>
    </w:lvl>
  </w:abstractNum>
  <w:abstractNum w:abstractNumId="128">
    <w:nsid w:val="25413BEC"/>
    <w:multiLevelType w:val="hybridMultilevel"/>
    <w:lvl w:ilvl="0">
      <w:lvlJc w:val="left"/>
      <w:lvlText w:val="(%1)"/>
      <w:numFmt w:val="lowerLetter"/>
      <w:start w:val="1"/>
    </w:lvl>
  </w:abstractNum>
  <w:abstractNum w:abstractNumId="129">
    <w:nsid w:val="17180B0B"/>
    <w:multiLevelType w:val="hybridMultilevel"/>
    <w:lvl w:ilvl="0">
      <w:lvlJc w:val="left"/>
      <w:lvlText w:val="(%1)"/>
      <w:numFmt w:val="lowerLetter"/>
      <w:start w:val="1"/>
    </w:lvl>
  </w:abstractNum>
  <w:abstractNum w:abstractNumId="130">
    <w:nsid w:val="579328B9"/>
    <w:multiLevelType w:val="hybridMultilevel"/>
    <w:lvl w:ilvl="0">
      <w:lvlJc w:val="left"/>
      <w:lvlText w:val="(%1)"/>
      <w:numFmt w:val="lowerLetter"/>
      <w:start w:val="1"/>
    </w:lvl>
  </w:abstractNum>
  <w:abstractNum w:abstractNumId="131">
    <w:nsid w:val="5D205E20"/>
    <w:multiLevelType w:val="hybridMultilevel"/>
    <w:lvl w:ilvl="0">
      <w:lvlJc w:val="left"/>
      <w:lvlText w:val="(%1)"/>
      <w:numFmt w:val="lowerLetter"/>
      <w:start w:val="3"/>
    </w:lvl>
  </w:abstractNum>
  <w:abstractNum w:abstractNumId="132">
    <w:nsid w:val="11CCA8BA"/>
    <w:multiLevelType w:val="hybridMultilevel"/>
    <w:lvl w:ilvl="0">
      <w:lvlJc w:val="left"/>
      <w:lvlText w:val="(%1)"/>
      <w:numFmt w:val="lowerLetter"/>
      <w:start w:val="1"/>
    </w:lvl>
  </w:abstractNum>
  <w:abstractNum w:abstractNumId="133">
    <w:nsid w:val="4D32AB86"/>
    <w:multiLevelType w:val="hybridMultilevel"/>
    <w:lvl w:ilvl="0">
      <w:lvlJc w:val="left"/>
      <w:lvlText w:val="(%1)"/>
      <w:numFmt w:val="lowerLetter"/>
      <w:start w:val="1"/>
    </w:lvl>
    <w:lvl w:ilvl="1">
      <w:lvlJc w:val="left"/>
      <w:lvlText w:val="(%2)"/>
      <w:numFmt w:val="lowerLetter"/>
      <w:start w:val="9"/>
    </w:lvl>
  </w:abstractNum>
  <w:abstractNum w:abstractNumId="134">
    <w:nsid w:val="3F07ACC3"/>
    <w:multiLevelType w:val="hybridMultilevel"/>
    <w:lvl w:ilvl="0">
      <w:lvlJc w:val="left"/>
      <w:lvlText w:val="%1"/>
      <w:numFmt w:val="lowerLetter"/>
      <w:start w:val="1"/>
    </w:lvl>
    <w:lvl w:ilvl="1">
      <w:lvlJc w:val="left"/>
      <w:lvlText w:val="(%2)"/>
      <w:numFmt w:val="lowerRoman"/>
      <w:start w:val="2"/>
    </w:lvl>
  </w:abstractNum>
  <w:abstractNum w:abstractNumId="135">
    <w:nsid w:val="6B47F63E"/>
    <w:multiLevelType w:val="hybridMultilevel"/>
    <w:lvl w:ilvl="0">
      <w:lvlJc w:val="left"/>
      <w:lvlText w:val="(%1)"/>
      <w:numFmt w:val="lowerLetter"/>
      <w:start w:val="2"/>
    </w:lvl>
    <w:lvl w:ilvl="1">
      <w:lvlJc w:val="left"/>
      <w:lvlText w:val="(%2)"/>
      <w:numFmt w:val="lowerRoman"/>
      <w:start w:val="2"/>
    </w:lvl>
  </w:abstractNum>
  <w:abstractNum w:abstractNumId="136">
    <w:nsid w:val="5CB44A05"/>
    <w:multiLevelType w:val="hybridMultilevel"/>
    <w:lvl w:ilvl="0">
      <w:lvlJc w:val="left"/>
      <w:lvlText w:val="%1"/>
      <w:numFmt w:val="lowerLetter"/>
      <w:start w:val="1"/>
    </w:lvl>
    <w:lvl w:ilvl="1">
      <w:lvlJc w:val="left"/>
      <w:lvlText w:val="(%2)"/>
      <w:numFmt w:val="lowerLetter"/>
      <w:start w:val="22"/>
    </w:lvl>
  </w:abstractNum>
  <w:abstractNum w:abstractNumId="137">
    <w:nsid w:val="16CF80F1"/>
    <w:multiLevelType w:val="hybridMultilevel"/>
    <w:lvl w:ilvl="0">
      <w:lvlJc w:val="left"/>
      <w:lvlText w:val="(%1)"/>
      <w:numFmt w:val="lowerLetter"/>
      <w:start w:val="3"/>
    </w:lvl>
    <w:lvl w:ilvl="1">
      <w:lvlJc w:val="left"/>
      <w:lvlText w:val="%2"/>
      <w:numFmt w:val="lowerLetter"/>
      <w:start w:val="1"/>
    </w:lvl>
  </w:abstractNum>
  <w:abstractNum w:abstractNumId="138">
    <w:nsid w:val="1C695DEC"/>
    <w:multiLevelType w:val="hybridMultilevel"/>
    <w:lvl w:ilvl="0">
      <w:lvlJc w:val="left"/>
      <w:lvlText w:val="(%1)"/>
      <w:numFmt w:val="lowerLetter"/>
      <w:start w:val="3"/>
    </w:lvl>
  </w:abstractNum>
  <w:abstractNum w:abstractNumId="139">
    <w:nsid w:val="3FCFAED9"/>
    <w:multiLevelType w:val="hybridMultilevel"/>
    <w:lvl w:ilvl="0">
      <w:lvlJc w:val="left"/>
      <w:lvlText w:val="(%1)"/>
      <w:numFmt w:val="lowerLetter"/>
      <w:start w:val="1"/>
    </w:lvl>
  </w:abstractNum>
  <w:abstractNum w:abstractNumId="140">
    <w:nsid w:val="F856867"/>
    <w:multiLevelType w:val="hybridMultilevel"/>
    <w:lvl w:ilvl="0">
      <w:lvlJc w:val="left"/>
      <w:lvlText w:val="(%1)"/>
      <w:numFmt w:val="lowerLetter"/>
      <w:start w:val="1"/>
    </w:lvl>
    <w:lvl w:ilvl="1">
      <w:lvlJc w:val="left"/>
      <w:lvlText w:val="(%2)"/>
      <w:numFmt w:val="lowerRoman"/>
      <w:start w:val="1"/>
    </w:lvl>
  </w:abstractNum>
  <w:abstractNum w:abstractNumId="141">
    <w:nsid w:val="11B1CC33"/>
    <w:multiLevelType w:val="hybridMultilevel"/>
    <w:lvl w:ilvl="0">
      <w:lvlJc w:val="left"/>
      <w:lvlText w:val="(%1)"/>
      <w:numFmt w:val="lowerLetter"/>
      <w:start w:val="2"/>
    </w:lvl>
  </w:abstractNum>
  <w:abstractNum w:abstractNumId="142">
    <w:nsid w:val="2E22FBB7"/>
    <w:multiLevelType w:val="hybridMultilevel"/>
    <w:lvl w:ilvl="0">
      <w:lvlJc w:val="left"/>
      <w:lvlText w:val="(%1)"/>
      <w:numFmt w:val="lowerLetter"/>
      <w:start w:val="9"/>
    </w:lvl>
    <w:lvl w:ilvl="1">
      <w:lvlJc w:val="left"/>
      <w:lvlText w:val="(%2)"/>
      <w:numFmt w:val="lowerLetter"/>
      <w:start w:val="3"/>
    </w:lvl>
  </w:abstractNum>
  <w:abstractNum w:abstractNumId="143">
    <w:nsid w:val="29934699"/>
    <w:multiLevelType w:val="hybridMultilevel"/>
    <w:lvl w:ilvl="0">
      <w:lvlJc w:val="left"/>
      <w:lvlText w:val="(%1)"/>
      <w:numFmt w:val="lowerLetter"/>
      <w:start w:val="4"/>
    </w:lvl>
  </w:abstractNum>
  <w:abstractNum w:abstractNumId="144">
    <w:nsid w:val="77485850"/>
    <w:multiLevelType w:val="hybridMultilevel"/>
    <w:lvl w:ilvl="0">
      <w:lvlJc w:val="left"/>
      <w:lvlText w:val="(%1)"/>
      <w:numFmt w:val="lowerLetter"/>
      <w:start w:val="1"/>
    </w:lvl>
  </w:abstractNum>
  <w:abstractNum w:abstractNumId="145">
    <w:nsid w:val="744939A3"/>
    <w:multiLevelType w:val="hybridMultilevel"/>
    <w:lvl w:ilvl="0">
      <w:lvlJc w:val="left"/>
      <w:lvlText w:val="%1"/>
      <w:numFmt w:val="lowerRoman"/>
      <w:start w:val="1"/>
    </w:lvl>
    <w:lvl w:ilvl="1">
      <w:lvlJc w:val="left"/>
      <w:lvlText w:val="(%2)"/>
      <w:numFmt w:val="lowerLetter"/>
      <w:start w:val="2"/>
    </w:lvl>
  </w:abstractNum>
  <w:abstractNum w:abstractNumId="146">
    <w:nsid w:val="4FA0D2E3"/>
    <w:multiLevelType w:val="hybridMultilevel"/>
    <w:lvl w:ilvl="0">
      <w:lvlJc w:val="left"/>
      <w:lvlText w:val="(%1)"/>
      <w:numFmt w:val="lowerRoman"/>
      <w:start w:val="4"/>
    </w:lvl>
    <w:lvl w:ilvl="1">
      <w:lvlJc w:val="left"/>
      <w:lvlText w:val="(%2)"/>
      <w:numFmt w:val="lowerLetter"/>
      <w:start w:val="3"/>
    </w:lvl>
  </w:abstractNum>
  <w:abstractNum w:abstractNumId="147">
    <w:nsid w:val="6B1D2C14"/>
    <w:multiLevelType w:val="hybridMultilevel"/>
    <w:lvl w:ilvl="0">
      <w:lvlJc w:val="left"/>
      <w:lvlText w:val="(%1)"/>
      <w:numFmt w:val="lowerLetter"/>
      <w:start w:val="5"/>
    </w:lvl>
  </w:abstractNum>
  <w:abstractNum w:abstractNumId="148">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9">
    <w:nsid w:val="3F7F5DD9"/>
    <w:multiLevelType w:val="hybridMultilevel"/>
    <w:lvl w:ilvl="0">
      <w:lvlJc w:val="left"/>
      <w:lvlText w:val="(%1)"/>
      <w:numFmt w:val="lowerRoman"/>
      <w:start w:val="2"/>
    </w:lvl>
    <w:lvl w:ilvl="1">
      <w:lvlJc w:val="left"/>
      <w:lvlText w:val="(%2)"/>
      <w:numFmt w:val="upperLetter"/>
      <w:start w:val="1"/>
    </w:lvl>
  </w:abstractNum>
  <w:abstractNum w:abstractNumId="150">
    <w:nsid w:val="2AE05A34"/>
    <w:multiLevelType w:val="hybridMultilevel"/>
    <w:lvl w:ilvl="0">
      <w:lvlJc w:val="left"/>
      <w:lvlText w:val="(%1)"/>
      <w:numFmt w:val="lowerRoman"/>
      <w:start w:val="4"/>
    </w:lvl>
  </w:abstractNum>
  <w:abstractNum w:abstractNumId="151">
    <w:nsid w:val="32794FF7"/>
    <w:multiLevelType w:val="hybridMultilevel"/>
    <w:lvl w:ilvl="0">
      <w:lvlJc w:val="left"/>
      <w:lvlText w:val="(%1)"/>
      <w:numFmt w:val="lowerRoman"/>
      <w:start w:val="6"/>
    </w:lvl>
  </w:abstractNum>
  <w:abstractNum w:abstractNumId="152">
    <w:nsid w:val="5454945E"/>
    <w:multiLevelType w:val="hybridMultilevel"/>
    <w:lvl w:ilvl="0">
      <w:lvlJc w:val="left"/>
      <w:lvlText w:val="(%1)"/>
      <w:numFmt w:val="lowerLetter"/>
      <w:start w:val="3"/>
    </w:lvl>
  </w:abstractNum>
  <w:abstractNum w:abstractNumId="153">
    <w:nsid w:val="4DEFDFA0"/>
    <w:multiLevelType w:val="hybridMultilevel"/>
    <w:lvl w:ilvl="0">
      <w:lvlJc w:val="left"/>
      <w:lvlText w:val="(%1)"/>
      <w:numFmt w:val="lowerLetter"/>
      <w:start w:val="4"/>
    </w:lvl>
  </w:abstractNum>
  <w:abstractNum w:abstractNumId="154">
    <w:nsid w:val="2123D5F2"/>
    <w:multiLevelType w:val="hybridMultilevel"/>
    <w:lvl w:ilvl="0">
      <w:lvlJc w:val="left"/>
      <w:lvlText w:val="(%1)"/>
      <w:numFmt w:val="lowerLetter"/>
      <w:start w:val="5"/>
    </w:lvl>
  </w:abstractNum>
  <w:abstractNum w:abstractNumId="155">
    <w:nsid w:val="135B8110"/>
    <w:multiLevelType w:val="hybridMultilevel"/>
    <w:lvl w:ilvl="0">
      <w:lvlJc w:val="left"/>
      <w:lvlText w:val="%1"/>
      <w:numFmt w:val="lowerLetter"/>
      <w:start w:val="1"/>
    </w:lvl>
    <w:lvl w:ilvl="1">
      <w:lvlJc w:val="left"/>
      <w:lvlText w:val="(%2)"/>
      <w:numFmt w:val="lowerLetter"/>
      <w:start w:val="7"/>
    </w:lvl>
  </w:abstractNum>
  <w:abstractNum w:abstractNumId="156">
    <w:nsid w:val="94927A8"/>
    <w:multiLevelType w:val="hybridMultilevel"/>
    <w:lvl w:ilvl="0">
      <w:lvlJc w:val="left"/>
      <w:lvlText w:val="(%1)"/>
      <w:numFmt w:val="lowerLetter"/>
      <w:start w:val="1"/>
    </w:lvl>
    <w:lvl w:ilvl="1">
      <w:lvlJc w:val="left"/>
      <w:lvlText w:val="%2"/>
      <w:numFmt w:val="lowerLetter"/>
      <w:start w:val="1"/>
    </w:lvl>
  </w:abstractNum>
  <w:abstractNum w:abstractNumId="157">
    <w:nsid w:val="DCDF8F6"/>
    <w:multiLevelType w:val="hybridMultilevel"/>
    <w:lvl w:ilvl="0">
      <w:lvlJc w:val="left"/>
      <w:lvlText w:val="(%1)"/>
      <w:numFmt w:val="lowerLetter"/>
      <w:start w:val="7"/>
    </w:lvl>
  </w:abstractNum>
  <w:abstractNum w:abstractNumId="158">
    <w:nsid w:val="52D7B105"/>
    <w:multiLevelType w:val="hybridMultilevel"/>
    <w:lvl w:ilvl="0">
      <w:lvlJc w:val="left"/>
      <w:lvlText w:val="(%1)"/>
      <w:numFmt w:val="lowerLetter"/>
      <w:start w:val="35"/>
    </w:lvl>
  </w:abstractNum>
  <w:abstractNum w:abstractNumId="159">
    <w:nsid w:val="2E8A6394"/>
    <w:multiLevelType w:val="hybridMultilevel"/>
    <w:lvl w:ilvl="0">
      <w:lvlJc w:val="left"/>
      <w:lvlText w:val="(%1)"/>
      <w:numFmt w:val="lowerLetter"/>
      <w:start w:val="1"/>
    </w:lvl>
  </w:abstractNum>
  <w:abstractNum w:abstractNumId="160">
    <w:nsid w:val="24E60401"/>
    <w:multiLevelType w:val="hybridMultilevel"/>
    <w:lvl w:ilvl="0">
      <w:lvlJc w:val="left"/>
      <w:lvlText w:val="(%1)"/>
      <w:numFmt w:val="lowerLetter"/>
      <w:start w:val="1"/>
    </w:lvl>
  </w:abstractNum>
  <w:abstractNum w:abstractNumId="161">
    <w:nsid w:val="2A6AD9BE"/>
    <w:multiLevelType w:val="hybridMultilevel"/>
    <w:lvl w:ilvl="0">
      <w:lvlJc w:val="left"/>
      <w:lvlText w:val="(%1)"/>
      <w:numFmt w:val="lowerRoman"/>
      <w:start w:val="1"/>
    </w:lvl>
  </w:abstractNum>
  <w:abstractNum w:abstractNumId="162">
    <w:nsid w:val="BAAC1B4"/>
    <w:multiLevelType w:val="hybridMultilevel"/>
    <w:lvl w:ilvl="0">
      <w:lvlJc w:val="left"/>
      <w:lvlText w:val="%1"/>
      <w:numFmt w:val="lowerLetter"/>
      <w:start w:val="1"/>
    </w:lvl>
    <w:lvl w:ilvl="1">
      <w:lvlJc w:val="left"/>
      <w:lvlText w:val="(%2)"/>
      <w:numFmt w:val="lowerLetter"/>
      <w:start w:val="3"/>
    </w:lvl>
  </w:abstractNum>
  <w:abstractNum w:abstractNumId="163">
    <w:nsid w:val="36B2ACBC"/>
    <w:multiLevelType w:val="hybridMultilevel"/>
    <w:lvl w:ilvl="0">
      <w:lvlJc w:val="left"/>
      <w:lvlText w:val="(%1)"/>
      <w:numFmt w:val="lowerLetter"/>
      <w:start w:val="3"/>
    </w:lvl>
    <w:lvl w:ilvl="1">
      <w:lvlJc w:val="left"/>
      <w:lvlText w:val="%2"/>
      <w:numFmt w:val="lowerLetter"/>
      <w:start w:val="1"/>
    </w:lvl>
  </w:abstractNum>
  <w:abstractNum w:abstractNumId="164">
    <w:nsid w:val="779D8544"/>
    <w:multiLevelType w:val="hybridMultilevel"/>
    <w:lvl w:ilvl="0">
      <w:lvlJc w:val="left"/>
      <w:lvlText w:val="(%1)"/>
      <w:numFmt w:val="lowerLetter"/>
      <w:start w:val="1"/>
    </w:lvl>
  </w:abstractNum>
  <w:abstractNum w:abstractNumId="165">
    <w:nsid w:val="4AB26E78"/>
    <w:multiLevelType w:val="hybridMultilevel"/>
    <w:lvl w:ilvl="0">
      <w:lvlJc w:val="left"/>
      <w:lvlText w:val="(%1)"/>
      <w:numFmt w:val="lowerLetter"/>
      <w:start w:val="3"/>
    </w:lvl>
  </w:abstractNum>
  <w:abstractNum w:abstractNumId="166">
    <w:nsid w:val="21FAA2FA"/>
    <w:multiLevelType w:val="hybridMultilevel"/>
    <w:lvl w:ilvl="0">
      <w:lvlJc w:val="left"/>
      <w:lvlText w:val="(%1)"/>
      <w:numFmt w:val="lowerLetter"/>
      <w:start w:val="1"/>
    </w:lvl>
  </w:abstractNum>
  <w:abstractNum w:abstractNumId="167">
    <w:nsid w:val="5451CF49"/>
    <w:multiLevelType w:val="hybridMultilevel"/>
    <w:lvl w:ilvl="0">
      <w:lvlJc w:val="left"/>
      <w:lvlText w:val="(%1)"/>
      <w:numFmt w:val="lowerLetter"/>
      <w:start w:val="1"/>
    </w:lvl>
    <w:lvl w:ilvl="1">
      <w:lvlJc w:val="left"/>
      <w:lvlText w:val="(%2)"/>
      <w:numFmt w:val="lowerRoman"/>
      <w:start w:val="1"/>
    </w:lvl>
  </w:abstractNum>
  <w:abstractNum w:abstractNumId="168">
    <w:nsid w:val="6181EF69"/>
    <w:multiLevelType w:val="hybridMultilevel"/>
    <w:lvl w:ilvl="0">
      <w:lvlJc w:val="left"/>
      <w:lvlText w:val="(%1)"/>
      <w:numFmt w:val="lowerRoman"/>
      <w:start w:val="3"/>
    </w:lvl>
  </w:abstractNum>
  <w:abstractNum w:abstractNumId="169">
    <w:nsid w:val="3E6400E6"/>
    <w:multiLevelType w:val="hybridMultilevel"/>
    <w:lvl w:ilvl="0">
      <w:lvlJc w:val="left"/>
      <w:lvlText w:val="(%1)"/>
      <w:numFmt w:val="lowerLetter"/>
      <w:start w:val="1"/>
    </w:lvl>
  </w:abstractNum>
  <w:abstractNum w:abstractNumId="170">
    <w:nsid w:val="14217E23"/>
    <w:multiLevelType w:val="hybridMultilevel"/>
    <w:lvl w:ilvl="0">
      <w:lvlJc w:val="left"/>
      <w:lvlText w:val="(%1)"/>
      <w:numFmt w:val="lowerLetter"/>
      <w:start w:val="2"/>
    </w:lvl>
  </w:abstractNum>
  <w:abstractNum w:abstractNumId="171">
    <w:nsid w:val="710757D0"/>
    <w:multiLevelType w:val="hybridMultilevel"/>
    <w:lvl w:ilvl="0">
      <w:lvlJc w:val="left"/>
      <w:lvlText w:val="§"/>
      <w:numFmt w:val="bullet"/>
      <w:start w:val="1"/>
    </w:lvl>
    <w:lvl w:ilvl="1">
      <w:lvlJc w:val="left"/>
      <w:lvlText w:val="\ldblquote"/>
      <w:numFmt w:val="bullet"/>
      <w:start w:val="1"/>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decimal"/>
      <w:start w:val="1"/>
    </w:lvl>
  </w:abstractNum>
  <w:abstractNum w:abstractNumId="174">
    <w:nsid w:val="1A9A9E69"/>
    <w:multiLevelType w:val="hybridMultilevel"/>
    <w:lvl w:ilvl="0">
      <w:lvlJc w:val="left"/>
      <w:lvlText w:val="%1."/>
      <w:numFmt w:val="decimal"/>
      <w:start w:val="4"/>
    </w:lvl>
  </w:abstractNum>
  <w:abstractNum w:abstractNumId="175">
    <w:nsid w:val="475E256A"/>
    <w:multiLevelType w:val="hybridMultilevel"/>
    <w:lvl w:ilvl="0">
      <w:lvlJc w:val="left"/>
      <w:lvlText w:val="%1."/>
      <w:numFmt w:val="upperLetter"/>
      <w:start w:val="9"/>
    </w:lvl>
  </w:abstractNum>
  <w:abstractNum w:abstractNumId="176">
    <w:nsid w:val="368DB37E"/>
    <w:multiLevelType w:val="hybridMultilevel"/>
    <w:lvl w:ilvl="0">
      <w:lvlJc w:val="left"/>
      <w:lvlText w:val="%1."/>
      <w:numFmt w:val="upperLetter"/>
      <w:start w:val="1"/>
    </w:lvl>
  </w:abstractNum>
  <w:abstractNum w:abstractNumId="177">
    <w:nsid w:val="6A3B714C"/>
    <w:multiLevelType w:val="hybridMultilevel"/>
    <w:lvl w:ilvl="0">
      <w:lvlJc w:val="left"/>
      <w:lvlText w:val="(%1)"/>
      <w:numFmt w:val="decimal"/>
      <w:start w:val="7"/>
    </w:lvl>
  </w:abstractNum>
  <w:abstractNum w:abstractNumId="178">
    <w:nsid w:val="327B517E"/>
    <w:multiLevelType w:val="hybridMultilevel"/>
    <w:lvl w:ilvl="0">
      <w:lvlJc w:val="left"/>
      <w:lvlText w:val="(%1)"/>
      <w:numFmt w:val="decimal"/>
      <w:start w:val="8"/>
    </w:lvl>
  </w:abstractNum>
  <w:abstractNum w:abstractNumId="179">
    <w:nsid w:val="1F461B51"/>
    <w:multiLevelType w:val="hybridMultilevel"/>
    <w:lvl w:ilvl="0">
      <w:lvlJc w:val="left"/>
      <w:lvlText w:val="%1."/>
      <w:numFmt w:val="upperLetter"/>
      <w:start w:val="35"/>
    </w:lvl>
  </w:abstractNum>
  <w:abstractNum w:abstractNumId="180">
    <w:nsid w:val="29BACF25"/>
    <w:multiLevelType w:val="hybridMultilevel"/>
    <w:lvl w:ilvl="0">
      <w:lvlJc w:val="left"/>
      <w:lvlText w:val="%1."/>
      <w:numFmt w:val="upperLetter"/>
      <w:start w:val="3"/>
    </w:lvl>
  </w:abstractNum>
  <w:abstractNum w:abstractNumId="181">
    <w:nsid w:val="5D5BABB3"/>
    <w:multiLevelType w:val="hybridMultilevel"/>
    <w:lvl w:ilvl="0">
      <w:lvlJc w:val="left"/>
      <w:lvlText w:val="%1."/>
      <w:numFmt w:val="upperLetter"/>
      <w:start w:val="5"/>
    </w:lvl>
  </w:abstractNum>
  <w:abstractNum w:abstractNumId="182">
    <w:nsid w:val="51BF6B48"/>
    <w:multiLevelType w:val="hybridMultilevel"/>
    <w:lvl w:ilvl="0">
      <w:lvlJc w:val="left"/>
      <w:lvlText w:val="(%1)"/>
      <w:numFmt w:val="decimal"/>
      <w:start w:val="7"/>
    </w:lvl>
  </w:abstractNum>
  <w:abstractNum w:abstractNumId="183">
    <w:nsid w:val="7E0F6384"/>
    <w:multiLevelType w:val="hybridMultilevel"/>
    <w:lvl w:ilvl="0">
      <w:lvlJc w:val="left"/>
      <w:lvlText w:val="(%1)"/>
      <w:numFmt w:val="decimal"/>
      <w:start w:val="8"/>
    </w:lvl>
  </w:abstractNum>
  <w:abstractNum w:abstractNumId="184">
    <w:nsid w:val="2B4B8B5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2020-05-21T16:29:03Z</dcterms:created>
  <dcterms:modified xsi:type="dcterms:W3CDTF">2020-05-21T16:29:03Z</dcterms:modified>
</cp:coreProperties>
</file>