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90560.xml.htm"/>
      <w:bookmarkStart w:id="1" w:name="kswkform4_17877905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Brummer Gregg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841"/>
        <w:gridCol w:w="1195"/>
        <w:gridCol w:w="99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7,976.05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220.96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7,757.05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granted on 08/25/2023 vest 25% on each of the first four anniversaries of the date of grant. 528 RSUs, that included accrued dividend equivalents, automatically vested on 08/25/2026 and were paid out in the form of Republic Services, Inc.'s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to satisfy the tax liability of the Reporting Person upon the vesting of shares under a Restricted Stock Unit award on 08/25/2026. The fair market value of the exchanged shares was $220.96 per share (the closing price of Republic Services, Inc.'s common stock on 08/25/2026).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contingent right to one share of common stock of Republic Services,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71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3804</Characters>
  <CharactersWithSpaces>4421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