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10"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8-K/A</w:t>
      </w:r>
    </w:p>
    <w:p>
      <w:pPr>
        <w:spacing w:after="0" w:line="48"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(Amendment No. 1 )</w:t>
      </w:r>
    </w:p>
    <w:p>
      <w:pPr>
        <w:spacing w:after="0" w:line="196"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220" w:lineRule="exact"/>
        <w:rPr>
          <w:sz w:val="24"/>
          <w:szCs w:val="24"/>
          <w:color w:val="auto"/>
        </w:rPr>
      </w:pPr>
    </w:p>
    <w:p>
      <w:pPr>
        <w:jc w:val="center"/>
        <w:ind w:right="20"/>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Date of Report (Date of Earliest Event Reported): May 20, 2020</w:t>
      </w:r>
    </w:p>
    <w:p>
      <w:pPr>
        <w:spacing w:after="0" w:line="213"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Republic Services,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60"/>
          </w:cols>
          <w:pgMar w:left="320" w:top="994" w:right="319" w:bottom="1440" w:gutter="0" w:footer="0" w:header="0"/>
        </w:sectPr>
      </w:pPr>
    </w:p>
    <w:p>
      <w:pPr>
        <w:spacing w:after="0" w:line="313" w:lineRule="exact"/>
        <w:rPr>
          <w:sz w:val="24"/>
          <w:szCs w:val="24"/>
          <w:color w:val="auto"/>
        </w:rPr>
      </w:pPr>
    </w:p>
    <w:p>
      <w:pPr>
        <w:ind w:left="13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93" w:lineRule="exact"/>
        <w:rPr>
          <w:sz w:val="24"/>
          <w:szCs w:val="24"/>
          <w:color w:val="auto"/>
        </w:rPr>
      </w:pPr>
    </w:p>
    <w:p>
      <w:pPr>
        <w:jc w:val="center"/>
        <w:ind w:right="2440"/>
        <w:spacing w:after="0"/>
        <w:rPr>
          <w:sz w:val="20"/>
          <w:szCs w:val="20"/>
          <w:color w:val="auto"/>
        </w:rPr>
      </w:pPr>
      <w:r>
        <w:rPr>
          <w:rFonts w:ascii="Arial" w:cs="Arial" w:eastAsia="Arial" w:hAnsi="Arial"/>
          <w:sz w:val="16"/>
          <w:szCs w:val="16"/>
          <w:b w:val="1"/>
          <w:bCs w:val="1"/>
          <w:color w:val="auto"/>
        </w:rPr>
        <w:t>1-14267</w:t>
      </w:r>
    </w:p>
    <w:p>
      <w:pPr>
        <w:spacing w:after="0" w:line="20" w:lineRule="exact"/>
        <w:rPr>
          <w:sz w:val="24"/>
          <w:szCs w:val="24"/>
          <w:color w:val="auto"/>
        </w:rPr>
      </w:pPr>
      <w:r>
        <w:rPr>
          <w:sz w:val="24"/>
          <w:szCs w:val="24"/>
          <w:color w:val="auto"/>
        </w:rPr>
        <w:br w:type="column"/>
      </w:r>
    </w:p>
    <w:p>
      <w:pPr>
        <w:spacing w:after="0" w:line="29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65-0716904</w:t>
      </w:r>
    </w:p>
    <w:p>
      <w:pPr>
        <w:spacing w:after="0" w:line="90" w:lineRule="exact"/>
        <w:rPr>
          <w:sz w:val="24"/>
          <w:szCs w:val="24"/>
          <w:color w:val="auto"/>
        </w:rPr>
      </w:pPr>
    </w:p>
    <w:p>
      <w:pPr>
        <w:sectPr>
          <w:pgSz w:w="11900" w:h="16838" w:orient="portrait"/>
          <w:cols w:equalWidth="0" w:num="3">
            <w:col w:w="4620" w:space="720"/>
            <w:col w:w="3040" w:space="720"/>
            <w:col w:w="2160"/>
          </w:cols>
          <w:pgMar w:left="320" w:top="994" w:right="319" w:bottom="1440" w:gutter="0" w:footer="0" w:header="0"/>
          <w:type w:val="continuous"/>
        </w:sectPr>
      </w:pPr>
    </w:p>
    <w:p>
      <w:pPr>
        <w:ind w:left="68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35" w:lineRule="exact"/>
        <w:rPr>
          <w:sz w:val="24"/>
          <w:szCs w:val="24"/>
          <w:color w:val="auto"/>
        </w:rPr>
      </w:pPr>
    </w:p>
    <w:p>
      <w:pPr>
        <w:sectPr>
          <w:pgSz w:w="11900" w:h="16838" w:orient="portrait"/>
          <w:cols w:equalWidth="0" w:num="3">
            <w:col w:w="3920" w:space="720"/>
            <w:col w:w="2940" w:space="720"/>
            <w:col w:w="2960"/>
          </w:cols>
          <w:pgMar w:left="320" w:top="994" w:right="319" w:bottom="1440" w:gutter="0" w:footer="0" w:header="0"/>
          <w:type w:val="continuous"/>
        </w:sectPr>
      </w:pPr>
    </w:p>
    <w:p>
      <w:pPr>
        <w:ind w:left="1200"/>
        <w:spacing w:after="0"/>
        <w:rPr>
          <w:sz w:val="20"/>
          <w:szCs w:val="20"/>
          <w:color w:val="auto"/>
        </w:rPr>
      </w:pPr>
      <w:r>
        <w:rPr>
          <w:rFonts w:ascii="Arial" w:cs="Arial" w:eastAsia="Arial" w:hAnsi="Arial"/>
          <w:sz w:val="18"/>
          <w:szCs w:val="18"/>
          <w:color w:val="auto"/>
        </w:rPr>
        <w:t>incorporation)</w:t>
      </w:r>
    </w:p>
    <w:p>
      <w:pPr>
        <w:spacing w:after="0" w:line="200" w:lineRule="exact"/>
        <w:rPr>
          <w:sz w:val="24"/>
          <w:szCs w:val="24"/>
          <w:color w:val="auto"/>
        </w:rPr>
      </w:pPr>
    </w:p>
    <w:p>
      <w:pPr>
        <w:spacing w:after="0" w:line="200" w:lineRule="exact"/>
        <w:rPr>
          <w:sz w:val="24"/>
          <w:szCs w:val="24"/>
          <w:color w:val="auto"/>
        </w:rPr>
      </w:pPr>
    </w:p>
    <w:p>
      <w:pPr>
        <w:spacing w:after="0" w:line="293" w:lineRule="exact"/>
        <w:rPr>
          <w:sz w:val="24"/>
          <w:szCs w:val="24"/>
          <w:color w:val="auto"/>
        </w:rPr>
      </w:pPr>
    </w:p>
    <w:p>
      <w:pPr>
        <w:ind w:left="1360"/>
        <w:spacing w:after="0"/>
        <w:rPr>
          <w:sz w:val="20"/>
          <w:szCs w:val="20"/>
          <w:color w:val="auto"/>
        </w:rPr>
      </w:pPr>
      <w:r>
        <w:rPr>
          <w:rFonts w:ascii="Arial" w:cs="Arial" w:eastAsia="Arial" w:hAnsi="Arial"/>
          <w:sz w:val="16"/>
          <w:szCs w:val="16"/>
          <w:b w:val="1"/>
          <w:bCs w:val="1"/>
          <w:color w:val="auto"/>
        </w:rPr>
        <w:t>18500 North Allied Way</w:t>
      </w:r>
    </w:p>
    <w:p>
      <w:pPr>
        <w:sectPr>
          <w:pgSz w:w="11900" w:h="16838" w:orient="portrait"/>
          <w:cols w:equalWidth="0" w:num="1">
            <w:col w:w="11260"/>
          </w:cols>
          <w:pgMar w:left="320" w:top="994" w:right="319" w:bottom="1440" w:gutter="0" w:footer="0" w:header="0"/>
          <w:type w:val="continuous"/>
        </w:sectPr>
      </w:pPr>
    </w:p>
    <w:p>
      <w:pPr>
        <w:spacing w:after="0" w:line="86"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Phoenix, Arizona</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85054</w:t>
      </w:r>
    </w:p>
    <w:p>
      <w:pPr>
        <w:spacing w:after="0" w:line="101" w:lineRule="exact"/>
        <w:rPr>
          <w:sz w:val="24"/>
          <w:szCs w:val="24"/>
          <w:color w:val="auto"/>
        </w:rPr>
      </w:pPr>
    </w:p>
    <w:p>
      <w:pPr>
        <w:sectPr>
          <w:pgSz w:w="11900" w:h="16838" w:orient="portrait"/>
          <w:cols w:equalWidth="0" w:num="2">
            <w:col w:w="6960" w:space="720"/>
            <w:col w:w="3580"/>
          </w:cols>
          <w:pgMar w:left="320" w:top="994" w:right="319" w:bottom="1440" w:gutter="0" w:footer="0" w:header="0"/>
          <w:type w:val="continuous"/>
        </w:sectPr>
      </w:pPr>
    </w:p>
    <w:p>
      <w:pPr>
        <w:ind w:left="8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6780" w:space="720"/>
            <w:col w:w="3760"/>
          </w:cols>
          <w:pgMar w:left="320" w:top="994" w:right="319" w:bottom="1440" w:gutter="0" w:footer="0" w:header="0"/>
          <w:type w:val="continuous"/>
        </w:sectPr>
      </w:pPr>
    </w:p>
    <w:p>
      <w:pPr>
        <w:spacing w:after="0" w:line="7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including area code: (480) 627-2700</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346" w:lineRule="exact"/>
        <w:rPr>
          <w:sz w:val="24"/>
          <w:szCs w:val="24"/>
          <w:color w:val="auto"/>
        </w:rPr>
      </w:pPr>
    </w:p>
    <w:p>
      <w:pPr>
        <w:ind w:right="7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9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right="3000" w:firstLine="8"/>
        <w:spacing w:after="0" w:line="395" w:lineRule="auto"/>
        <w:tabs>
          <w:tab w:leader="none" w:pos="20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1"/>
        </w:trPr>
        <w:tc>
          <w:tcPr>
            <w:tcW w:w="45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6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Trading Symbol</w:t>
            </w:r>
          </w:p>
        </w:tc>
        <w:tc>
          <w:tcPr>
            <w:tcW w:w="41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Name of exchange on which registered</w:t>
            </w:r>
          </w:p>
        </w:tc>
      </w:tr>
      <w:tr>
        <w:trPr>
          <w:trHeight w:val="27"/>
        </w:trPr>
        <w:tc>
          <w:tcPr>
            <w:tcW w:w="4520" w:type="dxa"/>
            <w:vAlign w:val="bottom"/>
            <w:tcBorders>
              <w:left w:val="single" w:sz="8" w:color="auto"/>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4100" w:type="dxa"/>
            <w:vAlign w:val="bottom"/>
            <w:tcBorders>
              <w:bottom w:val="single" w:sz="8" w:color="auto"/>
              <w:right w:val="single" w:sz="8" w:color="auto"/>
            </w:tcBorders>
          </w:tcPr>
          <w:p>
            <w:pPr>
              <w:spacing w:after="0"/>
              <w:rPr>
                <w:sz w:val="2"/>
                <w:szCs w:val="2"/>
                <w:color w:val="auto"/>
              </w:rPr>
            </w:pPr>
          </w:p>
        </w:tc>
      </w:tr>
      <w:tr>
        <w:trPr>
          <w:trHeight w:val="244"/>
        </w:trPr>
        <w:tc>
          <w:tcPr>
            <w:tcW w:w="4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2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RSG</w:t>
            </w:r>
          </w:p>
        </w:tc>
        <w:tc>
          <w:tcPr>
            <w:tcW w:w="4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29" w:lineRule="exact"/>
        <w:rPr>
          <w:sz w:val="24"/>
          <w:szCs w:val="24"/>
          <w:color w:val="auto"/>
        </w:rPr>
      </w:pPr>
    </w:p>
    <w:p>
      <w:pPr>
        <w:ind w:right="540"/>
        <w:spacing w:after="0" w:line="262"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890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94" w:lineRule="exact"/>
        <w:rPr>
          <w:sz w:val="24"/>
          <w:szCs w:val="24"/>
          <w:color w:val="auto"/>
        </w:rPr>
      </w:pPr>
    </w:p>
    <w:p>
      <w:pPr>
        <w:ind w:left="40" w:right="400"/>
        <w:spacing w:after="0" w:line="235"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780415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994" w:right="319" w:bottom="1440" w:gutter="0" w:footer="0" w:header="0"/>
          <w:type w:val="continuous"/>
        </w:sectPr>
      </w:pPr>
    </w:p>
    <w:bookmarkStart w:id="1" w:name="page2"/>
    <w:bookmarkEnd w:id="1"/>
    <w:p>
      <w:pPr>
        <w:ind w:right="26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44"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This Current Report on Form 8-K/A (the “Amendment”) is being filed as an amendment to the Current Report on Form 8-K filed by Republic Services, Inc. (the “Company”) on May 20, 2020 (the “Original 8-K”). The Original 8-K was filed with the Securities and Exchange Commission to report the naming of Brian DelGhiaccio as the Company’s Executive Vice President, Chief Financial Officer effective June 1, 2020. The purpose of this Amendment is to include information concerning Mr. DelGhiaccio’s compensation and other arrangements with the Company that were approved by the Management Development and Compensation Committee of the Company’s Board of Directors (the “Committee”) and accepted by Mr. DelGhiaccio on June 3, 2020.</w:t>
      </w:r>
    </w:p>
    <w:p>
      <w:pPr>
        <w:spacing w:after="0" w:line="2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connection with his appointment, the Committee increased Mr. DelGhiaccio’s base salary to $550,000, with an annual cash bonus opportunity of 80% of his base salary. The Committee also granted Mr. DelGhiaccio $200,000 in restricted stock units, as well as supplemental long-term incentive awards with targets of $100,000, $233,333 and $352,917 for the 2018-2020, 2019-2021 and 2020-2022 performance cycles, respectively. Finally, the Committee approved the contribution of $65,000 to Mr. DelGhiaccio’s deferred compensation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537845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4"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REPUBLIC SERVICES, INC.</w:t>
      </w:r>
    </w:p>
    <w:p>
      <w:pPr>
        <w:spacing w:after="0" w:line="121" w:lineRule="exact"/>
        <w:rPr>
          <w:sz w:val="20"/>
          <w:szCs w:val="20"/>
          <w:color w:val="auto"/>
        </w:rPr>
      </w:pPr>
    </w:p>
    <w:p>
      <w:pPr>
        <w:ind w:left="20"/>
        <w:spacing w:after="0"/>
        <w:tabs>
          <w:tab w:leader="none" w:pos="640" w:val="left"/>
          <w:tab w:leader="none" w:pos="6300" w:val="left"/>
          <w:tab w:leader="none" w:pos="6740" w:val="left"/>
        </w:tabs>
        <w:rPr>
          <w:sz w:val="20"/>
          <w:szCs w:val="20"/>
          <w:color w:val="auto"/>
        </w:rPr>
      </w:pPr>
      <w:r>
        <w:rPr>
          <w:rFonts w:ascii="Arial" w:cs="Arial" w:eastAsia="Arial" w:hAnsi="Arial"/>
          <w:sz w:val="18"/>
          <w:szCs w:val="18"/>
          <w:color w:val="auto"/>
        </w:rPr>
        <w:t>Date:</w:t>
        <w:tab/>
        <w:t>June 4,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Catharine D. Ellingsen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31750</wp:posOffset>
            </wp:positionV>
            <wp:extent cx="28289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02" w:lineRule="exact"/>
        <w:rPr>
          <w:sz w:val="20"/>
          <w:szCs w:val="20"/>
          <w:color w:val="auto"/>
        </w:rPr>
      </w:pPr>
    </w:p>
    <w:p>
      <w:pPr>
        <w:ind w:left="6760"/>
        <w:spacing w:after="0"/>
        <w:rPr>
          <w:sz w:val="20"/>
          <w:szCs w:val="20"/>
          <w:color w:val="auto"/>
        </w:rPr>
      </w:pPr>
      <w:r>
        <w:rPr>
          <w:rFonts w:ascii="Arial" w:cs="Arial" w:eastAsia="Arial" w:hAnsi="Arial"/>
          <w:sz w:val="14"/>
          <w:szCs w:val="14"/>
          <w:b w:val="1"/>
          <w:bCs w:val="1"/>
          <w:color w:val="auto"/>
        </w:rPr>
        <w:t>Catharine D. Ellingsen</w:t>
      </w:r>
    </w:p>
    <w:p>
      <w:pPr>
        <w:spacing w:after="0" w:line="42" w:lineRule="exact"/>
        <w:rPr>
          <w:sz w:val="20"/>
          <w:szCs w:val="20"/>
          <w:color w:val="auto"/>
        </w:rPr>
      </w:pPr>
    </w:p>
    <w:p>
      <w:pPr>
        <w:ind w:left="6760"/>
        <w:spacing w:after="0"/>
        <w:rPr>
          <w:sz w:val="20"/>
          <w:szCs w:val="20"/>
          <w:color w:val="auto"/>
        </w:rPr>
      </w:pPr>
      <w:r>
        <w:rPr>
          <w:rFonts w:ascii="Arial" w:cs="Arial" w:eastAsia="Arial" w:hAnsi="Arial"/>
          <w:sz w:val="14"/>
          <w:szCs w:val="14"/>
          <w:b w:val="1"/>
          <w:bCs w:val="1"/>
          <w:color w:val="auto"/>
        </w:rPr>
        <w:t>Executive Vice President, Chief Legal Officer, Chief Ethics &amp;</w:t>
      </w:r>
    </w:p>
    <w:p>
      <w:pPr>
        <w:spacing w:after="0" w:line="4" w:lineRule="exact"/>
        <w:rPr>
          <w:sz w:val="20"/>
          <w:szCs w:val="20"/>
          <w:color w:val="auto"/>
        </w:rPr>
      </w:pPr>
    </w:p>
    <w:p>
      <w:pPr>
        <w:ind w:left="6760"/>
        <w:spacing w:after="0"/>
        <w:rPr>
          <w:sz w:val="20"/>
          <w:szCs w:val="20"/>
          <w:color w:val="auto"/>
        </w:rPr>
      </w:pPr>
      <w:r>
        <w:rPr>
          <w:rFonts w:ascii="Arial" w:cs="Arial" w:eastAsia="Arial" w:hAnsi="Arial"/>
          <w:sz w:val="14"/>
          <w:szCs w:val="14"/>
          <w:b w:val="1"/>
          <w:bCs w:val="1"/>
          <w:color w:val="auto"/>
        </w:rPr>
        <w:t>Compliance Officer and Corporate Secretary</w:t>
      </w:r>
    </w:p>
    <w:sectPr>
      <w:pgSz w:w="11900" w:h="16838" w:orient="portrait"/>
      <w:cols w:equalWidth="0" w:num="1">
        <w:col w:w="11240"/>
      </w:cols>
      <w:pgMar w:left="320" w:top="121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2020-06-04T16:20:02Z</dcterms:created>
  <dcterms:modified xsi:type="dcterms:W3CDTF">2020-06-04T16:20:02Z</dcterms:modified>
</cp:coreProperties>
</file>