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Washington, D.C. 20549</w:t>
      </w:r>
    </w:p>
    <w:p>
      <w:pPr>
        <w:spacing w:after="0" w:line="20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FORM 8-K</w:t>
      </w:r>
    </w:p>
    <w:p>
      <w:pPr>
        <w:spacing w:after="0" w:line="164"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CURRENT REPORT</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Pursuant to Section 13 OR 15(d) of the Securities Exchange Act of 1934</w:t>
      </w:r>
    </w:p>
    <w:p>
      <w:pPr>
        <w:spacing w:after="0" w:line="74"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March 24, 2020</w:t>
      </w:r>
    </w:p>
    <w:p>
      <w:pPr>
        <w:spacing w:after="0" w:line="69" w:lineRule="exact"/>
        <w:rPr>
          <w:sz w:val="24"/>
          <w:szCs w:val="24"/>
          <w:color w:val="auto"/>
        </w:rPr>
      </w:pPr>
    </w:p>
    <w:p>
      <w:pPr>
        <w:jc w:val="center"/>
        <w:ind w:right="52"/>
        <w:spacing w:after="0"/>
        <w:rPr>
          <w:sz w:val="20"/>
          <w:szCs w:val="20"/>
          <w:color w:val="auto"/>
        </w:rPr>
      </w:pPr>
      <w:r>
        <w:rPr>
          <w:rFonts w:ascii="Arial" w:cs="Arial" w:eastAsia="Arial" w:hAnsi="Arial"/>
          <w:sz w:val="19"/>
          <w:szCs w:val="19"/>
          <w:b w:val="1"/>
          <w:bCs w:val="1"/>
          <w:color w:val="auto"/>
        </w:rPr>
        <w:t>Republic Services,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08"/>
          </w:cols>
          <w:pgMar w:left="292" w:top="189" w:right="299" w:bottom="1440" w:gutter="0" w:footer="0" w:header="0"/>
        </w:sectPr>
      </w:pPr>
    </w:p>
    <w:p>
      <w:pPr>
        <w:spacing w:after="0" w:line="140" w:lineRule="exact"/>
        <w:rPr>
          <w:sz w:val="24"/>
          <w:szCs w:val="24"/>
          <w:color w:val="auto"/>
        </w:rPr>
      </w:pPr>
    </w:p>
    <w:p>
      <w:pPr>
        <w:jc w:val="center"/>
        <w:ind w:right="592"/>
        <w:spacing w:after="0"/>
        <w:rPr>
          <w:sz w:val="20"/>
          <w:szCs w:val="20"/>
          <w:color w:val="auto"/>
        </w:rPr>
      </w:pPr>
      <w:r>
        <w:rPr>
          <w:rFonts w:ascii="Arial" w:cs="Arial" w:eastAsia="Arial" w:hAnsi="Arial"/>
          <w:sz w:val="11"/>
          <w:szCs w:val="11"/>
          <w:b w:val="1"/>
          <w:bCs w:val="1"/>
          <w:color w:val="auto"/>
        </w:rPr>
        <w:t>Delaware</w:t>
      </w:r>
    </w:p>
    <w:p>
      <w:pPr>
        <w:spacing w:after="0" w:line="14" w:lineRule="exact"/>
        <w:rPr>
          <w:sz w:val="24"/>
          <w:szCs w:val="24"/>
          <w:color w:val="auto"/>
        </w:rPr>
      </w:pPr>
    </w:p>
    <w:p>
      <w:pPr>
        <w:jc w:val="center"/>
        <w:ind w:right="592"/>
        <w:spacing w:after="0"/>
        <w:rPr>
          <w:sz w:val="20"/>
          <w:szCs w:val="20"/>
          <w:color w:val="auto"/>
        </w:rPr>
      </w:pPr>
      <w:r>
        <w:rPr>
          <w:rFonts w:ascii="Arial" w:cs="Arial" w:eastAsia="Arial" w:hAnsi="Arial"/>
          <w:sz w:val="10"/>
          <w:szCs w:val="10"/>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060"/>
        <w:spacing w:after="0"/>
        <w:rPr>
          <w:sz w:val="20"/>
          <w:szCs w:val="20"/>
          <w:color w:val="auto"/>
        </w:rPr>
      </w:pPr>
      <w:r>
        <w:rPr>
          <w:rFonts w:ascii="Arial" w:cs="Arial" w:eastAsia="Arial" w:hAnsi="Arial"/>
          <w:sz w:val="11"/>
          <w:szCs w:val="11"/>
          <w:b w:val="1"/>
          <w:bCs w:val="1"/>
          <w:color w:val="auto"/>
        </w:rPr>
        <w:t>1-14267</w:t>
      </w:r>
    </w:p>
    <w:p>
      <w:pPr>
        <w:spacing w:after="0" w:line="14" w:lineRule="exact"/>
        <w:rPr>
          <w:sz w:val="24"/>
          <w:szCs w:val="24"/>
          <w:color w:val="auto"/>
        </w:rPr>
      </w:pPr>
    </w:p>
    <w:p>
      <w:pPr>
        <w:jc w:val="center"/>
        <w:ind w:right="2060"/>
        <w:spacing w:after="0"/>
        <w:rPr>
          <w:sz w:val="20"/>
          <w:szCs w:val="20"/>
          <w:color w:val="auto"/>
        </w:rPr>
      </w:pPr>
      <w:r>
        <w:rPr>
          <w:rFonts w:ascii="Arial" w:cs="Arial" w:eastAsia="Arial" w:hAnsi="Arial"/>
          <w:sz w:val="9"/>
          <w:szCs w:val="9"/>
          <w:color w:val="auto"/>
        </w:rPr>
        <w:t>(Commission File Number)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480"/>
        <w:spacing w:after="0"/>
        <w:rPr>
          <w:sz w:val="20"/>
          <w:szCs w:val="20"/>
          <w:color w:val="auto"/>
        </w:rPr>
      </w:pPr>
      <w:r>
        <w:rPr>
          <w:rFonts w:ascii="Arial" w:cs="Arial" w:eastAsia="Arial" w:hAnsi="Arial"/>
          <w:sz w:val="11"/>
          <w:szCs w:val="11"/>
          <w:b w:val="1"/>
          <w:bCs w:val="1"/>
          <w:color w:val="auto"/>
        </w:rPr>
        <w:t>65-0716904</w:t>
      </w:r>
    </w:p>
    <w:p>
      <w:pPr>
        <w:spacing w:after="0" w:line="14" w:lineRule="exact"/>
        <w:rPr>
          <w:sz w:val="24"/>
          <w:szCs w:val="24"/>
          <w:color w:val="auto"/>
        </w:rPr>
      </w:pPr>
    </w:p>
    <w:p>
      <w:pPr>
        <w:jc w:val="center"/>
        <w:ind w:right="1480"/>
        <w:spacing w:after="0"/>
        <w:rPr>
          <w:sz w:val="20"/>
          <w:szCs w:val="20"/>
          <w:color w:val="auto"/>
        </w:rPr>
      </w:pPr>
      <w:r>
        <w:rPr>
          <w:rFonts w:ascii="Arial" w:cs="Arial" w:eastAsia="Arial" w:hAnsi="Arial"/>
          <w:sz w:val="10"/>
          <w:szCs w:val="10"/>
          <w:color w:val="auto"/>
        </w:rPr>
        <w:t>(I.R.S. Employer</w:t>
      </w:r>
    </w:p>
    <w:p>
      <w:pPr>
        <w:spacing w:after="0" w:line="20" w:lineRule="exact"/>
        <w:rPr>
          <w:sz w:val="24"/>
          <w:szCs w:val="24"/>
          <w:color w:val="auto"/>
        </w:rPr>
      </w:pPr>
    </w:p>
    <w:p>
      <w:pPr>
        <w:jc w:val="center"/>
        <w:ind w:right="1480"/>
        <w:spacing w:after="0"/>
        <w:rPr>
          <w:sz w:val="20"/>
          <w:szCs w:val="20"/>
          <w:color w:val="auto"/>
        </w:rPr>
      </w:pPr>
      <w:r>
        <w:rPr>
          <w:rFonts w:ascii="Arial" w:cs="Arial" w:eastAsia="Arial" w:hAnsi="Arial"/>
          <w:sz w:val="10"/>
          <w:szCs w:val="10"/>
          <w:color w:val="auto"/>
        </w:rPr>
        <w:t>Identification No.)</w:t>
      </w:r>
    </w:p>
    <w:p>
      <w:pPr>
        <w:spacing w:after="0" w:line="155" w:lineRule="exact"/>
        <w:rPr>
          <w:sz w:val="24"/>
          <w:szCs w:val="24"/>
          <w:color w:val="auto"/>
        </w:rPr>
      </w:pPr>
    </w:p>
    <w:p>
      <w:pPr>
        <w:sectPr>
          <w:pgSz w:w="11900" w:h="16838" w:orient="portrait"/>
          <w:cols w:equalWidth="0" w:num="3">
            <w:col w:w="4348" w:space="720"/>
            <w:col w:w="3240" w:space="720"/>
            <w:col w:w="2280"/>
          </w:cols>
          <w:pgMar w:left="292" w:top="189" w:right="299" w:bottom="1440" w:gutter="0" w:footer="0" w:header="0"/>
          <w:type w:val="continuous"/>
        </w:sectPr>
      </w:pPr>
    </w:p>
    <w:p>
      <w:pPr>
        <w:ind w:left="2208"/>
        <w:spacing w:after="0"/>
        <w:rPr>
          <w:sz w:val="20"/>
          <w:szCs w:val="20"/>
          <w:color w:val="auto"/>
        </w:rPr>
      </w:pPr>
      <w:r>
        <w:rPr>
          <w:rFonts w:ascii="Arial" w:cs="Arial" w:eastAsia="Arial" w:hAnsi="Arial"/>
          <w:sz w:val="11"/>
          <w:szCs w:val="11"/>
          <w:b w:val="1"/>
          <w:bCs w:val="1"/>
          <w:color w:val="auto"/>
        </w:rPr>
        <w:t>18500 North Allied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85054</w:t>
      </w:r>
    </w:p>
    <w:p>
      <w:pPr>
        <w:spacing w:after="0" w:line="41" w:lineRule="exact"/>
        <w:rPr>
          <w:sz w:val="24"/>
          <w:szCs w:val="24"/>
          <w:color w:val="auto"/>
        </w:rPr>
      </w:pPr>
    </w:p>
    <w:p>
      <w:pPr>
        <w:sectPr>
          <w:pgSz w:w="11900" w:h="16838" w:orient="portrait"/>
          <w:cols w:equalWidth="0" w:num="2">
            <w:col w:w="7608" w:space="720"/>
            <w:col w:w="2980"/>
          </w:cols>
          <w:pgMar w:left="292" w:top="189" w:right="299" w:bottom="1440" w:gutter="0" w:footer="0" w:header="0"/>
          <w:type w:val="continuous"/>
        </w:sectPr>
      </w:pPr>
    </w:p>
    <w:p>
      <w:pPr>
        <w:ind w:left="2388"/>
        <w:spacing w:after="0"/>
        <w:rPr>
          <w:sz w:val="20"/>
          <w:szCs w:val="20"/>
          <w:color w:val="auto"/>
        </w:rPr>
      </w:pPr>
      <w:r>
        <w:rPr>
          <w:rFonts w:ascii="Arial" w:cs="Arial" w:eastAsia="Arial" w:hAnsi="Arial"/>
          <w:sz w:val="10"/>
          <w:szCs w:val="10"/>
          <w:b w:val="1"/>
          <w:bCs w:val="1"/>
          <w:color w:val="auto"/>
        </w:rPr>
        <w:t>Phoenix, Arizona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18" w:lineRule="exact"/>
        <w:rPr>
          <w:sz w:val="24"/>
          <w:szCs w:val="24"/>
          <w:color w:val="auto"/>
        </w:rPr>
      </w:pPr>
    </w:p>
    <w:p>
      <w:pPr>
        <w:sectPr>
          <w:pgSz w:w="11900" w:h="16838" w:orient="portrait"/>
          <w:cols w:equalWidth="0" w:num="2">
            <w:col w:w="7488" w:space="720"/>
            <w:col w:w="3100"/>
          </w:cols>
          <w:pgMar w:left="292" w:top="189" w:right="299" w:bottom="1440" w:gutter="0" w:footer="0" w:header="0"/>
          <w:type w:val="continuous"/>
        </w:sectPr>
      </w:pPr>
    </w:p>
    <w:p>
      <w:pPr>
        <w:ind w:left="1868"/>
        <w:spacing w:after="0"/>
        <w:rPr>
          <w:sz w:val="20"/>
          <w:szCs w:val="20"/>
          <w:color w:val="auto"/>
        </w:rPr>
      </w:pPr>
      <w:r>
        <w:rPr>
          <w:rFonts w:ascii="Arial" w:cs="Arial" w:eastAsia="Arial" w:hAnsi="Arial"/>
          <w:sz w:val="11"/>
          <w:szCs w:val="11"/>
          <w:color w:val="auto"/>
        </w:rPr>
        <w:t>(Address of principal executive offices)</w:t>
      </w:r>
    </w:p>
    <w:p>
      <w:pPr>
        <w:sectPr>
          <w:pgSz w:w="11900" w:h="16838" w:orient="portrait"/>
          <w:cols w:equalWidth="0" w:num="1">
            <w:col w:w="11308"/>
          </w:cols>
          <w:pgMar w:left="292" w:top="189" w:right="299" w:bottom="1440" w:gutter="0" w:footer="0" w:header="0"/>
          <w:type w:val="continuous"/>
        </w:sectPr>
      </w:pPr>
    </w:p>
    <w:p>
      <w:pPr>
        <w:spacing w:after="0" w:line="14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Registrant's telephone number, including area code: (480) 627-2700</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Not applicable</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5" w:lineRule="exact"/>
        <w:rPr>
          <w:sz w:val="24"/>
          <w:szCs w:val="24"/>
          <w:color w:val="auto"/>
        </w:rPr>
      </w:pPr>
    </w:p>
    <w:tbl>
      <w:tblPr>
        <w:tblLayout w:type="fixed"/>
        <w:tblInd w:w="18" w:type="dxa"/>
        <w:tblCellMar>
          <w:top w:w="0" w:type="dxa"/>
          <w:left w:w="0" w:type="dxa"/>
          <w:bottom w:w="0" w:type="dxa"/>
          <w:right w:w="0" w:type="dxa"/>
        </w:tblCellMar>
      </w:tblPr>
      <w:tr>
        <w:trPr>
          <w:trHeight w:val="133"/>
        </w:trPr>
        <w:tc>
          <w:tcPr>
            <w:tcW w:w="4620" w:type="dxa"/>
            <w:vAlign w:val="bottom"/>
            <w:tcBorders>
              <w:top w:val="single" w:sz="8" w:color="auto"/>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Title of Each Class</w:t>
            </w:r>
          </w:p>
        </w:tc>
        <w:tc>
          <w:tcPr>
            <w:tcW w:w="2420" w:type="dxa"/>
            <w:vAlign w:val="bottom"/>
            <w:tcBorders>
              <w:top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Trading Symbol</w:t>
            </w:r>
          </w:p>
        </w:tc>
        <w:tc>
          <w:tcPr>
            <w:tcW w:w="4260" w:type="dxa"/>
            <w:vAlign w:val="bottom"/>
            <w:tcBorders>
              <w:top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0"/>
              </w:rPr>
              <w:t>Name of exchange on which registered</w:t>
            </w:r>
          </w:p>
        </w:tc>
      </w:tr>
      <w:tr>
        <w:trPr>
          <w:trHeight w:val="133"/>
        </w:trPr>
        <w:tc>
          <w:tcPr>
            <w:tcW w:w="46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Common Stock, par value $0.01 per share</w:t>
            </w:r>
          </w:p>
        </w:tc>
        <w:tc>
          <w:tcPr>
            <w:tcW w:w="24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2"/>
              </w:rPr>
              <w:t>RSG</w:t>
            </w:r>
          </w:p>
        </w:tc>
        <w:tc>
          <w:tcPr>
            <w:tcW w:w="42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New York Stock Exchange</w:t>
            </w:r>
          </w:p>
        </w:tc>
      </w:tr>
    </w:tbl>
    <w:p>
      <w:pPr>
        <w:spacing w:after="0" w:line="234" w:lineRule="exact"/>
        <w:rPr>
          <w:sz w:val="24"/>
          <w:szCs w:val="24"/>
          <w:color w:val="auto"/>
        </w:rPr>
      </w:pPr>
    </w:p>
    <w:p>
      <w:pPr>
        <w:ind w:left="8" w:right="1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8"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27"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89" w:right="299" w:bottom="1440" w:gutter="0" w:footer="0" w:header="0"/>
          <w:type w:val="continuous"/>
        </w:sectPr>
      </w:pPr>
    </w:p>
    <w:bookmarkStart w:id="1" w:name="page2"/>
    <w:bookmarkEnd w:id="1"/>
    <w:p>
      <w:pPr>
        <w:ind w:left="8"/>
        <w:spacing w:after="0"/>
        <w:rPr>
          <w:sz w:val="20"/>
          <w:szCs w:val="20"/>
          <w:color w:val="auto"/>
        </w:rPr>
      </w:pPr>
      <w:r>
        <w:rPr>
          <w:rFonts w:ascii="Arial" w:cs="Arial" w:eastAsia="Arial" w:hAnsi="Arial"/>
          <w:sz w:val="13"/>
          <w:szCs w:val="13"/>
          <w:b w:val="1"/>
          <w:bCs w:val="1"/>
          <w:color w:val="auto"/>
        </w:rPr>
        <w:t>Item 7.01 Regulation FD Disclosure.</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March 24, 2020, Republic Services, Inc. (the “Company”) issued an investor update regarding the Company’s response to COVID-19. A copy of the investor update is attached hereto as Exhibit 99.1.</w:t>
      </w:r>
    </w:p>
    <w:p>
      <w:pPr>
        <w:spacing w:after="0" w:line="168" w:lineRule="exact"/>
        <w:rPr>
          <w:sz w:val="20"/>
          <w:szCs w:val="20"/>
          <w:color w:val="auto"/>
        </w:rPr>
      </w:pPr>
    </w:p>
    <w:p>
      <w:pPr>
        <w:ind w:left="8" w:right="460"/>
        <w:spacing w:after="0" w:line="314" w:lineRule="auto"/>
        <w:rPr>
          <w:sz w:val="20"/>
          <w:szCs w:val="20"/>
          <w:color w:val="auto"/>
        </w:rPr>
      </w:pPr>
      <w:r>
        <w:rPr>
          <w:rFonts w:ascii="Arial" w:cs="Arial" w:eastAsia="Arial" w:hAnsi="Arial"/>
          <w:sz w:val="12"/>
          <w:szCs w:val="12"/>
          <w:color w:val="212529"/>
        </w:rPr>
        <w:t>The information in this Current Report on Form 8-K and the exhibit attached hereto are being furnished and shall not be deemed “filed” for purposes of Section 18 of the Securities Exchange Act of 1934 or otherwise subject to the liabilities of that section, nor shall they be deemed incorporated by reference in any filing under the Securities Act of 1933 except as shall be expressly set forth in such filing.</w:t>
      </w:r>
    </w:p>
    <w:p>
      <w:pPr>
        <w:spacing w:after="0" w:line="94" w:lineRule="exact"/>
        <w:rPr>
          <w:sz w:val="20"/>
          <w:szCs w:val="20"/>
          <w:color w:val="auto"/>
        </w:rPr>
      </w:pPr>
    </w:p>
    <w:p>
      <w:pPr>
        <w:ind w:left="8"/>
        <w:spacing w:after="0"/>
        <w:tabs>
          <w:tab w:leader="none" w:pos="968"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7" w:lineRule="exact"/>
        <w:rPr>
          <w:sz w:val="20"/>
          <w:szCs w:val="20"/>
          <w:color w:val="auto"/>
        </w:rPr>
      </w:pPr>
    </w:p>
    <w:p>
      <w:pPr>
        <w:ind w:left="1368" w:hanging="1368"/>
        <w:spacing w:after="0"/>
        <w:tabs>
          <w:tab w:leader="none" w:pos="136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1540" w:type="dxa"/>
            <w:vAlign w:val="bottom"/>
            <w:gridSpan w:val="2"/>
          </w:tcPr>
          <w:p>
            <w:pPr>
              <w:ind w:left="360"/>
              <w:spacing w:after="0"/>
              <w:rPr>
                <w:sz w:val="20"/>
                <w:szCs w:val="20"/>
                <w:color w:val="auto"/>
              </w:rPr>
            </w:pPr>
            <w:r>
              <w:rPr>
                <w:rFonts w:ascii="Arial" w:cs="Arial" w:eastAsia="Arial" w:hAnsi="Arial"/>
                <w:sz w:val="13"/>
                <w:szCs w:val="13"/>
                <w:color w:val="auto"/>
              </w:rPr>
              <w:t>Exhibit No.</w:t>
            </w:r>
          </w:p>
        </w:tc>
        <w:tc>
          <w:tcPr>
            <w:tcW w:w="40" w:type="dxa"/>
            <w:vAlign w:val="bottom"/>
          </w:tcPr>
          <w:p>
            <w:pPr>
              <w:spacing w:after="0"/>
              <w:rPr>
                <w:sz w:val="14"/>
                <w:szCs w:val="14"/>
                <w:color w:val="auto"/>
              </w:rPr>
            </w:pPr>
          </w:p>
        </w:tc>
        <w:tc>
          <w:tcPr>
            <w:tcW w:w="9120" w:type="dxa"/>
            <w:vAlign w:val="bottom"/>
            <w:gridSpan w:val="2"/>
          </w:tcPr>
          <w:p>
            <w:pPr>
              <w:spacing w:after="0"/>
              <w:rPr>
                <w:sz w:val="20"/>
                <w:szCs w:val="20"/>
                <w:color w:val="auto"/>
              </w:rPr>
            </w:pPr>
            <w:r>
              <w:rPr>
                <w:rFonts w:ascii="Arial" w:cs="Arial" w:eastAsia="Arial" w:hAnsi="Arial"/>
                <w:sz w:val="13"/>
                <w:szCs w:val="13"/>
                <w:color w:val="auto"/>
              </w:rPr>
              <w:t>Description</w:t>
            </w:r>
          </w:p>
        </w:tc>
        <w:tc>
          <w:tcPr>
            <w:tcW w:w="600" w:type="dxa"/>
            <w:vAlign w:val="bottom"/>
          </w:tcPr>
          <w:p>
            <w:pPr>
              <w:spacing w:after="0"/>
              <w:rPr>
                <w:sz w:val="14"/>
                <w:szCs w:val="14"/>
                <w:color w:val="auto"/>
              </w:rPr>
            </w:pPr>
          </w:p>
        </w:tc>
      </w:tr>
      <w:tr>
        <w:trPr>
          <w:trHeight w:val="115"/>
        </w:trPr>
        <w:tc>
          <w:tcPr>
            <w:tcW w:w="1360" w:type="dxa"/>
            <w:vAlign w:val="bottom"/>
            <w:tcBorders>
              <w:top w:val="single" w:sz="8" w:color="auto"/>
            </w:tcBorders>
          </w:tcPr>
          <w:p>
            <w:pPr>
              <w:jc w:val="right"/>
              <w:ind w:right="494"/>
              <w:spacing w:after="0" w:line="115" w:lineRule="exact"/>
              <w:rPr>
                <w:sz w:val="20"/>
                <w:szCs w:val="20"/>
                <w:color w:val="auto"/>
              </w:rPr>
            </w:pPr>
            <w:r>
              <w:rPr>
                <w:rFonts w:ascii="Arial" w:cs="Arial" w:eastAsia="Arial" w:hAnsi="Arial"/>
                <w:sz w:val="13"/>
                <w:szCs w:val="13"/>
                <w:color w:val="auto"/>
              </w:rPr>
              <w:t>99.1</w:t>
            </w:r>
          </w:p>
        </w:tc>
        <w:tc>
          <w:tcPr>
            <w:tcW w:w="1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120" w:type="dxa"/>
            <w:vAlign w:val="bottom"/>
            <w:tcBorders>
              <w:top w:val="single" w:sz="8" w:color="auto"/>
            </w:tcBorders>
            <w:gridSpan w:val="2"/>
          </w:tcPr>
          <w:p>
            <w:pPr>
              <w:spacing w:after="0" w:line="115" w:lineRule="exact"/>
              <w:rPr>
                <w:rFonts w:ascii="Arial" w:cs="Arial" w:eastAsia="Arial" w:hAnsi="Arial"/>
                <w:sz w:val="13"/>
                <w:szCs w:val="13"/>
                <w:color w:val="0000EE"/>
              </w:rPr>
            </w:pPr>
            <w:hyperlink w:anchor="page4">
              <w:r>
                <w:rPr>
                  <w:rFonts w:ascii="Arial" w:cs="Arial" w:eastAsia="Arial" w:hAnsi="Arial"/>
                  <w:sz w:val="13"/>
                  <w:szCs w:val="13"/>
                  <w:color w:val="0000EE"/>
                </w:rPr>
                <w:t>Republic Services Investor Update Regarding COVID-19</w:t>
              </w:r>
            </w:hyperlink>
          </w:p>
        </w:tc>
        <w:tc>
          <w:tcPr>
            <w:tcW w:w="600" w:type="dxa"/>
            <w:vAlign w:val="bottom"/>
          </w:tcPr>
          <w:p>
            <w:pPr>
              <w:spacing w:after="0"/>
              <w:rPr>
                <w:sz w:val="10"/>
                <w:szCs w:val="10"/>
                <w:color w:val="auto"/>
              </w:rPr>
            </w:pPr>
          </w:p>
        </w:tc>
      </w:tr>
      <w:tr>
        <w:trPr>
          <w:trHeight w:val="20"/>
        </w:trPr>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62"/>
        </w:trPr>
        <w:tc>
          <w:tcPr>
            <w:tcW w:w="1360" w:type="dxa"/>
            <w:vAlign w:val="bottom"/>
          </w:tcPr>
          <w:p>
            <w:pPr>
              <w:jc w:val="right"/>
              <w:ind w:right="514"/>
              <w:spacing w:after="0"/>
              <w:rPr>
                <w:sz w:val="20"/>
                <w:szCs w:val="20"/>
                <w:color w:val="auto"/>
              </w:rPr>
            </w:pPr>
            <w:r>
              <w:rPr>
                <w:rFonts w:ascii="Arial" w:cs="Arial" w:eastAsia="Arial" w:hAnsi="Arial"/>
                <w:sz w:val="13"/>
                <w:szCs w:val="13"/>
                <w:color w:val="auto"/>
              </w:rPr>
              <w:t>104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120" w:type="dxa"/>
            <w:vAlign w:val="bottom"/>
            <w:gridSpan w:val="2"/>
          </w:tcPr>
          <w:p>
            <w:pPr>
              <w:spacing w:after="0"/>
              <w:rPr>
                <w:sz w:val="20"/>
                <w:szCs w:val="20"/>
                <w:color w:val="auto"/>
              </w:rPr>
            </w:pPr>
            <w:r>
              <w:rPr>
                <w:rFonts w:ascii="Arial" w:cs="Arial" w:eastAsia="Arial" w:hAnsi="Arial"/>
                <w:sz w:val="13"/>
                <w:szCs w:val="13"/>
                <w:color w:val="auto"/>
              </w:rPr>
              <w:t>Cover Page Interactive Data File – the cover page XBRL tags are embedded within the Inline XBRL document</w:t>
            </w:r>
          </w:p>
        </w:tc>
        <w:tc>
          <w:tcPr>
            <w:tcW w:w="600" w:type="dxa"/>
            <w:vAlign w:val="bottom"/>
          </w:tcPr>
          <w:p>
            <w:pPr>
              <w:spacing w:after="0"/>
              <w:rPr>
                <w:sz w:val="14"/>
                <w:szCs w:val="14"/>
                <w:color w:val="auto"/>
              </w:rPr>
            </w:pPr>
          </w:p>
        </w:tc>
      </w:tr>
      <w:tr>
        <w:trPr>
          <w:trHeight w:val="1150"/>
        </w:trPr>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-5080</wp:posOffset>
            </wp:positionV>
            <wp:extent cx="571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 w:name="page3"/>
    <w:bookmarkEnd w:id="2"/>
    <w:p>
      <w:pPr>
        <w:ind w:left="5220"/>
        <w:spacing w:after="0"/>
        <w:rPr>
          <w:sz w:val="20"/>
          <w:szCs w:val="20"/>
          <w:color w:val="auto"/>
        </w:rPr>
      </w:pPr>
      <w:r>
        <w:rPr>
          <w:rFonts w:ascii="Arial" w:cs="Arial" w:eastAsia="Arial" w:hAnsi="Arial"/>
          <w:sz w:val="13"/>
          <w:szCs w:val="13"/>
          <w:b w:val="1"/>
          <w:bCs w:val="1"/>
          <w:color w:val="auto"/>
        </w:rPr>
        <w:t>SIGNATURES</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REPUBLIC SERVICES, INC.</w:t>
      </w:r>
    </w:p>
    <w:p>
      <w:pPr>
        <w:spacing w:after="0" w:line="200" w:lineRule="exact"/>
        <w:rPr>
          <w:sz w:val="20"/>
          <w:szCs w:val="20"/>
          <w:color w:val="auto"/>
        </w:rPr>
      </w:pPr>
    </w:p>
    <w:p>
      <w:pPr>
        <w:spacing w:after="0" w:line="267" w:lineRule="exact"/>
        <w:rPr>
          <w:sz w:val="20"/>
          <w:szCs w:val="20"/>
          <w:color w:val="auto"/>
        </w:rPr>
      </w:pPr>
    </w:p>
    <w:p>
      <w:pPr>
        <w:ind w:left="100"/>
        <w:spacing w:after="0"/>
        <w:tabs>
          <w:tab w:leader="none" w:pos="700" w:val="left"/>
          <w:tab w:leader="none" w:pos="5540" w:val="left"/>
          <w:tab w:leader="none" w:pos="598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March 24,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i w:val="1"/>
          <w:iCs w:val="1"/>
          <w:color w:val="auto"/>
        </w:rPr>
        <w:t>/s/ Catharine D. Ellingsen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8890</wp:posOffset>
            </wp:positionV>
            <wp:extent cx="22802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285" cy="5715"/>
                    </a:xfrm>
                    <a:prstGeom prst="rect">
                      <a:avLst/>
                    </a:prstGeom>
                    <a:noFill/>
                  </pic:spPr>
                </pic:pic>
              </a:graphicData>
            </a:graphic>
          </wp:anchor>
        </w:drawing>
      </w:r>
    </w:p>
    <w:p>
      <w:pPr>
        <w:spacing w:after="0" w:line="146"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Catharine D. Ellingsen</w:t>
      </w:r>
    </w:p>
    <w:p>
      <w:pPr>
        <w:spacing w:after="0" w:line="14"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Executive Vice President, Chief Legal Officer, Chief Ethics &amp;</w:t>
      </w:r>
    </w:p>
    <w:p>
      <w:pPr>
        <w:spacing w:after="0" w:line="4"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Compliance Officer and Corporate Secretary</w:t>
      </w:r>
    </w:p>
    <w:p>
      <w:pPr>
        <w:sectPr>
          <w:pgSz w:w="11900" w:h="16838" w:orient="portrait"/>
          <w:cols w:equalWidth="0" w:num="1">
            <w:col w:w="10159"/>
          </w:cols>
          <w:pgMar w:left="300" w:top="26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4455160</wp:posOffset>
            </wp:positionV>
            <wp:extent cx="71780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218680" cy="4291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2020-03-25T08:02:31Z</dcterms:created>
  <dcterms:modified xsi:type="dcterms:W3CDTF">2020-03-25T08:02:31Z</dcterms:modified>
</cp:coreProperties>
</file>