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5, 2026</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Republic Services,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02"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845"/>
        <w:gridCol w:w="845"/>
        <w:gridCol w:w="1205"/>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1-14267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65-0716904</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58" w:type="dxa"/>
        <w:jc w:val="left"/>
        <w:tblInd w:w="0" w:type="dxa"/>
        <w:tblLayout w:type="fixed"/>
        <w:tblCellMar>
          <w:top w:w="28" w:type="dxa"/>
          <w:left w:w="28" w:type="dxa"/>
          <w:bottom w:w="28" w:type="dxa"/>
          <w:right w:w="28" w:type="dxa"/>
        </w:tblCellMar>
      </w:tblPr>
      <w:tblGrid>
        <w:gridCol w:w="611"/>
        <w:gridCol w:w="537"/>
        <w:gridCol w:w="537"/>
        <w:gridCol w:w="537"/>
        <w:gridCol w:w="537"/>
        <w:gridCol w:w="537"/>
        <w:gridCol w:w="109"/>
        <w:gridCol w:w="109"/>
        <w:gridCol w:w="109"/>
        <w:gridCol w:w="303"/>
        <w:gridCol w:w="303"/>
        <w:gridCol w:w="429"/>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5353 East City North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Phoenix, </w:t>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85054</w:t>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(480) 627-2700</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120" w:after="283"/>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4" w:type="dxa"/>
        <w:jc w:val="left"/>
        <w:tblInd w:w="0" w:type="dxa"/>
        <w:tblLayout w:type="fixed"/>
        <w:tblCellMar>
          <w:top w:w="28" w:type="dxa"/>
          <w:left w:w="28" w:type="dxa"/>
          <w:bottom w:w="28" w:type="dxa"/>
          <w:right w:w="28" w:type="dxa"/>
        </w:tblCellMar>
      </w:tblPr>
      <w:tblGrid>
        <w:gridCol w:w="1263"/>
        <w:gridCol w:w="1113"/>
        <w:gridCol w:w="1119"/>
        <w:gridCol w:w="474"/>
        <w:gridCol w:w="474"/>
        <w:gridCol w:w="476"/>
        <w:gridCol w:w="962"/>
        <w:gridCol w:w="962"/>
        <w:gridCol w:w="1361"/>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RSG</w:t>
            </w:r>
          </w:p>
        </w:tc>
        <w:tc>
          <w:tcPr>
            <w:tcW w:w="32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sz w:val="20"/>
              </w:rPr>
            </w:pPr>
            <w:r>
              <w:rPr>
                <w:rFonts w:ascii="Wingdings;sans-serif" w:hAnsi="Wingdings;sans-serif"/>
                <w:b w:val="false"/>
                <w:sz w:val="20"/>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5780" w:type="dxa"/>
        <w:jc w:val="center"/>
        <w:tblInd w:w="0" w:type="dxa"/>
        <w:tblLayout w:type="fixed"/>
        <w:tblCellMar>
          <w:top w:w="28" w:type="dxa"/>
          <w:left w:w="28" w:type="dxa"/>
          <w:bottom w:w="28" w:type="dxa"/>
          <w:right w:w="28" w:type="dxa"/>
        </w:tblCellMar>
      </w:tblPr>
      <w:tblGrid>
        <w:gridCol w:w="1720"/>
        <w:gridCol w:w="1512"/>
        <w:gridCol w:w="1522"/>
        <w:gridCol w:w="109"/>
        <w:gridCol w:w="109"/>
        <w:gridCol w:w="109"/>
        <w:gridCol w:w="109"/>
        <w:gridCol w:w="109"/>
        <w:gridCol w:w="109"/>
        <w:gridCol w:w="109"/>
        <w:gridCol w:w="109"/>
        <w:gridCol w:w="154"/>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6261c52054fd1816be3cab2ce96bf_10">
              <w:r>
                <w:rPr>
                  <w:rStyle w:val="InternetLink"/>
                  <w:rFonts w:ascii="Times New Roman;serif" w:hAnsi="Times New Roman;serif"/>
                  <w:b w:val="false"/>
                  <w:strike w:val="false"/>
                  <w:dstrike w:val="false"/>
                  <w:color w:val="000000"/>
                  <w:sz w:val="20"/>
                  <w:u w:val="none"/>
                  <w:effect w:val="none"/>
                </w:rPr>
                <w:t>Item 2.02 Results of Operations and Financial Condition</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18">
              <w:r>
                <w:rPr>
                  <w:rStyle w:val="InternetLink"/>
                  <w:rFonts w:ascii="Times New Roman;serif" w:hAnsi="Times New Roman;serif"/>
                  <w:b w:val="false"/>
                  <w:color w:val="0000FF"/>
                  <w:sz w:val="20"/>
                  <w:u w:val="single"/>
                </w:rPr>
                <w:t>3</w:t>
              </w:r>
            </w:hyperlink>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8.01 Other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54">
              <w:r>
                <w:rPr>
                  <w:rStyle w:val="InternetLink"/>
                  <w:rFonts w:ascii="Times New Roman;serif" w:hAnsi="Times New Roman;serif"/>
                  <w:b w:val="false"/>
                  <w:color w:val="0000FF"/>
                  <w:sz w:val="20"/>
                  <w:u w:val="single"/>
                </w:rPr>
                <w:t>3</w:t>
              </w:r>
            </w:hyperlink>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6261c52054fd1816be3cab2ce96bf_10">
              <w:r>
                <w:rPr>
                  <w:rStyle w:val="InternetLink"/>
                  <w:rFonts w:ascii="Times New Roman;serif" w:hAnsi="Times New Roman;serif"/>
                  <w:b w:val="false"/>
                  <w:strike w:val="false"/>
                  <w:dstrike w:val="false"/>
                  <w:color w:val="000000"/>
                  <w:sz w:val="20"/>
                  <w:u w:val="none"/>
                  <w:effect w:val="none"/>
                </w:rPr>
                <w:t>Item 9.01 Financial Statements and Exhibits</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54">
              <w:r>
                <w:rPr>
                  <w:rStyle w:val="InternetLink"/>
                  <w:rFonts w:ascii="Times New Roman;serif" w:hAnsi="Times New Roman;serif"/>
                  <w:b w:val="false"/>
                  <w:color w:val="0000FF"/>
                  <w:sz w:val="20"/>
                  <w:u w:val="single"/>
                </w:rPr>
                <w:t>3</w:t>
              </w:r>
            </w:hyperlink>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46261c52054fd1816be3cab2ce96bf_13">
              <w:r>
                <w:rPr>
                  <w:rStyle w:val="InternetLink"/>
                  <w:rFonts w:ascii="Times New Roman;serif" w:hAnsi="Times New Roman;serif"/>
                  <w:b w:val="false"/>
                  <w:strike w:val="false"/>
                  <w:dstrike w:val="false"/>
                  <w:color w:val="000000"/>
                  <w:sz w:val="20"/>
                  <w:u w:val="none"/>
                  <w:effect w:val="non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46261c52054fd1816be3cab2ce96bf_13">
              <w:r>
                <w:rPr>
                  <w:rStyle w:val="InternetLink"/>
                  <w:rFonts w:ascii="Times New Roman;serif" w:hAnsi="Times New Roman;serif"/>
                  <w:b w:val="false"/>
                  <w:color w:val="0000FF"/>
                  <w:sz w:val="20"/>
                  <w:u w:val="single"/>
                </w:rPr>
                <w:t>4</w:t>
              </w:r>
            </w:hyperlink>
          </w:p>
        </w:tc>
      </w:tr>
      <w:tr>
        <w:trPr/>
        <w:tc>
          <w:tcPr>
            <w:tcW w:w="578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EX-99.1</w:t>
            </w:r>
          </w:p>
        </w:tc>
      </w:tr>
      <w:tr>
        <w:trPr/>
        <w:tc>
          <w:tcPr>
            <w:tcW w:w="578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EX-104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On May 7, 2026, Republic Services, Inc. (the Company) issued a press release containing information about the Company’s financial results for the three months ended March 31, 2026. A copy of this press release is furnished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On May 5, 2026, the Board of Directors of the Company declared a regular quarterly dividend of $0.625 per share for shareholders of record on July 2, 2026. The dividend will be paid on July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ind w:left="0" w:right="0" w:firstLine="30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2603"/>
        <w:gridCol w:w="2603"/>
        <w:gridCol w:w="3683"/>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exhibit991q1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of Republic Services, Inc. issued May 7, 2026 to announce the financial results for the three months ended March 31, 2026.</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58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392"/>
        <w:gridCol w:w="392"/>
        <w:gridCol w:w="392"/>
        <w:gridCol w:w="792"/>
        <w:gridCol w:w="792"/>
        <w:gridCol w:w="11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BRIAN D</w:t>
            </w:r>
            <w:r>
              <w:rPr>
                <w:rFonts w:ascii="Times New Roman;serif" w:hAnsi="Times New Roman;serif"/>
                <w:b w:val="false"/>
                <w:color w:val="000000"/>
                <w:sz w:val="16"/>
              </w:rPr>
              <w:t>EL</w:t>
            </w:r>
            <w:r>
              <w:rPr>
                <w:rFonts w:ascii="Times New Roman;serif" w:hAnsi="Times New Roman;serif"/>
                <w:b w:val="false"/>
                <w:color w:val="000000"/>
                <w:sz w:val="20"/>
              </w:rPr>
              <w:t>GHIACCIO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Brian D</w:t>
            </w:r>
            <w:r>
              <w:rPr>
                <w:rFonts w:ascii="Times New Roman;serif" w:hAnsi="Times New Roman;serif"/>
                <w:b/>
                <w:color w:val="000000"/>
                <w:sz w:val="18"/>
              </w:rPr>
              <w:t>el</w:t>
            </w:r>
            <w:r>
              <w:rPr>
                <w:rFonts w:ascii="Times New Roman;serif" w:hAnsi="Times New Roman;serif"/>
                <w:b/>
                <w:color w:val="000000"/>
                <w:sz w:val="20"/>
              </w:rPr>
              <w:t>Ghiaccio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w:t>
              <w:br/>
              <w:t>Chief Financial Officer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ELYSE M. CARLSEN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Elyse M. Carlsen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Vice President and</w:t>
              <w:br/>
              <w:t>Chief Accounting Officer</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333500" cy="13335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333500" cy="1333500"/>
                    </a:xfrm>
                    <a:prstGeom prst="rect">
                      <a:avLst/>
                    </a:prstGeom>
                  </pic:spPr>
                </pic:pic>
              </a:graphicData>
            </a:graphic>
          </wp:inline>
        </w:drawing>
      </w:r>
    </w:p>
    <w:p>
      <w:pPr>
        <w:pStyle w:val="TextBody"/>
        <w:bidi w:val="0"/>
        <w:spacing w:before="60" w:after="283"/>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Republic Services, Inc. Reports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 Quarter 2026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31"/>
        <w:gridCol w:w="2774"/>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First Quarter Earnings Per Share of $1.70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Expanded First Quarter Net Income Margin 50 Basis Points and Adjusted EBITDA Margin 50 Basis Points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Generated Cash Flow from Operations of $1.23 Billion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Generated Adjusted Free Cash Flow of $984 Million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Invested More Than $700 Million in Value-Creating Acquisitions To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Named to Fortune's 2026 World's Most Admired Companies List</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417" w:before="0" w:after="0"/>
        <w:jc w:val="left"/>
        <w:rPr/>
      </w:pPr>
      <w:r>
        <w:rPr>
          <w:rFonts w:ascii="Times New Roman;serif" w:hAnsi="Times New Roman;serif"/>
          <w:b/>
          <w:color w:val="000000"/>
          <w:sz w:val="24"/>
        </w:rPr>
        <w:t>PHOENIX (May 7, 2026)</w:t>
      </w:r>
      <w:r>
        <w:rPr>
          <w:color w:val="000000"/>
        </w:rPr>
        <w:t xml:space="preserve"> – </w:t>
      </w:r>
      <w:r>
        <w:rPr>
          <w:rFonts w:ascii="Times New Roman;serif" w:hAnsi="Times New Roman;serif"/>
          <w:b w:val="false"/>
          <w:color w:val="000000"/>
          <w:sz w:val="24"/>
        </w:rPr>
        <w:t>Republic Services, Inc. (NYSE: RSG) today reported net income of $525 million, or $1.70 per diluted share, for the three months ended March 31, 2026, versus $495 million, or $1.58 per diluted share, for the comparable 2025 period. Excluding certain expenses and other items, on an adjusted basis, net income for the three months ended March 31, 2026, was $526 million, or $1.70 per diluted share, versus $496 million, or $1.58 per diluted share, for the comparable 2025 period.</w:t>
      </w:r>
    </w:p>
    <w:p>
      <w:pPr>
        <w:pStyle w:val="TextBody"/>
        <w:bidi w:val="0"/>
        <w:spacing w:before="0" w:after="0"/>
        <w:jc w:val="left"/>
        <w:rPr/>
      </w:pPr>
      <w:r>
        <w:rPr/>
      </w:r>
    </w:p>
    <w:p>
      <w:pPr>
        <w:pStyle w:val="TextBody"/>
        <w:bidi w:val="0"/>
        <w:spacing w:lineRule="auto" w:line="417" w:before="100" w:after="283"/>
        <w:jc w:val="left"/>
        <w:rPr>
          <w:color w:val="000000"/>
        </w:rPr>
      </w:pPr>
      <w:r>
        <w:rPr>
          <w:color w:val="000000"/>
        </w:rPr>
        <w:t>“</w:t>
      </w:r>
      <w:r>
        <w:rPr>
          <w:rFonts w:ascii="Times New Roman;serif" w:hAnsi="Times New Roman;serif"/>
          <w:b w:val="false"/>
          <w:color w:val="000000"/>
          <w:sz w:val="24"/>
        </w:rPr>
        <w:t>We are off to a strong start and remain well positioned to achieve our full</w:t>
        <w:noBreakHyphen/>
        <w:t>year objectives,” said Jon Vander Ark, president and chief executive officer. “Disciplined pricing and effective cost management drove solid earnings growth and 50 basis points of adjusted EBITDA margin expansion in the first quarter. We remain focused on executing our strategy and investing for growth to deliver long</w:t>
        <w:noBreakHyphen/>
        <w:t>term value for our customers and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417" w:before="0" w:after="0"/>
        <w:jc w:val="both"/>
        <w:rPr/>
      </w:pPr>
      <w:r>
        <w:rPr>
          <w:rFonts w:ascii="Times New Roman;serif" w:hAnsi="Times New Roman;serif"/>
          <w:b w:val="false"/>
          <w:i/>
          <w:color w:val="000000"/>
          <w:sz w:val="24"/>
          <w:u w:val="single"/>
        </w:rPr>
        <w:t>First-Quarter 2026 Highlights</w:t>
      </w:r>
      <w:r>
        <w:rPr>
          <w:rFonts w:ascii="Times New Roman;serif" w:hAnsi="Times New Roman;serif"/>
          <w:b w:val="false"/>
          <w:i/>
          <w:color w:val="000000"/>
          <w:sz w:val="24"/>
        </w:rPr>
        <w:t xml:space="preserve">: </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Total revenue growth of 2.6 percent includes 2.8 percent organic growth from our recycling and waste business, 1.3 percent organic decline from our environmental solutions business, and 1.1 percent growth from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Core price on total revenue increased revenue by 5.7 percent. Core price on related business revenue increased revenue by 6.8 percent, which consisted of 8.4 percent in the open market and 4.4 percent in the restricted portion of the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growth from average yield on total revenue was 3.4 percent, and volume decreased revenue by 0.8 percent. Revenue growth from average yield on related business revenue was 4.1 percent, and volume decreased related business revenue by 1.0 percent.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income was $525 million, or a margin of 12.8 percent.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EPS and Adjusted EPS, a non-GAAP measure, were both $1.70 per share, an increase of 7.6 percent over the prior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a non-GAAP measure, was $1.32 billion, and adjusted EBITDA margin, a non-GAAP measure, was 32.1 percent of revenue, an increase of 50 basis points over the prior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Cash invested in acquisitions was $433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Cash returned to shareholders was $507 million, which included $314 million of share repurchases and $193 million of dividends paid.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Company's average recycled commodity price per ton sold at its recycling centers during the first quarter was $120. This represents a decrease of $35 per ton over the prior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Republic was recognized by several leading organizations during the quarter, including: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Ethisphere's 2026 World's Most Ethical Companies® List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Fortune's 2026 World's Most Admired Companies List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Company Declared Quarterly Dividend</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On May 5, 2026, the Board of Directors of Republic Services, Inc. declared a regular quarterly dividend of $0.625 per share for shareholders of record on July 2, 2026. The dividend will be paid on July 15, 2026.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Presentation of Certain Performance Metrics and Non-GAAP Measures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Adjusted diluted earnings per share, adjusted net income - Republic, adjusted pre-tax income, adjusted tax impact, EBITDA, EBITDA margin, adjusted EBITDA, adjusted EBITDA margin, adjusted EBITDA by business type, adjusted EBITDA margin by business type and adjusted free cash flow are described in the Performance Metrics and Reconciliations of Certain Non-GAAP Measures section of this document.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About Republic Services</w:t>
      </w:r>
    </w:p>
    <w:p>
      <w:pPr>
        <w:pStyle w:val="TextBody"/>
        <w:bidi w:val="0"/>
        <w:spacing w:before="0" w:after="0"/>
        <w:jc w:val="center"/>
        <w:rPr/>
      </w:pPr>
      <w:r>
        <w:rPr/>
      </w:r>
    </w:p>
    <w:p>
      <w:pPr>
        <w:pStyle w:val="TextBody"/>
        <w:bidi w:val="0"/>
        <w:spacing w:lineRule="auto" w:line="417" w:before="0" w:after="0"/>
        <w:jc w:val="left"/>
        <w:rPr/>
      </w:pPr>
      <w:r>
        <w:rPr>
          <w:rFonts w:ascii="Times New Roman;serif" w:hAnsi="Times New Roman;serif"/>
          <w:b w:val="false"/>
          <w:color w:val="000000"/>
          <w:sz w:val="24"/>
        </w:rPr>
        <w:t>Republic Services, Inc. is a leader in the environmental services industry. Through its subsidiaries, the Company provides customers with the most complete set of products and services, including recycling, solid waste, special waste, hazardous waste and field services. Republic’s industry-leading commitments to advance circularity and support decarbonization are helping deliver on its vision to partner with customers to create a more sustainable world. For more information, please visit</w:t>
      </w:r>
      <w:r>
        <w:rPr>
          <w:color w:val="3051F2"/>
        </w:rPr>
        <w:t xml:space="preserve"> </w:t>
      </w:r>
      <w:r>
        <w:rPr>
          <w:rFonts w:ascii="Times New Roman;serif" w:hAnsi="Times New Roman;serif"/>
          <w:b w:val="false"/>
          <w:color w:val="3051F2"/>
          <w:sz w:val="24"/>
          <w:u w:val="single"/>
        </w:rPr>
        <w:t>RepublicServices.com</w:t>
      </w:r>
      <w:r>
        <w:rPr>
          <w:rFonts w:ascii="Times New Roman;serif" w:hAnsi="Times New Roman;serif"/>
          <w:b w:val="false"/>
          <w:color w:val="000000"/>
          <w:sz w:val="24"/>
        </w:rPr>
        <w:t>.</w:t>
      </w:r>
    </w:p>
    <w:p>
      <w:pPr>
        <w:pStyle w:val="TextBody"/>
        <w:bidi w:val="0"/>
        <w:spacing w:before="0" w:after="0"/>
        <w:jc w:val="left"/>
        <w:rPr/>
      </w:pPr>
      <w:r>
        <w:rPr/>
      </w:r>
    </w:p>
    <w:tbl>
      <w:tblPr>
        <w:tblW w:w="6735" w:type="dxa"/>
        <w:jc w:val="left"/>
        <w:tblInd w:w="0" w:type="dxa"/>
        <w:tblLayout w:type="fixed"/>
        <w:tblCellMar>
          <w:top w:w="28" w:type="dxa"/>
          <w:left w:w="28" w:type="dxa"/>
          <w:bottom w:w="28" w:type="dxa"/>
          <w:right w:w="28" w:type="dxa"/>
        </w:tblCellMar>
      </w:tblPr>
      <w:tblGrid>
        <w:gridCol w:w="1265"/>
        <w:gridCol w:w="1114"/>
        <w:gridCol w:w="1116"/>
        <w:gridCol w:w="949"/>
        <w:gridCol w:w="949"/>
        <w:gridCol w:w="1342"/>
      </w:tblGrid>
      <w:tr>
        <w:trPr/>
        <w:tc>
          <w:tcPr>
            <w:tcW w:w="126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For more information, contact:</w:t>
            </w:r>
          </w:p>
        </w:tc>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pPr>
            <w:r>
              <w:rPr>
                <w:rFonts w:ascii="Times New Roman;serif" w:hAnsi="Times New Roman;serif"/>
                <w:b w:val="false"/>
                <w:color w:val="000000"/>
                <w:sz w:val="24"/>
              </w:rPr>
              <w:t>Media Inquiries</w:t>
            </w: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Investor Inquiries</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pPr>
            <w:r>
              <w:rPr>
                <w:rFonts w:ascii="Times New Roman;serif" w:hAnsi="Times New Roman;serif"/>
                <w:b w:val="false"/>
                <w:color w:val="000000"/>
                <w:sz w:val="24"/>
              </w:rPr>
              <w:t>Roman Blahoski (480) 718-0328</w:t>
            </w:r>
            <w:r>
              <w:rPr>
                <w:color w:val="000000"/>
              </w:rPr>
              <w:t>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00"/>
                <w:sz w:val="24"/>
              </w:rPr>
            </w:pPr>
            <w:r>
              <w:rPr>
                <w:rFonts w:ascii="Times New Roman;serif" w:hAnsi="Times New Roman;serif"/>
                <w:b w:val="false"/>
                <w:color w:val="000000"/>
                <w:sz w:val="24"/>
              </w:rPr>
              <w:t>Aaron Evans (480) 718-0309</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pPr>
            <w:r>
              <w:rPr>
                <w:rFonts w:ascii="Times New Roman;serif" w:hAnsi="Times New Roman;serif"/>
                <w:b w:val="false"/>
                <w:color w:val="0000FF"/>
                <w:sz w:val="24"/>
                <w:u w:val="single"/>
              </w:rPr>
              <w:t>media@RepublicServices.com</w:t>
            </w:r>
            <w:r>
              <w:rPr>
                <w:color w:val="000000"/>
              </w:rPr>
              <w:t xml:space="preserve"> </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0"/>
              <w:ind w:left="0" w:right="0" w:hanging="504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investor@RepublicServices.com</w:t>
            </w:r>
          </w:p>
        </w:tc>
      </w:tr>
    </w:tbl>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84"/>
        <w:gridCol w:w="2004"/>
        <w:gridCol w:w="1960"/>
        <w:gridCol w:w="323"/>
        <w:gridCol w:w="1103"/>
        <w:gridCol w:w="166"/>
        <w:gridCol w:w="166"/>
        <w:gridCol w:w="166"/>
        <w:gridCol w:w="166"/>
        <w:gridCol w:w="323"/>
        <w:gridCol w:w="1103"/>
        <w:gridCol w:w="241"/>
      </w:tblGrid>
      <w:tr>
        <w:trPr/>
        <w:tc>
          <w:tcPr>
            <w:tcW w:w="2484"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SUPPLEMENTAL UNAUDITED FINANCIAL INFORMATION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 OPERATING DATA</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REPUBLIC SERVICES,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(in millions, except per share amounts)</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 for doubtful accounts and other of $60 and $66, respectively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marketable securities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maturities of long-term debt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 current portion</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landfill and environmental costs, net of current portion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long-term tax liabilities,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reserves, net of current portion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 shares authorized; none issued</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750 shares authorized; 314 and 313 issued including shares held in treasury, respectively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 and 5 shares, respectively</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Republic Services, Inc. stockholders' equity</w:t>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subsidiary</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39"/>
        <w:gridCol w:w="1727"/>
        <w:gridCol w:w="1744"/>
        <w:gridCol w:w="402"/>
        <w:gridCol w:w="1180"/>
        <w:gridCol w:w="209"/>
        <w:gridCol w:w="209"/>
        <w:gridCol w:w="209"/>
        <w:gridCol w:w="209"/>
        <w:gridCol w:w="402"/>
        <w:gridCol w:w="1180"/>
        <w:gridCol w:w="209"/>
        <w:gridCol w:w="109"/>
        <w:gridCol w:w="109"/>
        <w:gridCol w:w="109"/>
        <w:gridCol w:w="159"/>
      </w:tblGrid>
      <w:tr>
        <w:trPr/>
        <w:tc>
          <w:tcPr>
            <w:tcW w:w="203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REPUBLIC SERVICES, INC.</w:t>
            </w:r>
          </w:p>
        </w:tc>
        <w:tc>
          <w:tcPr>
            <w:tcW w:w="486" w:type="dxa"/>
            <w:gridSpan w:val="4"/>
            <w:tcBorders/>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INCOME</w:t>
            </w:r>
          </w:p>
        </w:tc>
        <w:tc>
          <w:tcPr>
            <w:tcW w:w="486" w:type="dxa"/>
            <w:gridSpan w:val="4"/>
            <w:tcBorders/>
          </w:tcPr>
          <w:p>
            <w:pPr>
              <w:pStyle w:val="TableContents"/>
              <w:bidi w:val="0"/>
              <w:spacing w:before="0" w:after="283"/>
              <w:jc w:val="left"/>
              <w:rPr>
                <w:sz w:val="4"/>
                <w:szCs w:val="4"/>
              </w:rPr>
            </w:pPr>
            <w:r>
              <w:rPr>
                <w:sz w:val="4"/>
                <w:szCs w:val="4"/>
              </w:rPr>
            </w:r>
          </w:p>
        </w:tc>
      </w:tr>
      <w:tr>
        <w:trPr/>
        <w:tc>
          <w:tcPr>
            <w:tcW w:w="9719"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(in millions, except per share data)</w:t>
            </w:r>
          </w:p>
        </w:tc>
        <w:tc>
          <w:tcPr>
            <w:tcW w:w="486" w:type="dxa"/>
            <w:gridSpan w:val="4"/>
            <w:tcBorders/>
          </w:tcPr>
          <w:p>
            <w:pPr>
              <w:pStyle w:val="TableContents"/>
              <w:bidi w:val="0"/>
              <w:spacing w:before="0" w:after="283"/>
              <w:jc w:val="left"/>
              <w:rPr>
                <w:sz w:val="4"/>
                <w:szCs w:val="4"/>
              </w:rPr>
            </w:pPr>
            <w:r>
              <w:rPr>
                <w:sz w:val="4"/>
                <w:szCs w:val="4"/>
              </w:rPr>
            </w:r>
          </w:p>
        </w:tc>
      </w:tr>
      <w:tr>
        <w:trPr/>
        <w:tc>
          <w:tcPr>
            <w:tcW w:w="5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divestitures and impairments,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in consolidated subsidiary</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Republic Services, Inc. stockholders:</w:t>
            </w:r>
          </w:p>
        </w:tc>
        <w:tc>
          <w:tcPr>
            <w:tcW w:w="1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2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Republic Services, Inc. stockholders:</w:t>
            </w:r>
          </w:p>
        </w:tc>
        <w:tc>
          <w:tcPr>
            <w:tcW w:w="17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w:t>
            </w:r>
          </w:p>
        </w:tc>
        <w:tc>
          <w:tcPr>
            <w:tcW w:w="1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per common share</w:t>
            </w:r>
          </w:p>
        </w:tc>
        <w:tc>
          <w:tcPr>
            <w:tcW w:w="4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2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0.580 </w:t>
            </w:r>
          </w:p>
        </w:tc>
        <w:tc>
          <w:tcPr>
            <w:tcW w:w="2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55"/>
        <w:gridCol w:w="1856"/>
        <w:gridCol w:w="1841"/>
        <w:gridCol w:w="472"/>
        <w:gridCol w:w="1001"/>
        <w:gridCol w:w="259"/>
        <w:gridCol w:w="259"/>
        <w:gridCol w:w="259"/>
        <w:gridCol w:w="259"/>
        <w:gridCol w:w="472"/>
        <w:gridCol w:w="1001"/>
        <w:gridCol w:w="371"/>
      </w:tblGrid>
      <w:tr>
        <w:trPr/>
        <w:tc>
          <w:tcPr>
            <w:tcW w:w="215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REPUBLIC SERVICES,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millions)</w:t>
            </w:r>
          </w:p>
        </w:tc>
      </w:tr>
      <w:tr>
        <w:trPr/>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r>
      <w:tr>
        <w:trPr/>
        <w:tc>
          <w:tcPr>
            <w:tcW w:w="5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1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provided by operating activities:</w:t>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amortization and accretion</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provision</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unconsolidated equity method investments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 net of effects from business acquisitions and divestitures:</w:t>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Capping, closure and post-closure expenditures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Remediation expenditures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17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acquisitions and investments, net of cash and restricted cash acquired</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business divestitures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provided by financing activities:</w:t>
            </w:r>
          </w:p>
        </w:tc>
        <w:tc>
          <w:tcPr>
            <w:tcW w:w="1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facilities and notes payable, net of fees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senior notes, net of discount and fees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credit facilities and notes payable</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(15,035)</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(12,018)</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Issuances of common stock, net</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common stock for treasury</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provided by financing activities</w:t>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w:t>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cash equivalents, restricted cash and restricted cash equivalents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beginning of period</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at end of period</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read the following information in conjunction with our audited consolidated financial statements and notes thereto appearing in our Annual Report on Form 10-K as of and for the year ended December 31, 2025. All amounts below are in millions and as a percentage of our revenue, except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total revenue by line of business for the three months ended March 31, 2026 and 2025:</w:t>
      </w:r>
    </w:p>
    <w:tbl>
      <w:tblPr>
        <w:tblW w:w="10046" w:type="dxa"/>
        <w:jc w:val="left"/>
        <w:tblInd w:w="0" w:type="dxa"/>
        <w:tblLayout w:type="fixed"/>
        <w:tblCellMar>
          <w:top w:w="28" w:type="dxa"/>
          <w:left w:w="28" w:type="dxa"/>
          <w:bottom w:w="28" w:type="dxa"/>
          <w:right w:w="28" w:type="dxa"/>
        </w:tblCellMar>
      </w:tblPr>
      <w:tblGrid>
        <w:gridCol w:w="1313"/>
        <w:gridCol w:w="1151"/>
        <w:gridCol w:w="1166"/>
        <w:gridCol w:w="211"/>
        <w:gridCol w:w="616"/>
        <w:gridCol w:w="109"/>
        <w:gridCol w:w="109"/>
        <w:gridCol w:w="109"/>
        <w:gridCol w:w="109"/>
        <w:gridCol w:w="307"/>
        <w:gridCol w:w="309"/>
        <w:gridCol w:w="271"/>
        <w:gridCol w:w="109"/>
        <w:gridCol w:w="109"/>
        <w:gridCol w:w="109"/>
        <w:gridCol w:w="211"/>
        <w:gridCol w:w="616"/>
        <w:gridCol w:w="109"/>
        <w:gridCol w:w="109"/>
        <w:gridCol w:w="109"/>
        <w:gridCol w:w="109"/>
        <w:gridCol w:w="307"/>
        <w:gridCol w:w="309"/>
        <w:gridCol w:w="271"/>
        <w:gridCol w:w="109"/>
        <w:gridCol w:w="109"/>
        <w:gridCol w:w="109"/>
        <w:gridCol w:w="109"/>
        <w:gridCol w:w="109"/>
        <w:gridCol w:w="109"/>
        <w:gridCol w:w="109"/>
        <w:gridCol w:w="109"/>
        <w:gridCol w:w="109"/>
        <w:gridCol w:w="109"/>
        <w:gridCol w:w="109"/>
        <w:gridCol w:w="109"/>
        <w:gridCol w:w="109"/>
        <w:gridCol w:w="109"/>
        <w:gridCol w:w="109"/>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gridSpan w:val="13"/>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Small-container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Large-container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collection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net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intercompany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Recycling processing and commodity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non-core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changes in components of our revenue, as a percentage of total revenue, for the three months ended March 31, 2026 and 2025:</w:t>
      </w:r>
    </w:p>
    <w:tbl>
      <w:tblPr>
        <w:tblW w:w="6901" w:type="dxa"/>
        <w:jc w:val="left"/>
        <w:tblInd w:w="0" w:type="dxa"/>
        <w:tblLayout w:type="fixed"/>
        <w:tblCellMar>
          <w:top w:w="28" w:type="dxa"/>
          <w:left w:w="28" w:type="dxa"/>
          <w:bottom w:w="28" w:type="dxa"/>
          <w:right w:w="28" w:type="dxa"/>
        </w:tblCellMar>
      </w:tblPr>
      <w:tblGrid>
        <w:gridCol w:w="1332"/>
        <w:gridCol w:w="1167"/>
        <w:gridCol w:w="1175"/>
        <w:gridCol w:w="240"/>
        <w:gridCol w:w="240"/>
        <w:gridCol w:w="557"/>
        <w:gridCol w:w="224"/>
        <w:gridCol w:w="224"/>
        <w:gridCol w:w="224"/>
        <w:gridCol w:w="240"/>
        <w:gridCol w:w="240"/>
        <w:gridCol w:w="557"/>
        <w:gridCol w:w="109"/>
        <w:gridCol w:w="109"/>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yield</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recovery fees</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price</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workdays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Recycling processing and commodity sales </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solutions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internal growth</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 divestitures, net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price</w:t>
            </w:r>
          </w:p>
        </w:tc>
        <w:tc>
          <w:tcPr>
            <w:tcW w:w="4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Average yield is defined as revenue growth from the change in average price per unit of service, expressed as a percentage. Core price is defined as price increases to our customers and fees, excluding fuel recovery fees, net of price decreases to retain customers. We also measure changes in core price, average yield and volume as a percentage of related-business revenue, defined as total revenue excluding recycled commodities, fuel recovery fees and environmental solutions revenue, to determine the effectiveness of our pricing and organic growth strategies. The following table reflects core price, average yield and volume as a percentage of related-business revenue for the three months ended March 31, 2026 and 2025:</w:t>
      </w:r>
    </w:p>
    <w:tbl>
      <w:tblPr>
        <w:tblW w:w="4486" w:type="dxa"/>
        <w:jc w:val="left"/>
        <w:tblInd w:w="0" w:type="dxa"/>
        <w:tblLayout w:type="fixed"/>
        <w:tblCellMar>
          <w:top w:w="28" w:type="dxa"/>
          <w:left w:w="28" w:type="dxa"/>
          <w:bottom w:w="28" w:type="dxa"/>
          <w:right w:w="28" w:type="dxa"/>
        </w:tblCellMar>
      </w:tblPr>
      <w:tblGrid>
        <w:gridCol w:w="455"/>
        <w:gridCol w:w="400"/>
        <w:gridCol w:w="404"/>
        <w:gridCol w:w="240"/>
        <w:gridCol w:w="240"/>
        <w:gridCol w:w="557"/>
        <w:gridCol w:w="224"/>
        <w:gridCol w:w="224"/>
        <w:gridCol w:w="224"/>
        <w:gridCol w:w="240"/>
        <w:gridCol w:w="240"/>
        <w:gridCol w:w="557"/>
        <w:gridCol w:w="109"/>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a % of Related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price</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yield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changes in average yield and volume, as a percentage of related business revenue by line of business, for the three months ended March 31, 2026 and 2025:</w:t>
      </w:r>
    </w:p>
    <w:tbl>
      <w:tblPr>
        <w:tblW w:w="7564" w:type="dxa"/>
        <w:jc w:val="left"/>
        <w:tblInd w:w="0" w:type="dxa"/>
        <w:tblLayout w:type="fixed"/>
        <w:tblCellMar>
          <w:top w:w="28" w:type="dxa"/>
          <w:left w:w="28" w:type="dxa"/>
          <w:bottom w:w="28" w:type="dxa"/>
          <w:right w:w="28" w:type="dxa"/>
        </w:tblCellMar>
      </w:tblPr>
      <w:tblGrid>
        <w:gridCol w:w="931"/>
        <w:gridCol w:w="821"/>
        <w:gridCol w:w="828"/>
        <w:gridCol w:w="203"/>
        <w:gridCol w:w="203"/>
        <w:gridCol w:w="268"/>
        <w:gridCol w:w="109"/>
        <w:gridCol w:w="109"/>
        <w:gridCol w:w="109"/>
        <w:gridCol w:w="268"/>
        <w:gridCol w:w="272"/>
        <w:gridCol w:w="366"/>
        <w:gridCol w:w="109"/>
        <w:gridCol w:w="109"/>
        <w:gridCol w:w="109"/>
        <w:gridCol w:w="203"/>
        <w:gridCol w:w="203"/>
        <w:gridCol w:w="268"/>
        <w:gridCol w:w="109"/>
        <w:gridCol w:w="109"/>
        <w:gridCol w:w="109"/>
        <w:gridCol w:w="232"/>
        <w:gridCol w:w="234"/>
        <w:gridCol w:w="366"/>
        <w:gridCol w:w="109"/>
        <w:gridCol w:w="109"/>
        <w:gridCol w:w="109"/>
        <w:gridCol w:w="109"/>
        <w:gridCol w:w="109"/>
        <w:gridCol w:w="109"/>
        <w:gridCol w:w="109"/>
        <w:gridCol w:w="154"/>
      </w:tblGrid>
      <w:tr>
        <w:trPr/>
        <w:tc>
          <w:tcPr>
            <w:tcW w:w="9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w:t>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Small-container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Large-container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Landfill:</w:t>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solid waste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demolition waste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waste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 xml:space="preserve">COST OF OPERATIONS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components of our cost of operations for the three months ended March 31, 2026 and 2025 (in millions of dollars and as a percentage of revenue):</w:t>
      </w:r>
    </w:p>
    <w:tbl>
      <w:tblPr>
        <w:tblW w:w="8439" w:type="dxa"/>
        <w:jc w:val="left"/>
        <w:tblInd w:w="0" w:type="dxa"/>
        <w:tblLayout w:type="fixed"/>
        <w:tblCellMar>
          <w:top w:w="28" w:type="dxa"/>
          <w:left w:w="28" w:type="dxa"/>
          <w:bottom w:w="28" w:type="dxa"/>
          <w:right w:w="28" w:type="dxa"/>
        </w:tblCellMar>
      </w:tblPr>
      <w:tblGrid>
        <w:gridCol w:w="1123"/>
        <w:gridCol w:w="989"/>
        <w:gridCol w:w="993"/>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109"/>
        <w:gridCol w:w="109"/>
        <w:gridCol w:w="109"/>
        <w:gridCol w:w="109"/>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and disposal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repairs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Transportation and subcontract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Disposal fees and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Landfill operating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management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used by other companies. As such, you should take care when comparing our cost of operations by cost component to that of other companies and of ours for prior periods.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selling, general and administrative expenses for the three months ended March 31, 2026 and 2025 (in millions of dollars and as a percentage of revenue):</w:t>
      </w:r>
    </w:p>
    <w:tbl>
      <w:tblPr>
        <w:tblW w:w="9218" w:type="dxa"/>
        <w:jc w:val="left"/>
        <w:tblInd w:w="0" w:type="dxa"/>
        <w:tblLayout w:type="fixed"/>
        <w:tblCellMar>
          <w:top w:w="28" w:type="dxa"/>
          <w:left w:w="28" w:type="dxa"/>
          <w:bottom w:w="28" w:type="dxa"/>
          <w:right w:w="28" w:type="dxa"/>
        </w:tblCellMar>
      </w:tblPr>
      <w:tblGrid>
        <w:gridCol w:w="1512"/>
        <w:gridCol w:w="1333"/>
        <w:gridCol w:w="1339"/>
        <w:gridCol w:w="211"/>
        <w:gridCol w:w="466"/>
        <w:gridCol w:w="109"/>
        <w:gridCol w:w="109"/>
        <w:gridCol w:w="109"/>
        <w:gridCol w:w="109"/>
        <w:gridCol w:w="255"/>
        <w:gridCol w:w="256"/>
        <w:gridCol w:w="271"/>
        <w:gridCol w:w="109"/>
        <w:gridCol w:w="109"/>
        <w:gridCol w:w="109"/>
        <w:gridCol w:w="211"/>
        <w:gridCol w:w="466"/>
        <w:gridCol w:w="109"/>
        <w:gridCol w:w="109"/>
        <w:gridCol w:w="109"/>
        <w:gridCol w:w="109"/>
        <w:gridCol w:w="255"/>
        <w:gridCol w:w="256"/>
        <w:gridCol w:w="271"/>
        <w:gridCol w:w="109"/>
        <w:gridCol w:w="109"/>
        <w:gridCol w:w="109"/>
        <w:gridCol w:w="109"/>
        <w:gridCol w:w="109"/>
        <w:gridCol w:w="109"/>
        <w:gridCol w:w="109"/>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related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These cost categories may change from time to time and may not be comparable to similarly titled categories used by other companies. As such, you should take care when comparing our selling, general and administrative expenses by cost component to those of other companies and of ours for prior periods.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PERFORMANCE METRICS AND RECONCILIATIONS OF CERTAIN NON-GAAP MEASURES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calculate EBITDA, EBITDA margin, adjusted EBITDA, adjusted EBITDA margin, adjusted EBITDA and adjusted EBITDA margin by business type, adjusted pre-tax income, adjusted tax impact, adjusted net income - Republic, adjusted diluted earnings per share, and adjusted free cash flow, which are not measures determined in accordance with U.S. generally accepted accounting principles (U.S. GAAP), for the three months ended March 31, 2026 and 2025. Our definitions of the foregoing non-GAAP financial measures may not be comparable to similarly titled measures presented by other companies.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EBITDA and Adjusted EBITDA Margin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calculates adjusted EBITDA and adjusted EBITDA margin for the three months ended March 31, 2026 and 2025 (in millions of dollars and as a percentage of revenue):</w:t>
      </w:r>
    </w:p>
    <w:tbl>
      <w:tblPr>
        <w:tblW w:w="10205" w:type="dxa"/>
        <w:jc w:val="left"/>
        <w:tblInd w:w="0" w:type="dxa"/>
        <w:tblLayout w:type="fixed"/>
        <w:tblCellMar>
          <w:top w:w="28" w:type="dxa"/>
          <w:left w:w="28" w:type="dxa"/>
          <w:bottom w:w="28" w:type="dxa"/>
          <w:right w:w="28" w:type="dxa"/>
        </w:tblCellMar>
      </w:tblPr>
      <w:tblGrid>
        <w:gridCol w:w="1814"/>
        <w:gridCol w:w="1523"/>
        <w:gridCol w:w="1532"/>
        <w:gridCol w:w="211"/>
        <w:gridCol w:w="616"/>
        <w:gridCol w:w="109"/>
        <w:gridCol w:w="109"/>
        <w:gridCol w:w="109"/>
        <w:gridCol w:w="109"/>
        <w:gridCol w:w="255"/>
        <w:gridCol w:w="256"/>
        <w:gridCol w:w="271"/>
        <w:gridCol w:w="109"/>
        <w:gridCol w:w="109"/>
        <w:gridCol w:w="109"/>
        <w:gridCol w:w="211"/>
        <w:gridCol w:w="616"/>
        <w:gridCol w:w="109"/>
        <w:gridCol w:w="109"/>
        <w:gridCol w:w="109"/>
        <w:gridCol w:w="109"/>
        <w:gridCol w:w="255"/>
        <w:gridCol w:w="256"/>
        <w:gridCol w:w="271"/>
        <w:gridCol w:w="109"/>
        <w:gridCol w:w="109"/>
        <w:gridCol w:w="109"/>
        <w:gridCol w:w="109"/>
        <w:gridCol w:w="109"/>
        <w:gridCol w:w="109"/>
        <w:gridCol w:w="109"/>
        <w:gridCol w:w="156"/>
      </w:tblGrid>
      <w:tr>
        <w:trPr/>
        <w:tc>
          <w:tcPr>
            <w:tcW w:w="1814"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Republic Services, Inc. and net income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depletion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and EBITDA margin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equity method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divestitures and impairments,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Adjusted EBITDA and Adjusted EBITDA Margin by Business Type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adjusted EBITDA and adjusted EBITDA margin by business type for the three months ended March 31, 2026 and 2025 (in millions of dollars and adjusted EBITDA margin as a percentage of revenue):</w:t>
      </w:r>
    </w:p>
    <w:tbl>
      <w:tblPr>
        <w:tblW w:w="10205" w:type="dxa"/>
        <w:jc w:val="left"/>
        <w:tblInd w:w="0" w:type="dxa"/>
        <w:tblLayout w:type="fixed"/>
        <w:tblCellMar>
          <w:top w:w="28" w:type="dxa"/>
          <w:left w:w="28" w:type="dxa"/>
          <w:bottom w:w="28" w:type="dxa"/>
          <w:right w:w="28" w:type="dxa"/>
        </w:tblCellMar>
      </w:tblPr>
      <w:tblGrid>
        <w:gridCol w:w="457"/>
        <w:gridCol w:w="323"/>
        <w:gridCol w:w="306"/>
        <w:gridCol w:w="109"/>
        <w:gridCol w:w="109"/>
        <w:gridCol w:w="109"/>
        <w:gridCol w:w="229"/>
        <w:gridCol w:w="651"/>
        <w:gridCol w:w="299"/>
        <w:gridCol w:w="109"/>
        <w:gridCol w:w="109"/>
        <w:gridCol w:w="109"/>
        <w:gridCol w:w="311"/>
        <w:gridCol w:w="668"/>
        <w:gridCol w:w="407"/>
        <w:gridCol w:w="109"/>
        <w:gridCol w:w="109"/>
        <w:gridCol w:w="109"/>
        <w:gridCol w:w="196"/>
        <w:gridCol w:w="556"/>
        <w:gridCol w:w="256"/>
        <w:gridCol w:w="109"/>
        <w:gridCol w:w="109"/>
        <w:gridCol w:w="109"/>
        <w:gridCol w:w="221"/>
        <w:gridCol w:w="628"/>
        <w:gridCol w:w="289"/>
        <w:gridCol w:w="109"/>
        <w:gridCol w:w="109"/>
        <w:gridCol w:w="109"/>
        <w:gridCol w:w="311"/>
        <w:gridCol w:w="668"/>
        <w:gridCol w:w="407"/>
        <w:gridCol w:w="109"/>
        <w:gridCol w:w="109"/>
        <w:gridCol w:w="109"/>
        <w:gridCol w:w="196"/>
        <w:gridCol w:w="556"/>
        <w:gridCol w:w="308"/>
      </w:tblGrid>
      <w:tr>
        <w:trPr/>
        <w:tc>
          <w:tcPr>
            <w:tcW w:w="4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 2025</w:t>
            </w:r>
          </w:p>
        </w:tc>
      </w:tr>
      <w:tr>
        <w:trPr/>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Recycling &amp; Waste</w:t>
            </w:r>
            <w:r>
              <w:rPr>
                <w:rFonts w:ascii="Times New Roman;serif" w:hAnsi="Times New Roman;serif"/>
                <w:b w:val="false"/>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Environmental Solutions</w:t>
            </w:r>
            <w:r>
              <w:rPr>
                <w:rFonts w:ascii="Times New Roman;serif" w:hAnsi="Times New Roman;serif"/>
                <w:b w:val="false"/>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Recycling &amp; Waste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Environmental Solutions</w:t>
            </w:r>
            <w:r>
              <w:rPr>
                <w:rFonts w:ascii="Times New Roman;serif" w:hAnsi="Times New Roman;serif"/>
                <w:b w:val="false"/>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33.6 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19.2 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33.0 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31.6 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(a) Certain corporate expenses, including selling, general and administrative expenses, and National Accounts revenue are allocated to the two business types.</w:t>
      </w:r>
    </w:p>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(b) Adjusted EBITDA Margin does not calculate due to rounding.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amounts shown for Recycling &amp; Waste represent the sum of our Group 1 and Group 2 reportable segments, and Environmental Solutions represents our Group 3 reportable segment.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Diluted 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calculates adjusted pre-tax income, adjusted tax impact, adjusted net income - Republic, and adjusted diluted earnings per share for the three months ended March 31, 2026 and 2025 (in millions of dollars except per share data):</w:t>
      </w:r>
    </w:p>
    <w:tbl>
      <w:tblPr>
        <w:tblW w:w="10205" w:type="dxa"/>
        <w:jc w:val="left"/>
        <w:tblInd w:w="0" w:type="dxa"/>
        <w:tblLayout w:type="fixed"/>
        <w:tblCellMar>
          <w:top w:w="28" w:type="dxa"/>
          <w:left w:w="28" w:type="dxa"/>
          <w:bottom w:w="28" w:type="dxa"/>
          <w:right w:w="28" w:type="dxa"/>
        </w:tblCellMar>
      </w:tblPr>
      <w:tblGrid>
        <w:gridCol w:w="514"/>
        <w:gridCol w:w="453"/>
        <w:gridCol w:w="458"/>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6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66"/>
        <w:gridCol w:w="109"/>
        <w:gridCol w:w="109"/>
        <w:gridCol w:w="157"/>
      </w:tblGrid>
      <w:tr>
        <w:trPr/>
        <w:tc>
          <w:tcPr>
            <w:tcW w:w="5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Impact</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charges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300" w:before="0" w:after="0"/>
              <w:ind w:left="0" w:right="0" w:hanging="180"/>
              <w:jc w:val="left"/>
              <w:rPr/>
            </w:pPr>
            <w:r>
              <w:rPr>
                <w:rFonts w:ascii="Times New Roman;serif" w:hAnsi="Times New Roman;serif"/>
                <w:b w:val="false"/>
                <w:color w:val="000000"/>
                <w:sz w:val="16"/>
              </w:rPr>
              <w:t>Gain on business divestitures and impairments, net</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(1) The income tax effect related to our adjustments includes both current and deferred income tax impact and is individually calculated based on the statutory rates applicable to each adjustment.</w:t>
      </w:r>
    </w:p>
    <w:p>
      <w:pPr>
        <w:pStyle w:val="TextBody"/>
        <w:bidi w:val="0"/>
        <w:spacing w:lineRule="auto" w:line="288" w:before="60" w:after="283"/>
        <w:jc w:val="left"/>
        <w:rPr>
          <w:rFonts w:ascii="Times New Roman;serif" w:hAnsi="Times New Roman;serif"/>
          <w:b w:val="false"/>
          <w:color w:val="000000"/>
          <w:sz w:val="13"/>
        </w:rPr>
      </w:pPr>
      <w:r>
        <w:rPr>
          <w:rFonts w:ascii="Times New Roman;serif" w:hAnsi="Times New Roman;serif"/>
          <w:b w:val="false"/>
          <w:color w:val="000000"/>
          <w:sz w:val="13"/>
        </w:rPr>
        <w:t>(2) The aggregate impact to adjusted diluted earnings per share totals to less than $0.01 for the three months ended March 31, 2026.</w:t>
      </w:r>
    </w:p>
    <w:p>
      <w:pPr>
        <w:pStyle w:val="TextBody"/>
        <w:bidi w:val="0"/>
        <w:spacing w:lineRule="auto" w:line="288" w:before="180" w:after="283"/>
        <w:jc w:val="both"/>
        <w:rPr/>
      </w:pPr>
      <w:r>
        <w:rPr>
          <w:rFonts w:ascii="Times New Roman;serif" w:hAnsi="Times New Roman;serif"/>
          <w:b w:val="false"/>
          <w:color w:val="000000"/>
          <w:sz w:val="20"/>
        </w:rPr>
        <w:t>We believe that presenting EBITDA and EBITDA margin is useful to investors because they provide important information concerning our operating performance exclusive of certain non-cash and other costs. EBITDA and EBITDA margin demonstrate our ability to execute our financial strategy, which includes reinvesting in existing capital assets to ensure a high level of customer service, investing in capital assets to facilitate growth in our customer base and services provided, maintaining our investment grade credit ratings and minimizing debt, paying cash dividends, repurchasing our common stock, and maintaining and improving our market position through business optimization. Although depreciation, depletion, amortization and accretion are considered operating costs in accordance with U.S. GAAP, they represent the allocation of non-cash costs generally associated with long-lived assets acquired or constructed in prior years.</w:t>
      </w:r>
      <w:r>
        <w:rPr>
          <w:color w:val="FF0000"/>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presenting adjusted EBITDA and adjusted EBITDA margin, adjusted EBITDA margin by business type, adjusted pre-tax income, adjusted tax impact, adjusted net income - Republic, and adjusted diluted earnings per share provide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w:t>
      </w:r>
    </w:p>
    <w:p>
      <w:pPr>
        <w:pStyle w:val="TextBody"/>
        <w:bidi w:val="0"/>
        <w:spacing w:lineRule="auto" w:line="288" w:before="100" w:after="283"/>
        <w:jc w:val="left"/>
        <w:rPr/>
      </w:pPr>
      <w:r>
        <w:rPr>
          <w:rFonts w:ascii="Times New Roman;serif" w:hAnsi="Times New Roman;serif"/>
          <w:b w:val="false"/>
          <w:i/>
          <w:color w:val="000000"/>
          <w:sz w:val="20"/>
        </w:rPr>
        <w:t>Restructuring charges.</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March 31, 2026 and 2025</w:t>
      </w:r>
      <w:r>
        <w:rPr>
          <w:rFonts w:ascii="Times New Roman;serif" w:hAnsi="Times New Roman;serif"/>
          <w:b w:val="false"/>
          <w:color w:val="000000"/>
          <w:sz w:val="20"/>
          <w:shd w:fill="FFFFFF" w:val="clear"/>
        </w:rPr>
        <w:t>, we incurred restructuring charges of $</w:t>
      </w:r>
      <w:r>
        <w:rPr>
          <w:rFonts w:ascii="Times New Roman;serif" w:hAnsi="Times New Roman;serif"/>
          <w:b w:val="false"/>
          <w:color w:val="000000"/>
          <w:sz w:val="20"/>
        </w:rPr>
        <w:t>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 million</w:t>
      </w:r>
      <w:r>
        <w:rPr>
          <w:rFonts w:ascii="Times New Roman;serif" w:hAnsi="Times New Roman;serif"/>
          <w:b w:val="false"/>
          <w:color w:val="000000"/>
          <w:sz w:val="20"/>
          <w:shd w:fill="FFFFFF" w:val="clear"/>
        </w:rPr>
        <w:t>, respectively.</w:t>
      </w:r>
      <w:r>
        <w:rPr>
          <w:color w:val="000000"/>
        </w:rPr>
        <w:t xml:space="preserve"> </w:t>
      </w:r>
      <w:r>
        <w:rPr>
          <w:rFonts w:ascii="Times New Roman;serif" w:hAnsi="Times New Roman;serif"/>
          <w:b w:val="false"/>
          <w:color w:val="000000"/>
          <w:sz w:val="20"/>
          <w:shd w:fill="FFFFFF" w:val="clear"/>
        </w:rPr>
        <w:t>The charges related to the design and implementation of our new accounts receivable system.</w:t>
      </w:r>
    </w:p>
    <w:p>
      <w:pPr>
        <w:pStyle w:val="TextBody"/>
        <w:bidi w:val="0"/>
        <w:spacing w:lineRule="auto" w:line="288" w:before="100" w:after="283"/>
        <w:jc w:val="left"/>
        <w:rPr/>
      </w:pPr>
      <w:r>
        <w:rPr>
          <w:rFonts w:ascii="Times New Roman;serif" w:hAnsi="Times New Roman;serif"/>
          <w:b w:val="false"/>
          <w:i/>
          <w:color w:val="000000"/>
          <w:sz w:val="20"/>
        </w:rPr>
        <w:t>Gain on business divestitures and impairments, net.</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March 31, 2026 and 2025, we recorded a net gain on business divestitures and impairments of $1 million and $2 million,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Free Cash Flow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calculates our adjusted free cash flow, which is not a measure determined in accordance with U.S. GAAP, for the three months ended March 31, 2026 and 2025 (in millions of dollars):</w:t>
      </w:r>
    </w:p>
    <w:tbl>
      <w:tblPr>
        <w:tblW w:w="8755" w:type="dxa"/>
        <w:jc w:val="left"/>
        <w:tblInd w:w="0" w:type="dxa"/>
        <w:tblLayout w:type="fixed"/>
        <w:tblCellMar>
          <w:top w:w="28" w:type="dxa"/>
          <w:left w:w="28" w:type="dxa"/>
          <w:bottom w:w="28" w:type="dxa"/>
          <w:right w:w="28" w:type="dxa"/>
        </w:tblCellMar>
      </w:tblPr>
      <w:tblGrid>
        <w:gridCol w:w="1411"/>
        <w:gridCol w:w="1243"/>
        <w:gridCol w:w="1246"/>
        <w:gridCol w:w="109"/>
        <w:gridCol w:w="109"/>
        <w:gridCol w:w="256"/>
        <w:gridCol w:w="209"/>
        <w:gridCol w:w="209"/>
        <w:gridCol w:w="209"/>
        <w:gridCol w:w="209"/>
        <w:gridCol w:w="406"/>
        <w:gridCol w:w="1186"/>
        <w:gridCol w:w="209"/>
        <w:gridCol w:w="109"/>
        <w:gridCol w:w="109"/>
        <w:gridCol w:w="109"/>
        <w:gridCol w:w="211"/>
        <w:gridCol w:w="616"/>
        <w:gridCol w:w="109"/>
        <w:gridCol w:w="109"/>
        <w:gridCol w:w="109"/>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744" w:type="dxa"/>
            <w:gridSpan w:val="10"/>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received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payments,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gridSpan w:val="2"/>
            <w:tcBorders/>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that presenting adjusted free cash flow provides useful information regarding our recurring cash provided by operating activities after certain expenditures or recoveries. It also demonstrates our ability to execute our financial strategy and is a key metric we use to determine compensation. The presentation of adjusted free cash flow has material limitations. Adjusted free cash flow does not represent our cash flow available for discretionary payments because it excludes certain payments that are required or to which we have committed, such as debt service requirements and dividend payments.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as reflected on our consolidated statements of cash flows represent amounts paid during the period for such expenditures. A reconciliation of property and equipment expenditures reflected on our consolidated statements of cash flows to property and equipment received during the period follows for the three months ended March 31, 2026 and 2025 (in millions of dollars):</w:t>
      </w:r>
    </w:p>
    <w:tbl>
      <w:tblPr>
        <w:tblW w:w="10205" w:type="dxa"/>
        <w:jc w:val="left"/>
        <w:tblInd w:w="0" w:type="dxa"/>
        <w:tblLayout w:type="fixed"/>
        <w:tblCellMar>
          <w:top w:w="28" w:type="dxa"/>
          <w:left w:w="28" w:type="dxa"/>
          <w:bottom w:w="28" w:type="dxa"/>
          <w:right w:w="28" w:type="dxa"/>
        </w:tblCellMar>
      </w:tblPr>
      <w:tblGrid>
        <w:gridCol w:w="2069"/>
        <w:gridCol w:w="1815"/>
        <w:gridCol w:w="1827"/>
        <w:gridCol w:w="109"/>
        <w:gridCol w:w="109"/>
        <w:gridCol w:w="1056"/>
        <w:gridCol w:w="1056"/>
        <w:gridCol w:w="211"/>
        <w:gridCol w:w="466"/>
        <w:gridCol w:w="109"/>
        <w:gridCol w:w="109"/>
        <w:gridCol w:w="211"/>
        <w:gridCol w:w="466"/>
        <w:gridCol w:w="109"/>
        <w:gridCol w:w="109"/>
        <w:gridCol w:w="109"/>
        <w:gridCol w:w="109"/>
        <w:gridCol w:w="156"/>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2164" w:type="dxa"/>
            <w:gridSpan w:val="11"/>
            <w:tcBorders/>
          </w:tcPr>
          <w:p>
            <w:pPr>
              <w:pStyle w:val="TableContents"/>
              <w:bidi w:val="0"/>
              <w:spacing w:before="0" w:after="283"/>
              <w:jc w:val="left"/>
              <w:rPr>
                <w:sz w:val="4"/>
                <w:szCs w:val="4"/>
              </w:rPr>
            </w:pPr>
            <w:r>
              <w:rPr>
                <w:sz w:val="4"/>
                <w:szCs w:val="4"/>
              </w:rPr>
            </w:r>
          </w:p>
        </w:tc>
      </w:tr>
      <w:tr>
        <w:trPr/>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per the unaudited consolidated statements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for property and equipment received in a different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received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adjustments noted above do not affect our net change in cash, cash equivalents, restricted cash and restricted cash equivalents as reflected in our consolidated statements of cash flows.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accounts receivable were $1,917 million and $1,897 million, net of allowance for doubtful accounts of $60 million and $66 million, respectively, resulting in days sales outstanding of 42.4, or 31.8 days net of deferred revenue, compared to 41.8, or 30.8 days net of deferred revenue, respectively.</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January 2026, we paid a cash dividend of $193 million to shareholders of record as of January 2, 2026. As of March 31, 2026, we recorded a quarterly dividend payable of $192 million to shareholders of record at the close of business on April 2, 2026, which was paid on April 15,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1.4 million shares of our common stock for $314 million at a weighted average cost per share of $218.29. As of March 31, 2026, the remaining authorized purchase capacity under our October 2023 repurchase program was approximately $1.3 billion.</w:t>
      </w:r>
    </w:p>
    <w:p>
      <w:pPr>
        <w:pStyle w:val="TextBody"/>
        <w:bidi w:val="0"/>
        <w:spacing w:before="240" w:after="283"/>
        <w:jc w:val="left"/>
        <w:rPr/>
      </w:pPr>
      <w:r>
        <w:rPr/>
      </w:r>
    </w:p>
    <w:p>
      <w:pPr>
        <w:pStyle w:val="TextBody"/>
        <w:bidi w:val="0"/>
        <w:spacing w:before="180" w:after="283"/>
        <w:jc w:val="left"/>
        <w:rPr/>
      </w:pPr>
      <w:r>
        <w:rPr/>
      </w:r>
    </w:p>
    <w:p>
      <w:pPr>
        <w:pStyle w:val="TextBody"/>
        <w:bidi w:val="0"/>
        <w:spacing w:before="24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REGARDING FORWARD-LOOKING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risks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our ability to effectively integrate and manage companies we acquire, and to realize the anticipated benefits of any such acquisitions, the impact of prolonged work stoppages or other labor disruptions, the amount of the financial contribution of our sustainability initiatives, acts of war, riots or terrorism, and the impact of these acts on economic, financial and social conditions in the United States and Canada,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2025, particularly under Part I,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4612</Words>
  <Characters>24846</Characters>
  <CharactersWithSpaces>28881</CharactersWithSpaces>
  <Paragraphs>1058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