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5, 2016 (July 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tbl>
      <w:tblPr>
        <w:tblLayout w:type="fixed"/>
        <w:tblInd w:w="1700" w:type="dxa"/>
        <w:tblCellMar>
          <w:top w:w="0" w:type="dxa"/>
          <w:left w:w="0" w:type="dxa"/>
          <w:bottom w:w="0" w:type="dxa"/>
          <w:right w:w="0" w:type="dxa"/>
        </w:tblCellMar>
      </w:tblPr>
      <w:tr>
        <w:trPr>
          <w:trHeight w:val="525"/>
        </w:trPr>
        <w:tc>
          <w:tcPr>
            <w:tcW w:w="6260" w:type="dxa"/>
            <w:vAlign w:val="bottom"/>
            <w:gridSpan w:val="3"/>
          </w:tcPr>
          <w:p>
            <w:pPr>
              <w:jc w:val="center"/>
              <w:ind w:left="1684"/>
              <w:spacing w:after="0"/>
              <w:rPr>
                <w:sz w:val="20"/>
                <w:szCs w:val="20"/>
                <w:color w:val="auto"/>
              </w:rPr>
            </w:pPr>
            <w:r>
              <w:rPr>
                <w:rFonts w:ascii="Arial" w:cs="Arial" w:eastAsia="Arial" w:hAnsi="Arial"/>
                <w:sz w:val="43"/>
                <w:szCs w:val="43"/>
                <w:b w:val="1"/>
                <w:bCs w:val="1"/>
                <w:color w:val="auto"/>
                <w:w w:val="89"/>
              </w:rPr>
              <w:t>Republic Services, Inc.</w:t>
            </w:r>
          </w:p>
        </w:tc>
        <w:tc>
          <w:tcPr>
            <w:tcW w:w="1260" w:type="dxa"/>
            <w:vAlign w:val="bottom"/>
          </w:tcPr>
          <w:p>
            <w:pPr>
              <w:spacing w:after="0"/>
              <w:rPr>
                <w:sz w:val="24"/>
                <w:szCs w:val="24"/>
                <w:color w:val="auto"/>
              </w:rPr>
            </w:pPr>
          </w:p>
        </w:tc>
      </w:tr>
      <w:tr>
        <w:trPr>
          <w:trHeight w:val="234"/>
        </w:trPr>
        <w:tc>
          <w:tcPr>
            <w:tcW w:w="6260" w:type="dxa"/>
            <w:vAlign w:val="bottom"/>
            <w:gridSpan w:val="3"/>
          </w:tcPr>
          <w:p>
            <w:pPr>
              <w:jc w:val="center"/>
              <w:ind w:left="1664"/>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260" w:type="dxa"/>
            <w:vAlign w:val="bottom"/>
          </w:tcPr>
          <w:p>
            <w:pPr>
              <w:spacing w:after="0"/>
              <w:rPr>
                <w:sz w:val="20"/>
                <w:szCs w:val="20"/>
                <w:color w:val="auto"/>
              </w:rPr>
            </w:pPr>
          </w:p>
        </w:tc>
      </w:tr>
      <w:tr>
        <w:trPr>
          <w:trHeight w:val="365"/>
        </w:trPr>
        <w:tc>
          <w:tcPr>
            <w:tcW w:w="28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3"/>
        </w:trPr>
        <w:tc>
          <w:tcPr>
            <w:tcW w:w="2820" w:type="dxa"/>
            <w:vAlign w:val="bottom"/>
          </w:tcPr>
          <w:p>
            <w:pPr>
              <w:spacing w:after="0"/>
              <w:rPr>
                <w:sz w:val="24"/>
                <w:szCs w:val="24"/>
                <w:color w:val="auto"/>
              </w:rPr>
            </w:pPr>
          </w:p>
        </w:tc>
        <w:tc>
          <w:tcPr>
            <w:tcW w:w="344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1"/>
              </w:rPr>
              <w:t>Delaware</w:t>
            </w:r>
          </w:p>
        </w:tc>
        <w:tc>
          <w:tcPr>
            <w:tcW w:w="1260" w:type="dxa"/>
            <w:vAlign w:val="bottom"/>
          </w:tcPr>
          <w:p>
            <w:pPr>
              <w:spacing w:after="0"/>
              <w:rPr>
                <w:sz w:val="24"/>
                <w:szCs w:val="24"/>
                <w:color w:val="auto"/>
              </w:rPr>
            </w:pPr>
          </w:p>
        </w:tc>
      </w:tr>
      <w:tr>
        <w:trPr>
          <w:trHeight w:val="186"/>
        </w:trPr>
        <w:tc>
          <w:tcPr>
            <w:tcW w:w="6260" w:type="dxa"/>
            <w:vAlign w:val="bottom"/>
            <w:gridSpan w:val="3"/>
          </w:tcPr>
          <w:p>
            <w:pPr>
              <w:jc w:val="center"/>
              <w:ind w:left="1664"/>
              <w:spacing w:after="0"/>
              <w:rPr>
                <w:sz w:val="20"/>
                <w:szCs w:val="20"/>
                <w:color w:val="auto"/>
              </w:rPr>
            </w:pPr>
            <w:r>
              <w:rPr>
                <w:rFonts w:ascii="Arial" w:cs="Arial" w:eastAsia="Arial" w:hAnsi="Arial"/>
                <w:sz w:val="14"/>
                <w:szCs w:val="14"/>
                <w:b w:val="1"/>
                <w:bCs w:val="1"/>
                <w:color w:val="auto"/>
                <w:w w:val="94"/>
              </w:rPr>
              <w:t>(State or other jurisdiction of incorporation)</w:t>
            </w:r>
          </w:p>
        </w:tc>
        <w:tc>
          <w:tcPr>
            <w:tcW w:w="1260" w:type="dxa"/>
            <w:vAlign w:val="bottom"/>
          </w:tcPr>
          <w:p>
            <w:pPr>
              <w:spacing w:after="0"/>
              <w:rPr>
                <w:sz w:val="16"/>
                <w:szCs w:val="16"/>
                <w:color w:val="auto"/>
              </w:rPr>
            </w:pPr>
          </w:p>
        </w:tc>
      </w:tr>
      <w:tr>
        <w:trPr>
          <w:trHeight w:val="421"/>
        </w:trPr>
        <w:tc>
          <w:tcPr>
            <w:tcW w:w="2820" w:type="dxa"/>
            <w:vAlign w:val="bottom"/>
          </w:tcPr>
          <w:p>
            <w:pPr>
              <w:jc w:val="center"/>
              <w:ind w:right="324"/>
              <w:spacing w:after="0"/>
              <w:rPr>
                <w:sz w:val="20"/>
                <w:szCs w:val="20"/>
                <w:color w:val="auto"/>
              </w:rPr>
            </w:pPr>
            <w:r>
              <w:rPr>
                <w:rFonts w:ascii="Arial" w:cs="Arial" w:eastAsia="Arial" w:hAnsi="Arial"/>
                <w:sz w:val="18"/>
                <w:szCs w:val="18"/>
                <w:b w:val="1"/>
                <w:bCs w:val="1"/>
                <w:color w:val="auto"/>
                <w:w w:val="90"/>
              </w:rPr>
              <w:t>1-14267</w:t>
            </w:r>
          </w:p>
        </w:tc>
        <w:tc>
          <w:tcPr>
            <w:tcW w:w="2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jc w:val="right"/>
              <w:ind w:right="61"/>
              <w:spacing w:after="0"/>
              <w:rPr>
                <w:sz w:val="20"/>
                <w:szCs w:val="20"/>
                <w:color w:val="auto"/>
              </w:rPr>
            </w:pPr>
            <w:r>
              <w:rPr>
                <w:rFonts w:ascii="Arial" w:cs="Arial" w:eastAsia="Arial" w:hAnsi="Arial"/>
                <w:sz w:val="18"/>
                <w:szCs w:val="18"/>
                <w:b w:val="1"/>
                <w:bCs w:val="1"/>
                <w:color w:val="auto"/>
              </w:rPr>
              <w:t>65-0716904</w:t>
            </w:r>
          </w:p>
        </w:tc>
      </w:tr>
      <w:tr>
        <w:trPr>
          <w:trHeight w:val="149"/>
        </w:trPr>
        <w:tc>
          <w:tcPr>
            <w:tcW w:w="6260" w:type="dxa"/>
            <w:vAlign w:val="bottom"/>
            <w:gridSpan w:val="3"/>
          </w:tcPr>
          <w:p>
            <w:pPr>
              <w:jc w:val="center"/>
              <w:ind w:right="3880"/>
              <w:spacing w:after="0" w:line="149" w:lineRule="exact"/>
              <w:rPr>
                <w:sz w:val="20"/>
                <w:szCs w:val="20"/>
                <w:color w:val="auto"/>
              </w:rPr>
            </w:pPr>
            <w:r>
              <w:rPr>
                <w:rFonts w:ascii="Arial" w:cs="Arial" w:eastAsia="Arial" w:hAnsi="Arial"/>
                <w:sz w:val="14"/>
                <w:szCs w:val="14"/>
                <w:b w:val="1"/>
                <w:bCs w:val="1"/>
                <w:color w:val="auto"/>
                <w:w w:val="92"/>
              </w:rPr>
              <w:t>(Commission</w:t>
            </w:r>
          </w:p>
        </w:tc>
        <w:tc>
          <w:tcPr>
            <w:tcW w:w="126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260" w:type="dxa"/>
            <w:vAlign w:val="bottom"/>
            <w:gridSpan w:val="3"/>
          </w:tcPr>
          <w:p>
            <w:pPr>
              <w:jc w:val="center"/>
              <w:ind w:right="3880"/>
              <w:spacing w:after="0"/>
              <w:rPr>
                <w:sz w:val="20"/>
                <w:szCs w:val="20"/>
                <w:color w:val="auto"/>
              </w:rPr>
            </w:pPr>
            <w:r>
              <w:rPr>
                <w:rFonts w:ascii="Arial" w:cs="Arial" w:eastAsia="Arial" w:hAnsi="Arial"/>
                <w:sz w:val="14"/>
                <w:szCs w:val="14"/>
                <w:b w:val="1"/>
                <w:bCs w:val="1"/>
                <w:color w:val="auto"/>
                <w:w w:val="95"/>
              </w:rPr>
              <w:t>File Number)</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260" w:type="dxa"/>
            <w:vAlign w:val="bottom"/>
            <w:gridSpan w:val="3"/>
          </w:tcPr>
          <w:p>
            <w:pPr>
              <w:jc w:val="center"/>
              <w:ind w:right="3880"/>
              <w:spacing w:after="0"/>
              <w:rPr>
                <w:sz w:val="20"/>
                <w:szCs w:val="20"/>
                <w:color w:val="auto"/>
              </w:rPr>
            </w:pPr>
            <w:r>
              <w:rPr>
                <w:rFonts w:ascii="Arial" w:cs="Arial" w:eastAsia="Arial" w:hAnsi="Arial"/>
                <w:sz w:val="18"/>
                <w:szCs w:val="18"/>
                <w:b w:val="1"/>
                <w:bCs w:val="1"/>
                <w:color w:val="auto"/>
                <w:w w:val="93"/>
              </w:rPr>
              <w:t>18500 North Allied Way</w:t>
            </w:r>
          </w:p>
        </w:tc>
        <w:tc>
          <w:tcPr>
            <w:tcW w:w="1260" w:type="dxa"/>
            <w:vAlign w:val="bottom"/>
          </w:tcPr>
          <w:p>
            <w:pPr>
              <w:spacing w:after="0"/>
              <w:rPr>
                <w:sz w:val="24"/>
                <w:szCs w:val="24"/>
                <w:color w:val="auto"/>
              </w:rPr>
            </w:pPr>
          </w:p>
        </w:tc>
      </w:tr>
      <w:tr>
        <w:trPr>
          <w:trHeight w:val="225"/>
        </w:trPr>
        <w:tc>
          <w:tcPr>
            <w:tcW w:w="6260" w:type="dxa"/>
            <w:vAlign w:val="bottom"/>
            <w:gridSpan w:val="3"/>
          </w:tcPr>
          <w:p>
            <w:pPr>
              <w:jc w:val="center"/>
              <w:ind w:right="3880"/>
              <w:spacing w:after="0"/>
              <w:rPr>
                <w:sz w:val="20"/>
                <w:szCs w:val="20"/>
                <w:color w:val="auto"/>
              </w:rPr>
            </w:pPr>
            <w:r>
              <w:rPr>
                <w:rFonts w:ascii="Arial" w:cs="Arial" w:eastAsia="Arial" w:hAnsi="Arial"/>
                <w:sz w:val="18"/>
                <w:szCs w:val="18"/>
                <w:b w:val="1"/>
                <w:bCs w:val="1"/>
                <w:color w:val="auto"/>
                <w:w w:val="91"/>
              </w:rPr>
              <w:t>Phoenix, Arizona</w:t>
            </w:r>
          </w:p>
        </w:tc>
        <w:tc>
          <w:tcPr>
            <w:tcW w:w="1260" w:type="dxa"/>
            <w:vAlign w:val="bottom"/>
          </w:tcPr>
          <w:p>
            <w:pPr>
              <w:jc w:val="right"/>
              <w:ind w:right="261"/>
              <w:spacing w:after="0"/>
              <w:rPr>
                <w:sz w:val="20"/>
                <w:szCs w:val="20"/>
                <w:color w:val="auto"/>
              </w:rPr>
            </w:pPr>
            <w:r>
              <w:rPr>
                <w:rFonts w:ascii="Arial" w:cs="Arial" w:eastAsia="Arial" w:hAnsi="Arial"/>
                <w:sz w:val="18"/>
                <w:szCs w:val="18"/>
                <w:b w:val="1"/>
                <w:bCs w:val="1"/>
                <w:color w:val="auto"/>
              </w:rPr>
              <w:t>85054</w:t>
            </w:r>
          </w:p>
        </w:tc>
      </w:tr>
      <w:tr>
        <w:trPr>
          <w:trHeight w:val="186"/>
        </w:trPr>
        <w:tc>
          <w:tcPr>
            <w:tcW w:w="6260" w:type="dxa"/>
            <w:vAlign w:val="bottom"/>
            <w:gridSpan w:val="3"/>
          </w:tcPr>
          <w:p>
            <w:pPr>
              <w:jc w:val="center"/>
              <w:ind w:right="38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(480) 627-2700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30"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060" w:type="dxa"/>
            <w:vAlign w:val="bottom"/>
            <w:gridSpan w:val="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260" w:type="dxa"/>
            <w:vAlign w:val="bottom"/>
          </w:tcPr>
          <w:p>
            <w:pPr>
              <w:spacing w:after="0"/>
              <w:rPr>
                <w:sz w:val="17"/>
                <w:szCs w:val="17"/>
                <w:color w:val="auto"/>
              </w:rPr>
            </w:pPr>
          </w:p>
        </w:tc>
      </w:tr>
      <w:tr>
        <w:trPr>
          <w:trHeight w:val="534"/>
        </w:trPr>
        <w:tc>
          <w:tcPr>
            <w:tcW w:w="7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700" w:type="dxa"/>
            <w:vAlign w:val="bottom"/>
          </w:tcPr>
          <w:p>
            <w:pPr>
              <w:spacing w:after="0"/>
              <w:rPr>
                <w:sz w:val="24"/>
                <w:szCs w:val="24"/>
                <w:color w:val="auto"/>
              </w:rPr>
            </w:pPr>
          </w:p>
        </w:tc>
        <w:tc>
          <w:tcPr>
            <w:tcW w:w="7260" w:type="dxa"/>
            <w:vAlign w:val="bottom"/>
          </w:tcPr>
          <w:p>
            <w:pPr>
              <w:jc w:val="right"/>
              <w:ind w:right="4550"/>
              <w:spacing w:after="0"/>
              <w:rPr>
                <w:sz w:val="20"/>
                <w:szCs w:val="20"/>
                <w:color w:val="auto"/>
              </w:rPr>
            </w:pPr>
            <w:r>
              <w:rPr>
                <w:rFonts w:ascii="Arial" w:cs="Arial" w:eastAsia="Arial" w:hAnsi="Arial"/>
                <w:sz w:val="18"/>
                <w:szCs w:val="18"/>
                <w:b w:val="1"/>
                <w:bCs w:val="1"/>
                <w:color w:val="auto"/>
              </w:rPr>
              <w:t>TABLE OF CONTENTS</w:t>
            </w:r>
          </w:p>
        </w:tc>
      </w:tr>
      <w:tr>
        <w:trPr>
          <w:trHeight w:val="527"/>
        </w:trPr>
        <w:tc>
          <w:tcPr>
            <w:tcW w:w="70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8.01</w:t>
              </w:r>
            </w:hyperlink>
          </w:p>
        </w:tc>
        <w:tc>
          <w:tcPr>
            <w:tcW w:w="100" w:type="dxa"/>
            <w:vAlign w:val="bottom"/>
          </w:tcPr>
          <w:p>
            <w:pPr>
              <w:spacing w:after="0"/>
              <w:rPr>
                <w:sz w:val="24"/>
                <w:szCs w:val="24"/>
                <w:color w:val="auto"/>
              </w:rPr>
            </w:pPr>
          </w:p>
        </w:tc>
        <w:tc>
          <w:tcPr>
            <w:tcW w:w="3260" w:type="dxa"/>
            <w:vAlign w:val="bottom"/>
            <w:gridSpan w:val="3"/>
          </w:tcPr>
          <w:p>
            <w:pPr>
              <w:ind w:left="100"/>
              <w:spacing w:after="0"/>
              <w:rPr>
                <w:sz w:val="20"/>
                <w:szCs w:val="20"/>
                <w:color w:val="auto"/>
              </w:rPr>
            </w:pPr>
            <w:r>
              <w:rPr>
                <w:rFonts w:ascii="Arial" w:cs="Arial" w:eastAsia="Arial" w:hAnsi="Arial"/>
                <w:sz w:val="18"/>
                <w:szCs w:val="18"/>
                <w:color w:val="auto"/>
              </w:rPr>
              <w:t>Other Events</w:t>
            </w:r>
          </w:p>
        </w:tc>
        <w:tc>
          <w:tcPr>
            <w:tcW w:w="7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0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9.01</w:t>
              </w:r>
            </w:hyperlink>
          </w:p>
        </w:tc>
        <w:tc>
          <w:tcPr>
            <w:tcW w:w="100" w:type="dxa"/>
            <w:vAlign w:val="bottom"/>
          </w:tcPr>
          <w:p>
            <w:pPr>
              <w:spacing w:after="0"/>
              <w:rPr>
                <w:sz w:val="24"/>
                <w:szCs w:val="24"/>
                <w:color w:val="auto"/>
              </w:rPr>
            </w:pPr>
          </w:p>
        </w:tc>
        <w:tc>
          <w:tcPr>
            <w:tcW w:w="3260" w:type="dxa"/>
            <w:vAlign w:val="bottom"/>
            <w:gridSpan w:val="3"/>
          </w:tcPr>
          <w:p>
            <w:pPr>
              <w:ind w:left="100"/>
              <w:spacing w:after="0"/>
              <w:rPr>
                <w:sz w:val="20"/>
                <w:szCs w:val="20"/>
                <w:color w:val="auto"/>
              </w:rPr>
            </w:pPr>
            <w:r>
              <w:rPr>
                <w:rFonts w:ascii="Arial" w:cs="Arial" w:eastAsia="Arial" w:hAnsi="Arial"/>
                <w:sz w:val="18"/>
                <w:szCs w:val="18"/>
                <w:color w:val="auto"/>
              </w:rPr>
              <w:t>Financial Statements and Exhibits</w:t>
            </w:r>
          </w:p>
        </w:tc>
        <w:tc>
          <w:tcPr>
            <w:tcW w:w="7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06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SIGNATURES</w:t>
              </w:r>
            </w:hyperlink>
          </w:p>
        </w:tc>
        <w:tc>
          <w:tcPr>
            <w:tcW w:w="7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8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Exhibit 4.1</w:t>
              </w:r>
            </w:hyperlink>
          </w:p>
        </w:tc>
        <w:tc>
          <w:tcPr>
            <w:tcW w:w="3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260" w:type="dxa"/>
            <w:vAlign w:val="bottom"/>
          </w:tcPr>
          <w:p>
            <w:pPr>
              <w:spacing w:after="0"/>
              <w:rPr>
                <w:sz w:val="24"/>
                <w:szCs w:val="24"/>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Exhibit 5.1</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23.1</w:t>
      </w:r>
    </w:p>
    <w:p>
      <w:pPr>
        <w:spacing w:after="0" w:line="117"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Exhibit 99.1</w:t>
        </w:r>
      </w:hyperlink>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46"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5, 2016, Republic Services, Inc. (“Republic”) completed an underwritten public offering of $500 million aggregate principal amount of 2.900% senior notes due 2026 (the “Notes”). The Notes were issued pursuant to an Indenture, dated as of November 25, 2009, between Republic and U.S. Bank National Association, as trustee, as supplemented by the Fifth Supplemental Indenture, dated July 5, 2016. The Notes are unsubordinated and unsecured obligations of Republic. Republic expects to use the net proceeds, together with borrowing under its credit facilities, to purchase up to $600 million combined aggregate principal amount of the 6.200% Notes due 2040, 5.700% Notes due 2041 and 6.086% Notes due 2035, each issued by Republic, and the 7.400% Debentures due 2035 issued by Republic’s subsidiary Browning-Ferris Industries, LLC, tendered in its previously announced tender offers (the “Tender Offers”) launched June 6,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copy of the Fifth Supplemental Indenture is filed under Item 9.01 as Exhibit 4.1 and is incorporated herein by reference.</w:t>
      </w:r>
    </w:p>
    <w:p>
      <w:pPr>
        <w:spacing w:after="0" w:line="22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Notes have been registered under the Securities Act of 1933, as amended (the “Act”), pursuant to a Registration Statement on Form S-3 (No. 333-195485) (the “Registration Statement”) filed with the Securities and Exchange Commission (the “SEC”) by Republic under the Act.</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Also on July 5, 2016, Republic issued a press release announcing the final tender results of its Tender Offers. A copy of the press release announcing the final tender results is filed under Item 9.01 as Exhibit 99.1 and is incorporated herein by reference.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Republic hereby files the following exhibits 4.1, 5.1 and 23.1 to, and incorporates such exhibits by reference in, the Registration Statement, as supplemented by the Prospectus Supplement dated June 20, 2016 which was filed with the SEC on June 22,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3"/>
          </w:tcPr>
          <w:p>
            <w:pPr>
              <w:ind w:left="20"/>
              <w:spacing w:after="0"/>
              <w:rPr>
                <w:sz w:val="20"/>
                <w:szCs w:val="20"/>
                <w:color w:val="auto"/>
              </w:rPr>
            </w:pPr>
            <w:r>
              <w:rPr>
                <w:rFonts w:ascii="Arial" w:cs="Arial" w:eastAsia="Arial" w:hAnsi="Arial"/>
                <w:sz w:val="14"/>
                <w:szCs w:val="14"/>
                <w:color w:val="auto"/>
              </w:rPr>
              <w:t>Exhibit</w:t>
            </w:r>
          </w:p>
        </w:tc>
        <w:tc>
          <w:tcPr>
            <w:tcW w:w="660" w:type="dxa"/>
            <w:vAlign w:val="bottom"/>
          </w:tcPr>
          <w:p>
            <w:pPr>
              <w:spacing w:after="0"/>
              <w:rPr>
                <w:sz w:val="14"/>
                <w:szCs w:val="14"/>
                <w:color w:val="auto"/>
              </w:rPr>
            </w:pPr>
          </w:p>
        </w:tc>
        <w:tc>
          <w:tcPr>
            <w:tcW w:w="9540" w:type="dxa"/>
            <w:vAlign w:val="bottom"/>
          </w:tcPr>
          <w:p>
            <w:pPr>
              <w:spacing w:after="0"/>
              <w:rPr>
                <w:sz w:val="14"/>
                <w:szCs w:val="14"/>
                <w:color w:val="auto"/>
              </w:rPr>
            </w:pPr>
          </w:p>
        </w:tc>
      </w:tr>
      <w:tr>
        <w:trPr>
          <w:trHeight w:val="181"/>
        </w:trPr>
        <w:tc>
          <w:tcPr>
            <w:tcW w:w="120" w:type="dxa"/>
            <w:vAlign w:val="bottom"/>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No.</w:t>
            </w:r>
          </w:p>
        </w:tc>
        <w:tc>
          <w:tcPr>
            <w:tcW w:w="660" w:type="dxa"/>
            <w:vAlign w:val="bottom"/>
          </w:tcPr>
          <w:p>
            <w:pPr>
              <w:spacing w:after="0"/>
              <w:rPr>
                <w:sz w:val="15"/>
                <w:szCs w:val="15"/>
                <w:color w:val="auto"/>
              </w:rPr>
            </w:pPr>
          </w:p>
        </w:tc>
        <w:tc>
          <w:tcPr>
            <w:tcW w:w="1020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r>
      <w:tr>
        <w:trPr>
          <w:trHeight w:val="277"/>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9"/>
              </w:rPr>
              <w:t>Fifth Supplemental Indenture, dated as of July 5, 2016, to the Indenture, dated as of November 25, 2009, between Republic Services, Inc. and</w:t>
            </w:r>
          </w:p>
        </w:tc>
      </w:tr>
      <w:tr>
        <w:trPr>
          <w:trHeight w:val="230"/>
        </w:trPr>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U.S. Bank National Association, as trustee, including the form of 2.900% Notes due 2026</w:t>
            </w:r>
          </w:p>
        </w:tc>
      </w:tr>
      <w:tr>
        <w:trPr>
          <w:trHeight w:val="32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Opinion of Mayer Brown LLP, as to the validity of the Notes</w:t>
            </w:r>
          </w:p>
        </w:tc>
      </w:tr>
      <w:tr>
        <w:trPr>
          <w:trHeight w:val="32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23.1</w:t>
            </w:r>
          </w:p>
        </w:tc>
        <w:tc>
          <w:tcPr>
            <w:tcW w:w="66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Consent of Mayer Brown LLP (contained in Exhibit 5.1 hereto)</w:t>
            </w:r>
          </w:p>
        </w:tc>
      </w:tr>
      <w:tr>
        <w:trPr>
          <w:trHeight w:val="32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99.1</w:t>
            </w:r>
          </w:p>
        </w:tc>
        <w:tc>
          <w:tcPr>
            <w:tcW w:w="66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Press release issued July 5, 2016 announcing final tender results</w:t>
            </w:r>
          </w:p>
        </w:tc>
      </w:tr>
      <w:tr>
        <w:trPr>
          <w:trHeight w:val="365"/>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0" w:type="dxa"/>
            <w:vAlign w:val="bottom"/>
            <w:gridSpan w:val="2"/>
          </w:tcPr>
          <w:p>
            <w:pPr>
              <w:ind w:left="466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5,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REPUBLIC SERVICES, INC.</w:t>
      </w:r>
    </w:p>
    <w:p>
      <w:pPr>
        <w:spacing w:after="0" w:line="225" w:lineRule="exact"/>
        <w:rPr>
          <w:sz w:val="20"/>
          <w:szCs w:val="20"/>
          <w:color w:val="auto"/>
        </w:rPr>
      </w:pPr>
    </w:p>
    <w:p>
      <w:pPr>
        <w:ind w:left="686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Charles F. Serianni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14605</wp:posOffset>
            </wp:positionV>
            <wp:extent cx="26498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Charles F. Serianni</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Executive Vice President and Chief Financial Officer</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686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A.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14605</wp:posOffset>
            </wp:positionV>
            <wp:extent cx="26498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Brian A. Goebel</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Vice President and Chief Accounting Officer (Principal</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Accounting Officer)</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REPUBLIC SERVICES,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238125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FIFTH SUPPLEMENTAL INDENTURE,</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Dated as of July 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246380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$500,000,000</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2.900%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228600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Supplement to Indenture dated as of November 25, 2009</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121" w:right="239" w:bottom="1440" w:gutter="0" w:footer="0" w:header="0"/>
        </w:sectPr>
      </w:pPr>
    </w:p>
    <w:bookmarkStart w:id="5" w:name="page6"/>
    <w:bookmarkEnd w:id="5"/>
    <w:p>
      <w:pPr>
        <w:ind w:right="2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FIFTH SUPPLEMENTAL INDENTURE, dated as of July 5, 2016 (the “Fifth Supplemental Indenture”), between REPUBLIC SERVICES, INC., a Delaware corporation (hereinafter called the “Company”) and U.S. BANK NATIONAL ASSOCIATION, as trustee under the Base Indenture referred to below (hereinafter called the “Trustee”).</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WHEREAS, the Company entered into an Indenture dated as of November 25, 2009 (the “Base Indenture,” all capitalized terms used in this Fifth Supplemental Indenture and not otherwise defined being used as defined in the Base Indenture) (the Base Indenture, as supplemented, including as supplemented by this Fifth Supplemental Indenture is hereinafter collectively called the “Indenture”) with the Trustee, providing for the issuance of senior debt securities, unlimited as to principal amount, to bear such rates of interest, to mature at such time or times, to be issued in one or more series and to have such other provisions as authorized by or pursuant to the authority granted in one or more resolutions of the Board of Directors of the Company; and</w:t>
      </w:r>
    </w:p>
    <w:p>
      <w:pPr>
        <w:spacing w:after="0" w:line="15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WHEREAS, the Company proposes to issue $500,000,000 aggregate principal amount of its 2.900% Notes due 2026 (such notes being referred to herein as the “Notes” and all references to Securities in the Base Indenture shall be deemed to refer also to the Notes unless the context otherwise provides); and</w:t>
      </w:r>
    </w:p>
    <w:p>
      <w:pPr>
        <w:spacing w:after="0" w:line="181"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WHEREAS, Section 9.01 of the Base Indenture provides that without the consent of the Holders of the Securities of any series issued under the Base Indenture, the Company, when authorized by a Board Resolution, and the Trustee may enter into one or more indentures supplemental to the Base Indenture to, among other things, establish the form or terms of securities of any series as permitted by Sections 2.01 and 3.01 thereof; and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entry into this Fifth Supplemental Indenture by the parties hereto is in all respects authorized by the provisions of the Base Indenture;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jc w:val="both"/>
        <w:ind w:right="100" w:firstLine="456"/>
        <w:spacing w:after="0" w:line="277" w:lineRule="auto"/>
        <w:rPr>
          <w:sz w:val="20"/>
          <w:szCs w:val="20"/>
          <w:color w:val="auto"/>
        </w:rPr>
      </w:pPr>
      <w:r>
        <w:rPr>
          <w:rFonts w:ascii="Arial" w:cs="Arial" w:eastAsia="Arial" w:hAnsi="Arial"/>
          <w:sz w:val="18"/>
          <w:szCs w:val="18"/>
          <w:color w:val="auto"/>
        </w:rPr>
        <w:t>WHEREAS, all things necessary have been done to make this Fifth Supplemental Indenture, when executed and delivered by the Company, the legal, valid and binding agreement of the Company, in accordance with its terms; and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all things necessary have been done to make the Notes, when executed and delivered by the Company and authenticated by the Trustee as provided for in the Indenture, the legal, valid and binding agreement of the Company, in accordance with its terms;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THIS FIFTH SUPPLEMENTAL INDENTURE WITNESSETH: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hereto mutually covenant and agree as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SECTION 1. The Base Indenture is hereby amended solely with respect to the Notes, except as otherwise expressly provided herein, as follows:</w:t>
      </w:r>
    </w:p>
    <w:p>
      <w:pPr>
        <w:spacing w:after="0" w:line="142"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By amending Section 1.01 to replace in whole the following definitions thereto in lieu of the corresponding existing definitions, so that in the</w:t>
      </w:r>
    </w:p>
    <w:p>
      <w:pPr>
        <w:spacing w:after="0" w:line="169" w:lineRule="exact"/>
        <w:rPr>
          <w:rFonts w:ascii="Arial" w:cs="Arial" w:eastAsia="Arial" w:hAnsi="Arial"/>
          <w:sz w:val="17"/>
          <w:szCs w:val="17"/>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40"/>
          </w:cols>
          <w:pgMar w:left="240" w:top="274" w:right="31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event of a conflict with the definition of terms in the Base Indenture, the following definitions shall control:</w:t>
      </w:r>
    </w:p>
    <w:p>
      <w:pPr>
        <w:spacing w:after="0" w:line="117" w:lineRule="exact"/>
        <w:rPr>
          <w:sz w:val="20"/>
          <w:szCs w:val="20"/>
          <w:color w:val="auto"/>
        </w:rPr>
      </w:pPr>
    </w:p>
    <w:p>
      <w:pPr>
        <w:ind w:right="20" w:firstLine="438"/>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Notes to be redeemed (assuming that the Notes matured on the Par Call Date) that would be utilized, at the time of selection and in accordance with customary financial practice, in pricing new issues of corporate debt securities of a comparable maturity to the remaining term of the Notes (assuming that the Notes matured on the Par Call Date).</w:t>
      </w:r>
    </w:p>
    <w:p>
      <w:pPr>
        <w:spacing w:after="0" w:line="79" w:lineRule="exact"/>
        <w:rPr>
          <w:sz w:val="20"/>
          <w:szCs w:val="20"/>
          <w:color w:val="auto"/>
        </w:rPr>
      </w:pPr>
    </w:p>
    <w:p>
      <w:pPr>
        <w:ind w:firstLine="438"/>
        <w:spacing w:after="0" w:line="264" w:lineRule="auto"/>
        <w:rPr>
          <w:sz w:val="20"/>
          <w:szCs w:val="20"/>
          <w:color w:val="auto"/>
        </w:rPr>
      </w:pPr>
      <w:r>
        <w:rPr>
          <w:rFonts w:ascii="Arial" w:cs="Arial" w:eastAsia="Arial" w:hAnsi="Arial"/>
          <w:sz w:val="18"/>
          <w:szCs w:val="18"/>
          <w:color w:val="auto"/>
        </w:rPr>
        <w:t>“Comparable Treasury Price” means, with respect to any Redemption Date, (A) the average of six Reference Treasury Dealer Quotations for such Redemption Date, after excluding the highest and lowest Reference Treasury Dealer Quotations; or (B) if the Independent Investment Banker obtains fewer than six such Reference Treasury Dealer Quotations, the average of all such quotations.</w:t>
      </w:r>
    </w:p>
    <w:p>
      <w:pPr>
        <w:spacing w:after="0" w:line="73" w:lineRule="exact"/>
        <w:rPr>
          <w:sz w:val="20"/>
          <w:szCs w:val="20"/>
          <w:color w:val="auto"/>
        </w:rPr>
      </w:pPr>
    </w:p>
    <w:p>
      <w:pPr>
        <w:jc w:val="both"/>
        <w:ind w:right="360" w:firstLine="438"/>
        <w:spacing w:after="0" w:line="286" w:lineRule="auto"/>
        <w:rPr>
          <w:sz w:val="20"/>
          <w:szCs w:val="20"/>
          <w:color w:val="auto"/>
        </w:rPr>
      </w:pPr>
      <w:r>
        <w:rPr>
          <w:rFonts w:ascii="Arial" w:cs="Arial" w:eastAsia="Arial" w:hAnsi="Arial"/>
          <w:sz w:val="17"/>
          <w:szCs w:val="17"/>
          <w:color w:val="auto"/>
        </w:rPr>
        <w:t>“Independent Investment Banker” means one of Barclays Capital Inc., J.P. Morgan Securities LLC or Merrill Lynch, Pierce, Fenner &amp; Smith Incorporated, as selected by the Company, and their respective successors, or if each of such firms is unwilling or unable to select the Comparable Treasury Issue, an independent investment banking institution of national standing appointed by the Company.</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“Moody’s” means Moody’s Investors Service, Inc., a subsidiary of Moody’s Corporation, and its successors.</w:t>
      </w:r>
    </w:p>
    <w:p>
      <w:pPr>
        <w:spacing w:after="0" w:line="117" w:lineRule="exact"/>
        <w:rPr>
          <w:sz w:val="20"/>
          <w:szCs w:val="20"/>
          <w:color w:val="auto"/>
        </w:rPr>
      </w:pPr>
    </w:p>
    <w:p>
      <w:pPr>
        <w:ind w:right="20" w:firstLine="438"/>
        <w:spacing w:after="0" w:line="279" w:lineRule="auto"/>
        <w:rPr>
          <w:sz w:val="20"/>
          <w:szCs w:val="20"/>
          <w:color w:val="auto"/>
        </w:rPr>
      </w:pPr>
      <w:r>
        <w:rPr>
          <w:rFonts w:ascii="Arial" w:cs="Arial" w:eastAsia="Arial" w:hAnsi="Arial"/>
          <w:sz w:val="17"/>
          <w:szCs w:val="17"/>
          <w:color w:val="auto"/>
        </w:rPr>
        <w:t>“Reference Treasury Dealer” means (1) each of Barclays Capital Inc., J.P. Morgan Securities LLC and Merrill Lynch, Pierce, Fenner &amp; Smith Incorporated and their respective successors, provided, however, that if any of the foregoing shall cease to be a primary U.S. Government securities dealer in New York City (a “Primary Treasury Dealer”), the Company will substitute for such firm another Primary Treasury Dealer, and (2) up to three additional Primary Treasury Dealers selected by the Independent Investment Banker after consultation with the Company.</w:t>
      </w:r>
    </w:p>
    <w:p>
      <w:pPr>
        <w:spacing w:after="0" w:line="63" w:lineRule="exact"/>
        <w:rPr>
          <w:sz w:val="20"/>
          <w:szCs w:val="20"/>
          <w:color w:val="auto"/>
        </w:rPr>
      </w:pPr>
    </w:p>
    <w:p>
      <w:pPr>
        <w:ind w:right="60" w:firstLine="438"/>
        <w:spacing w:after="0" w:line="277" w:lineRule="auto"/>
        <w:rPr>
          <w:sz w:val="20"/>
          <w:szCs w:val="20"/>
          <w:color w:val="auto"/>
        </w:rPr>
      </w:pPr>
      <w:r>
        <w:rPr>
          <w:rFonts w:ascii="Arial" w:cs="Arial" w:eastAsia="Arial" w:hAnsi="Arial"/>
          <w:sz w:val="18"/>
          <w:szCs w:val="18"/>
          <w:color w:val="auto"/>
        </w:rPr>
        <w:t>“Restricted Subsidiary” means any Subsidiary of the Company which, at the time of determination, owns or is a lessee pursuant to a capital lease of any Principal Property.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“S&amp;P” means Standard &amp; Poor’s Ratings Services, a division of The McGraw-Hill Companies, Inc., and its successors.</w:t>
      </w:r>
    </w:p>
    <w:p>
      <w:pPr>
        <w:spacing w:after="0" w:line="117" w:lineRule="exact"/>
        <w:rPr>
          <w:sz w:val="20"/>
          <w:szCs w:val="20"/>
          <w:color w:val="auto"/>
        </w:rPr>
      </w:pPr>
    </w:p>
    <w:p>
      <w:pPr>
        <w:ind w:right="280" w:firstLine="438"/>
        <w:spacing w:after="0" w:line="264" w:lineRule="auto"/>
        <w:rPr>
          <w:sz w:val="20"/>
          <w:szCs w:val="20"/>
          <w:color w:val="auto"/>
        </w:rPr>
      </w:pPr>
      <w:r>
        <w:rPr>
          <w:rFonts w:ascii="Arial" w:cs="Arial" w:eastAsia="Arial" w:hAnsi="Arial"/>
          <w:sz w:val="18"/>
          <w:szCs w:val="18"/>
          <w:color w:val="auto"/>
        </w:rPr>
        <w:t>“Treasury Rate” means, with respect to any Redemption Date, (1) the yield, under the heading that represents the average for the immediately preceding week, appearing in the most recently published statistical release designated “H.15 (519)” or any successor publication that is published weekly by the Board</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40"/>
          </w:cols>
          <w:pgMar w:left="700" w:top="274" w:right="259" w:bottom="1440" w:gutter="0" w:footer="0" w:header="0"/>
        </w:sectPr>
      </w:pPr>
    </w:p>
    <w:bookmarkStart w:id="7" w:name="page8"/>
    <w:bookmarkEnd w:id="7"/>
    <w:p>
      <w:pPr>
        <w:ind w:left="6"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Governors of the Federal Reserve System and that establishes yields on actively traded U.S. Treasury securities adjusted to constant maturity under the caption “Treasury Constant Maturities,” for the maturity corresponding to the Comparable Treasury Issue (if no maturity is within three months before or after the Par Call Date, yields for the two published maturities most closely corresponding to the Comparable Treasury Issue will be determined and the Treasury Rate will be interpolated or extrapolated from such yields on a straight line basis, rounding to the nearest month) or (2) 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 The Treasury Rate will be calculated on the third Business Day preceding the Redemption Date.</w:t>
      </w:r>
    </w:p>
    <w:p>
      <w:pPr>
        <w:spacing w:after="0" w:line="84" w:lineRule="exact"/>
        <w:rPr>
          <w:sz w:val="20"/>
          <w:szCs w:val="20"/>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amending Section 1.01 to add the following new definitions in correct alphabetical order:</w:t>
      </w:r>
    </w:p>
    <w:p>
      <w:pPr>
        <w:spacing w:after="0" w:line="117" w:lineRule="exact"/>
        <w:rPr>
          <w:rFonts w:ascii="Arial" w:cs="Arial" w:eastAsia="Arial" w:hAnsi="Arial"/>
          <w:sz w:val="18"/>
          <w:szCs w:val="18"/>
          <w:color w:val="auto"/>
        </w:rPr>
      </w:pPr>
    </w:p>
    <w:p>
      <w:pPr>
        <w:ind w:left="446"/>
        <w:spacing w:after="0"/>
        <w:rPr>
          <w:rFonts w:ascii="Arial" w:cs="Arial" w:eastAsia="Arial" w:hAnsi="Arial"/>
          <w:sz w:val="18"/>
          <w:szCs w:val="18"/>
          <w:color w:val="auto"/>
        </w:rPr>
      </w:pPr>
      <w:r>
        <w:rPr>
          <w:rFonts w:ascii="Arial" w:cs="Arial" w:eastAsia="Arial" w:hAnsi="Arial"/>
          <w:sz w:val="18"/>
          <w:szCs w:val="18"/>
          <w:color w:val="auto"/>
        </w:rPr>
        <w:t>“Change of Control” means the occurrence of any of the following after the date of issuance of the Notes:</w:t>
      </w:r>
    </w:p>
    <w:p>
      <w:pPr>
        <w:spacing w:after="0" w:line="117" w:lineRule="exact"/>
        <w:rPr>
          <w:rFonts w:ascii="Arial" w:cs="Arial" w:eastAsia="Arial" w:hAnsi="Arial"/>
          <w:sz w:val="18"/>
          <w:szCs w:val="18"/>
          <w:color w:val="auto"/>
        </w:rPr>
      </w:pPr>
    </w:p>
    <w:p>
      <w:pPr>
        <w:jc w:val="both"/>
        <w:ind w:left="466" w:right="80" w:firstLine="1"/>
        <w:spacing w:after="0" w:line="286" w:lineRule="auto"/>
        <w:tabs>
          <w:tab w:leader="none" w:pos="646"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direct or indirect sale, lease, transfer, conveyance or other disposition (other than by way of merger or consolidation), in one or a series of related transactions, of all or substantially all of the assets of the Company and its Subsidiaries taken as a whole to any “person” or “group” (as those terms are used in Section 13(d)(3) of the Exchange Act) other than to the Company or one of its Subsidiaries;</w:t>
      </w:r>
    </w:p>
    <w:p>
      <w:pPr>
        <w:spacing w:after="0" w:line="57" w:lineRule="exact"/>
        <w:rPr>
          <w:rFonts w:ascii="Arial" w:cs="Arial" w:eastAsia="Arial" w:hAnsi="Arial"/>
          <w:sz w:val="17"/>
          <w:szCs w:val="17"/>
          <w:color w:val="auto"/>
        </w:rPr>
      </w:pPr>
    </w:p>
    <w:p>
      <w:pPr>
        <w:ind w:left="466" w:right="140" w:firstLine="1"/>
        <w:spacing w:after="0" w:line="286" w:lineRule="auto"/>
        <w:tabs>
          <w:tab w:leader="none" w:pos="646"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consummation of any transaction (including, without limitation, any merger or consolidation) the result of which is that any “person” or “group” (as those terms are used in Section 13(d)(3) of the Exchange Act, it being agreed that an employee of the Company or any of its Subsidiaries for whom shares are held under an employee stock ownership, employee retirement, employee savings or similar plan and whose shares are voted in accordance with the instructions of such employee shall not be a member of a “group” (as that term is used in Section 13(d)</w:t>
      </w:r>
    </w:p>
    <w:p>
      <w:pPr>
        <w:spacing w:after="0" w:line="1" w:lineRule="exact"/>
        <w:rPr>
          <w:rFonts w:ascii="Arial" w:cs="Arial" w:eastAsia="Arial" w:hAnsi="Arial"/>
          <w:sz w:val="16"/>
          <w:szCs w:val="16"/>
          <w:color w:val="auto"/>
        </w:rPr>
      </w:pPr>
    </w:p>
    <w:p>
      <w:pPr>
        <w:ind w:left="466"/>
        <w:spacing w:after="0" w:line="255" w:lineRule="auto"/>
        <w:rPr>
          <w:rFonts w:ascii="Arial" w:cs="Arial" w:eastAsia="Arial" w:hAnsi="Arial"/>
          <w:sz w:val="16"/>
          <w:szCs w:val="16"/>
          <w:color w:val="auto"/>
        </w:rPr>
      </w:pPr>
      <w:r>
        <w:rPr>
          <w:rFonts w:ascii="Arial" w:cs="Arial" w:eastAsia="Arial" w:hAnsi="Arial"/>
          <w:sz w:val="18"/>
          <w:szCs w:val="18"/>
          <w:color w:val="auto"/>
        </w:rPr>
        <w:t>(3) of the Exchange Act) solely because such employee’s shares are held by a trustee under said plan) becomes the “beneficial owner” (as defined in Rules 13d-3 and 13d-5 under the Exchange Act), directly or indirectly, of the Company’s Voting Stock representing more than 50% of the voting power of its outstanding Voting Stock;</w:t>
      </w:r>
    </w:p>
    <w:p>
      <w:pPr>
        <w:spacing w:after="0" w:line="82" w:lineRule="exact"/>
        <w:rPr>
          <w:rFonts w:ascii="Arial" w:cs="Arial" w:eastAsia="Arial" w:hAnsi="Arial"/>
          <w:sz w:val="16"/>
          <w:szCs w:val="16"/>
          <w:color w:val="auto"/>
        </w:rPr>
      </w:pPr>
    </w:p>
    <w:p>
      <w:pPr>
        <w:ind w:left="466" w:right="80" w:firstLine="1"/>
        <w:spacing w:after="0" w:line="342" w:lineRule="auto"/>
        <w:tabs>
          <w:tab w:leader="none" w:pos="646"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Company consolidates with, or merges with or into, any Person, or any Person consolidates with, or merges with or into, the Company, in any such event pursuant to a transaction in which any of the Company’s outstanding Voting Stock or Voting Stock of such other Person is</w:t>
      </w:r>
    </w:p>
    <w:p>
      <w:pPr>
        <w:spacing w:after="0" w:line="56" w:lineRule="exact"/>
        <w:rPr>
          <w:rFonts w:ascii="Arial" w:cs="Arial" w:eastAsia="Arial" w:hAnsi="Arial"/>
          <w:sz w:val="16"/>
          <w:szCs w:val="16"/>
          <w:color w:val="auto"/>
        </w:rPr>
      </w:pPr>
    </w:p>
    <w:p>
      <w:pPr>
        <w:ind w:left="5206" w:hanging="96"/>
        <w:spacing w:after="0"/>
        <w:tabs>
          <w:tab w:leader="none" w:pos="5206" w:val="left"/>
        </w:tabs>
        <w:numPr>
          <w:ilvl w:val="2"/>
          <w:numId w:val="4"/>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06"/>
          </w:cols>
          <w:pgMar w:left="694" w:top="274" w:right="299" w:bottom="1440" w:gutter="0" w:footer="0" w:header="0"/>
        </w:sectPr>
      </w:pPr>
    </w:p>
    <w:bookmarkStart w:id="8" w:name="page9"/>
    <w:bookmarkEnd w:id="8"/>
    <w:p>
      <w:pPr>
        <w:ind w:left="4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converted into or exchanged for cash, securities or other property, other than any such transaction where the Company’s Voting Stock outstanding immediately prior to such transaction constitutes, or is converted into or exchanged for, Voting Stock representing more than 50% of the voting power of the Voting Stock of the surviving Person immediately after giving effect to such transaction;</w:t>
      </w:r>
    </w:p>
    <w:p>
      <w:pPr>
        <w:spacing w:after="0" w:line="57" w:lineRule="exact"/>
        <w:rPr>
          <w:sz w:val="20"/>
          <w:szCs w:val="20"/>
          <w:color w:val="auto"/>
        </w:rPr>
      </w:pPr>
    </w:p>
    <w:p>
      <w:pPr>
        <w:ind w:left="460" w:right="160" w:firstLine="1"/>
        <w:spacing w:after="0" w:line="276"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any period of 24 consecutive calendar months, the majority of the members of the Company’s Board of Directors shall no longer be composed of individuals (a) who were members of the Company’s Board of Directors on the first day of such period or (b) whose election or nomination to the Company’s Board of Directors was approved by individuals referred to in clause (a) above constituting, at the time of such election or nomination, at least a majority of the Company’s Board of Directors or, if directors are nominated by a committee of the Company’s Board of Directors, constituting at the time of such nomination, at least a majority of such committee; or</w:t>
      </w:r>
    </w:p>
    <w:p>
      <w:pPr>
        <w:spacing w:after="0" w:line="64" w:lineRule="exact"/>
        <w:rPr>
          <w:rFonts w:ascii="Arial" w:cs="Arial" w:eastAsia="Arial" w:hAnsi="Arial"/>
          <w:sz w:val="17"/>
          <w:szCs w:val="17"/>
          <w:color w:val="auto"/>
        </w:rPr>
      </w:pPr>
    </w:p>
    <w:p>
      <w:pPr>
        <w:ind w:left="640" w:hanging="17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117" w:lineRule="exact"/>
        <w:rPr>
          <w:sz w:val="20"/>
          <w:szCs w:val="20"/>
          <w:color w:val="auto"/>
        </w:rPr>
      </w:pPr>
    </w:p>
    <w:p>
      <w:pPr>
        <w:ind w:firstLine="438"/>
        <w:spacing w:after="0" w:line="254" w:lineRule="auto"/>
        <w:rPr>
          <w:sz w:val="20"/>
          <w:szCs w:val="20"/>
          <w:color w:val="auto"/>
        </w:rPr>
      </w:pPr>
      <w:r>
        <w:rPr>
          <w:rFonts w:ascii="Arial" w:cs="Arial" w:eastAsia="Arial" w:hAnsi="Arial"/>
          <w:sz w:val="18"/>
          <w:szCs w:val="18"/>
          <w:color w:val="auto"/>
        </w:rPr>
        <w:t>“Change of Control Triggering Event” means, with respect to the Notes, the Notes cease to be rated Investment Grade by each of the Rating Agencies on any date during the period (the “Trigger Period”) commencing 60 days prior to the first public announcement by the Company of any Change of Control (or pending Change of Control) and ending 60 days following consummation of such Change of Control (which Trigger Period will be extended following consummation of a Change of Control for so long as any of the Rating Agencies has publicly announced that it is considering a possible ratings change). If a Rating Agency is not providing a rating for the Notes at the commencement of any Trigger Period, the Notes will be deemed to have ceased to be rated Investment Grade by such Rating Agency during that Trigger Period. Notwithstanding the foregoing, no Change of Control Triggering Event will be deemed to have occurred in connection with any particular Change of Control unless and until such Change of Control has actually been consummated.</w:t>
      </w:r>
    </w:p>
    <w:p>
      <w:pPr>
        <w:spacing w:after="0" w:line="84" w:lineRule="exact"/>
        <w:rPr>
          <w:sz w:val="20"/>
          <w:szCs w:val="20"/>
          <w:color w:val="auto"/>
        </w:rPr>
      </w:pPr>
    </w:p>
    <w:p>
      <w:pPr>
        <w:ind w:right="40" w:firstLine="438"/>
        <w:spacing w:after="0" w:line="279" w:lineRule="auto"/>
        <w:rPr>
          <w:sz w:val="20"/>
          <w:szCs w:val="20"/>
          <w:color w:val="auto"/>
        </w:rPr>
      </w:pPr>
      <w:r>
        <w:rPr>
          <w:rFonts w:ascii="Arial" w:cs="Arial" w:eastAsia="Arial" w:hAnsi="Arial"/>
          <w:sz w:val="17"/>
          <w:szCs w:val="17"/>
          <w:color w:val="auto"/>
        </w:rPr>
        <w:t>“Investment Grade” means a rating of Baa3 or better by Moody’s (or its equivalent under any successor rating category of Moody’s) and a rating of BBB- or better by S&amp;P (or its equivalent under any successor rating category of S&amp;P), and the equivalent investment grade credit rating from any replacement rating agency or rating agencies selected by the Company under the circumstances permitting the Company to select a replacement agency and in the manner for selecting a replacement agency, in each case as set forth in the definition of “Rating Agency.”</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“Notes” has the meaning set forth in the Recitals.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60"/>
          </w:cols>
          <w:pgMar w:left="700" w:top="274" w:right="239" w:bottom="1440" w:gutter="0" w:footer="0" w:header="0"/>
        </w:sectPr>
      </w:pPr>
    </w:p>
    <w:bookmarkStart w:id="9" w:name="page10"/>
    <w:bookmarkEnd w:id="9"/>
    <w:p>
      <w:pPr>
        <w:ind w:left="44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 Call Date” has the meaning set forth in Section 11.01.</w:t>
      </w:r>
    </w:p>
    <w:p>
      <w:pPr>
        <w:spacing w:after="0" w:line="117" w:lineRule="exact"/>
        <w:rPr>
          <w:sz w:val="20"/>
          <w:szCs w:val="20"/>
          <w:color w:val="auto"/>
        </w:rPr>
      </w:pPr>
    </w:p>
    <w:p>
      <w:pPr>
        <w:jc w:val="both"/>
        <w:ind w:left="6" w:right="120" w:firstLine="438"/>
        <w:spacing w:after="0" w:line="259" w:lineRule="auto"/>
        <w:rPr>
          <w:sz w:val="20"/>
          <w:szCs w:val="20"/>
          <w:color w:val="auto"/>
        </w:rPr>
      </w:pPr>
      <w:r>
        <w:rPr>
          <w:rFonts w:ascii="Arial" w:cs="Arial" w:eastAsia="Arial" w:hAnsi="Arial"/>
          <w:sz w:val="18"/>
          <w:szCs w:val="18"/>
          <w:color w:val="auto"/>
        </w:rPr>
        <w:t>“Rating Agency” means each of Moody’s and S&amp;P; provided, that if either of Moody’s or S&amp;P ceases to rate the Notes or fails to make a rating of the Notes publicly available for reasons outside the Company’s control, the Company may appoint another “nationally recognized statistical rating organization” within the meaning of Section 3(a)(62) of the Exchange Act as a replacement for such Rating Agency; provided, that the Company shall give notice of such appointment to the Trustee.</w:t>
      </w:r>
    </w:p>
    <w:p>
      <w:pPr>
        <w:spacing w:after="0" w:line="79" w:lineRule="exact"/>
        <w:rPr>
          <w:sz w:val="20"/>
          <w:szCs w:val="20"/>
          <w:color w:val="auto"/>
        </w:rPr>
      </w:pPr>
    </w:p>
    <w:p>
      <w:pPr>
        <w:ind w:left="6" w:right="260" w:firstLine="438"/>
        <w:spacing w:after="0" w:line="277" w:lineRule="auto"/>
        <w:rPr>
          <w:sz w:val="20"/>
          <w:szCs w:val="20"/>
          <w:color w:val="auto"/>
        </w:rPr>
      </w:pPr>
      <w:r>
        <w:rPr>
          <w:rFonts w:ascii="Arial" w:cs="Arial" w:eastAsia="Arial" w:hAnsi="Arial"/>
          <w:sz w:val="18"/>
          <w:szCs w:val="18"/>
          <w:color w:val="auto"/>
        </w:rPr>
        <w:t>“Voting Stock” of any specified Person as of any date means the capital stock of such Person that is at the time entitled to vote generally in the election of the board of directors of such Person.</w:t>
      </w:r>
    </w:p>
    <w:p>
      <w:pPr>
        <w:spacing w:after="0" w:line="76" w:lineRule="exact"/>
        <w:rPr>
          <w:sz w:val="20"/>
          <w:szCs w:val="20"/>
          <w:color w:val="auto"/>
        </w:rPr>
      </w:pPr>
    </w:p>
    <w:p>
      <w:pPr>
        <w:ind w:left="446" w:hanging="446"/>
        <w:spacing w:after="0"/>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amending Section 4.01 by adding the following sentence at the end of thereof:</w:t>
      </w:r>
    </w:p>
    <w:p>
      <w:pPr>
        <w:spacing w:after="0" w:line="117" w:lineRule="exact"/>
        <w:rPr>
          <w:rFonts w:ascii="Arial" w:cs="Arial" w:eastAsia="Arial" w:hAnsi="Arial"/>
          <w:sz w:val="18"/>
          <w:szCs w:val="18"/>
          <w:color w:val="auto"/>
        </w:rPr>
      </w:pPr>
    </w:p>
    <w:p>
      <w:pPr>
        <w:ind w:left="446"/>
        <w:spacing w:after="0"/>
        <w:rPr>
          <w:rFonts w:ascii="Arial" w:cs="Arial" w:eastAsia="Arial" w:hAnsi="Arial"/>
          <w:sz w:val="18"/>
          <w:szCs w:val="18"/>
          <w:color w:val="auto"/>
        </w:rPr>
      </w:pPr>
      <w:r>
        <w:rPr>
          <w:rFonts w:ascii="Arial" w:cs="Arial" w:eastAsia="Arial" w:hAnsi="Arial"/>
          <w:sz w:val="18"/>
          <w:szCs w:val="18"/>
          <w:color w:val="auto"/>
        </w:rPr>
        <w:t>“Both Section 4.02 (defeasance and discharge) and Section 4.03 (covenant defeasance) shall apply to the Notes.”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replacing Section 4.03 in its entirety with the following:</w:t>
      </w:r>
    </w:p>
    <w:p>
      <w:pPr>
        <w:spacing w:after="0" w:line="117" w:lineRule="exact"/>
        <w:rPr>
          <w:sz w:val="20"/>
          <w:szCs w:val="20"/>
          <w:color w:val="auto"/>
        </w:rPr>
      </w:pPr>
    </w:p>
    <w:p>
      <w:pPr>
        <w:ind w:left="466" w:firstLine="420"/>
        <w:spacing w:after="0" w:line="287" w:lineRule="auto"/>
        <w:rPr>
          <w:sz w:val="20"/>
          <w:szCs w:val="20"/>
          <w:color w:val="auto"/>
        </w:rPr>
      </w:pPr>
      <w:r>
        <w:rPr>
          <w:rFonts w:ascii="Arial" w:cs="Arial" w:eastAsia="Arial" w:hAnsi="Arial"/>
          <w:sz w:val="16"/>
          <w:szCs w:val="16"/>
          <w:color w:val="auto"/>
        </w:rPr>
        <w:t>“Upon the Company’s exercise of the option applicable to this Section 4.03 with respect to the Notes, the Company shall be released from its obligations under any covenant or provision contained or referred to in Sections 10.05, 10.06, 10.07 and 14.01, with respect to the Defeased Securities, on and after the date the conditions set forth in Section 4.04 below are satisfied (hereinafter, “covenant defeasance”), and the Defeased Securities shall thereafter be deemed to be not “Outstanding” for the purposes of any direction, waiver, consent or declaration or Act of Holders (and the consequences of any thereof) in connection with such covenants, but shall continue to be deemed “Outstanding” for all other purposes hereunder, and the Events of Default under Section 5.01(c), (d) and (e) shall cease to be in full force and effect with respect to the Notes. For this purpose, such covenant defeasance means that, with respect to the Defeased Securities, the Company may omit to comply with and shall have no liability in respect of any term, condition or limitation set forth in any such Section, whether directly or indirectly, by reason of any reference elsewhere herein to any such Section or by reason of reference in any such Section to any other provision herein or in any other document and such omission to comply shall not constitute a Default or an Event of Default under Section 5.01(c), (d) and (e) but, except as specified above, the remainder of this Indenture and such Defeased Securities shall be unaffected thereby.”</w:t>
      </w:r>
    </w:p>
    <w:p>
      <w:pPr>
        <w:spacing w:after="0" w:line="10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966"/>
          </w:cols>
          <w:pgMar w:left="694" w:top="274" w:right="239" w:bottom="1440" w:gutter="0" w:footer="0" w:header="0"/>
        </w:sectPr>
      </w:pPr>
    </w:p>
    <w:bookmarkStart w:id="10" w:name="page11"/>
    <w:bookmarkEnd w:id="10"/>
    <w:p>
      <w:pPr>
        <w:ind w:left="446" w:hanging="446"/>
        <w:spacing w:after="0"/>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amending Section 9.01 by:</w:t>
      </w:r>
    </w:p>
    <w:p>
      <w:pPr>
        <w:spacing w:after="0" w:line="130" w:lineRule="exact"/>
        <w:rPr>
          <w:rFonts w:ascii="Arial" w:cs="Arial" w:eastAsia="Arial" w:hAnsi="Arial"/>
          <w:sz w:val="18"/>
          <w:szCs w:val="18"/>
          <w:color w:val="auto"/>
        </w:rPr>
      </w:pPr>
    </w:p>
    <w:p>
      <w:pPr>
        <w:ind w:left="1026" w:hanging="567"/>
        <w:spacing w:after="0"/>
        <w:tabs>
          <w:tab w:leader="none" w:pos="1026" w:val="left"/>
        </w:tabs>
        <w:numPr>
          <w:ilvl w:val="1"/>
          <w:numId w:val="7"/>
        </w:numPr>
        <w:rPr>
          <w:rFonts w:ascii="Arial" w:cs="Arial" w:eastAsia="Arial" w:hAnsi="Arial"/>
          <w:sz w:val="18"/>
          <w:szCs w:val="18"/>
          <w:color w:val="auto"/>
        </w:rPr>
      </w:pPr>
      <w:r>
        <w:rPr>
          <w:rFonts w:ascii="Arial" w:cs="Arial" w:eastAsia="Arial" w:hAnsi="Arial"/>
          <w:sz w:val="18"/>
          <w:szCs w:val="18"/>
          <w:color w:val="auto"/>
        </w:rPr>
        <w:t>deleting the period at the end of clause (m) and inserting the following: “; and”; and</w:t>
      </w:r>
    </w:p>
    <w:p>
      <w:pPr>
        <w:spacing w:after="0" w:line="130" w:lineRule="exact"/>
        <w:rPr>
          <w:rFonts w:ascii="Arial" w:cs="Arial" w:eastAsia="Arial" w:hAnsi="Arial"/>
          <w:sz w:val="18"/>
          <w:szCs w:val="18"/>
          <w:color w:val="auto"/>
        </w:rPr>
      </w:pPr>
    </w:p>
    <w:p>
      <w:pPr>
        <w:ind w:left="1026" w:hanging="567"/>
        <w:spacing w:after="0"/>
        <w:tabs>
          <w:tab w:leader="none" w:pos="1026" w:val="left"/>
        </w:tabs>
        <w:numPr>
          <w:ilvl w:val="1"/>
          <w:numId w:val="7"/>
        </w:numPr>
        <w:rPr>
          <w:rFonts w:ascii="Arial" w:cs="Arial" w:eastAsia="Arial" w:hAnsi="Arial"/>
          <w:sz w:val="18"/>
          <w:szCs w:val="18"/>
          <w:color w:val="auto"/>
        </w:rPr>
      </w:pPr>
      <w:r>
        <w:rPr>
          <w:rFonts w:ascii="Arial" w:cs="Arial" w:eastAsia="Arial" w:hAnsi="Arial"/>
          <w:sz w:val="18"/>
          <w:szCs w:val="18"/>
          <w:color w:val="auto"/>
        </w:rPr>
        <w:t>inserting the following clause after clause (m):</w:t>
      </w:r>
    </w:p>
    <w:p>
      <w:pPr>
        <w:spacing w:after="0" w:line="11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8"/>
          <w:szCs w:val="18"/>
          <w:color w:val="auto"/>
        </w:rPr>
        <w:t>“(n) to add additional Securities of the same class and series in one or more tranches from time to time.”</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amending Section 9.02 by:</w:t>
      </w:r>
    </w:p>
    <w:p>
      <w:pPr>
        <w:spacing w:after="0" w:line="130" w:lineRule="exact"/>
        <w:rPr>
          <w:rFonts w:ascii="Arial" w:cs="Arial" w:eastAsia="Arial" w:hAnsi="Arial"/>
          <w:sz w:val="18"/>
          <w:szCs w:val="18"/>
          <w:color w:val="auto"/>
        </w:rPr>
      </w:pPr>
    </w:p>
    <w:p>
      <w:pPr>
        <w:ind w:left="1026" w:hanging="567"/>
        <w:spacing w:after="0"/>
        <w:tabs>
          <w:tab w:leader="none" w:pos="1026" w:val="left"/>
        </w:tabs>
        <w:numPr>
          <w:ilvl w:val="1"/>
          <w:numId w:val="7"/>
        </w:numPr>
        <w:rPr>
          <w:rFonts w:ascii="Arial" w:cs="Arial" w:eastAsia="Arial" w:hAnsi="Arial"/>
          <w:sz w:val="18"/>
          <w:szCs w:val="18"/>
          <w:color w:val="auto"/>
        </w:rPr>
      </w:pPr>
      <w:r>
        <w:rPr>
          <w:rFonts w:ascii="Arial" w:cs="Arial" w:eastAsia="Arial" w:hAnsi="Arial"/>
          <w:sz w:val="18"/>
          <w:szCs w:val="18"/>
          <w:color w:val="auto"/>
        </w:rPr>
        <w:t>deleting the word “or” at the end of clause (j);</w:t>
      </w:r>
    </w:p>
    <w:p>
      <w:pPr>
        <w:spacing w:after="0" w:line="130" w:lineRule="exact"/>
        <w:rPr>
          <w:rFonts w:ascii="Arial" w:cs="Arial" w:eastAsia="Arial" w:hAnsi="Arial"/>
          <w:sz w:val="18"/>
          <w:szCs w:val="18"/>
          <w:color w:val="auto"/>
        </w:rPr>
      </w:pPr>
    </w:p>
    <w:p>
      <w:pPr>
        <w:ind w:left="1026" w:hanging="567"/>
        <w:spacing w:after="0"/>
        <w:tabs>
          <w:tab w:leader="none" w:pos="1026" w:val="left"/>
        </w:tabs>
        <w:numPr>
          <w:ilvl w:val="1"/>
          <w:numId w:val="7"/>
        </w:numPr>
        <w:rPr>
          <w:rFonts w:ascii="Arial" w:cs="Arial" w:eastAsia="Arial" w:hAnsi="Arial"/>
          <w:sz w:val="18"/>
          <w:szCs w:val="18"/>
          <w:color w:val="auto"/>
        </w:rPr>
      </w:pPr>
      <w:r>
        <w:rPr>
          <w:rFonts w:ascii="Arial" w:cs="Arial" w:eastAsia="Arial" w:hAnsi="Arial"/>
          <w:sz w:val="18"/>
          <w:szCs w:val="18"/>
          <w:color w:val="auto"/>
        </w:rPr>
        <w:t>deleting the period at the end of clause (k) and inserting the following: “; or”; and</w:t>
      </w:r>
    </w:p>
    <w:p>
      <w:pPr>
        <w:spacing w:after="0" w:line="130" w:lineRule="exact"/>
        <w:rPr>
          <w:rFonts w:ascii="Arial" w:cs="Arial" w:eastAsia="Arial" w:hAnsi="Arial"/>
          <w:sz w:val="18"/>
          <w:szCs w:val="18"/>
          <w:color w:val="auto"/>
        </w:rPr>
      </w:pPr>
    </w:p>
    <w:p>
      <w:pPr>
        <w:ind w:left="1026" w:hanging="567"/>
        <w:spacing w:after="0"/>
        <w:tabs>
          <w:tab w:leader="none" w:pos="1026" w:val="left"/>
        </w:tabs>
        <w:numPr>
          <w:ilvl w:val="1"/>
          <w:numId w:val="7"/>
        </w:numPr>
        <w:rPr>
          <w:rFonts w:ascii="Arial" w:cs="Arial" w:eastAsia="Arial" w:hAnsi="Arial"/>
          <w:sz w:val="18"/>
          <w:szCs w:val="18"/>
          <w:color w:val="auto"/>
        </w:rPr>
      </w:pPr>
      <w:r>
        <w:rPr>
          <w:rFonts w:ascii="Arial" w:cs="Arial" w:eastAsia="Arial" w:hAnsi="Arial"/>
          <w:sz w:val="18"/>
          <w:szCs w:val="18"/>
          <w:color w:val="auto"/>
        </w:rPr>
        <w:t>inserting the following clause after clause (k):</w:t>
      </w:r>
    </w:p>
    <w:p>
      <w:pPr>
        <w:spacing w:after="0" w:line="117" w:lineRule="exact"/>
        <w:rPr>
          <w:rFonts w:ascii="Arial" w:cs="Arial" w:eastAsia="Arial" w:hAnsi="Arial"/>
          <w:sz w:val="18"/>
          <w:szCs w:val="18"/>
          <w:color w:val="auto"/>
        </w:rPr>
      </w:pPr>
    </w:p>
    <w:p>
      <w:pPr>
        <w:ind w:left="1046" w:right="60"/>
        <w:spacing w:after="0" w:line="264" w:lineRule="auto"/>
        <w:rPr>
          <w:rFonts w:ascii="Arial" w:cs="Arial" w:eastAsia="Arial" w:hAnsi="Arial"/>
          <w:sz w:val="18"/>
          <w:szCs w:val="18"/>
          <w:color w:val="auto"/>
        </w:rPr>
      </w:pPr>
      <w:r>
        <w:rPr>
          <w:rFonts w:ascii="Arial" w:cs="Arial" w:eastAsia="Arial" w:hAnsi="Arial"/>
          <w:sz w:val="18"/>
          <w:szCs w:val="18"/>
          <w:color w:val="auto"/>
        </w:rPr>
        <w:t>“(l) amend, change or modify the Company’s obligation to make and consummate a Change of Control Offer in the event of a Change of Control Triggering Event in accordance with Section 14.01 after such Change of Control Triggering Event has occurred, including amending, changing or modifying any definition related thereto.”</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inserting after the first sentence in Section 3.01 the following:</w:t>
      </w:r>
    </w:p>
    <w:p>
      <w:pPr>
        <w:spacing w:after="0" w:line="117" w:lineRule="exact"/>
        <w:rPr>
          <w:sz w:val="20"/>
          <w:szCs w:val="20"/>
          <w:color w:val="auto"/>
        </w:rPr>
      </w:pPr>
    </w:p>
    <w:p>
      <w:pPr>
        <w:ind w:left="466"/>
        <w:spacing w:after="0" w:line="257" w:lineRule="auto"/>
        <w:rPr>
          <w:sz w:val="20"/>
          <w:szCs w:val="20"/>
          <w:color w:val="auto"/>
        </w:rPr>
      </w:pPr>
      <w:r>
        <w:rPr>
          <w:rFonts w:ascii="Arial" w:cs="Arial" w:eastAsia="Arial" w:hAnsi="Arial"/>
          <w:sz w:val="18"/>
          <w:szCs w:val="18"/>
          <w:color w:val="auto"/>
        </w:rPr>
        <w:t>“The aggregate principal amount of Notes which may be issued under this Indenture shall be unlimited and the Company may issue additional notes of the same class and series as the Notes (the “Additional Notes”) in one or more tranches from time to time, without notice to or the consent of existing Holders of the Securities of any series, including the Notes. The Additional Notes shall have the same terms as all other Notes and all references in the Indenture shall be deemed to also refer to the Additional Notes. The Additional Notes shall vote as a class with all other Notes as to matters as to which such Notes have a vote.”</w:t>
      </w:r>
    </w:p>
    <w:p>
      <w:pPr>
        <w:spacing w:after="0" w:line="94" w:lineRule="exact"/>
        <w:rPr>
          <w:sz w:val="20"/>
          <w:szCs w:val="20"/>
          <w:color w:val="auto"/>
        </w:rPr>
      </w:pPr>
    </w:p>
    <w:p>
      <w:pPr>
        <w:ind w:left="446" w:hanging="446"/>
        <w:spacing w:after="0"/>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replacing Section 11.01 in its entirety with the following:</w:t>
      </w:r>
    </w:p>
    <w:p>
      <w:pPr>
        <w:sectPr>
          <w:pgSz w:w="11900" w:h="16838" w:orient="portrait"/>
          <w:cols w:equalWidth="0" w:num="1">
            <w:col w:w="10946"/>
          </w:cols>
          <w:pgMar w:left="694" w:top="274" w:right="259" w:bottom="1440" w:gutter="0" w:footer="0" w:header="0"/>
        </w:sectPr>
      </w:pPr>
    </w:p>
    <w:p>
      <w:pPr>
        <w:spacing w:after="0" w:line="131"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Prior to April 1, 2026 (three months prior to the Stated Maturity of the Notes) (the “Par Call Date”), the Notes will be redeemable, in whole or in part, at the option of the Company, at any time or from time to time, at a redemption price equal to the greater of:</w:t>
      </w:r>
    </w:p>
    <w:p>
      <w:pPr>
        <w:spacing w:after="0" w:line="29" w:lineRule="exact"/>
        <w:rPr>
          <w:sz w:val="20"/>
          <w:szCs w:val="20"/>
          <w:color w:val="auto"/>
        </w:rPr>
      </w:pPr>
    </w:p>
    <w:p>
      <w:pPr>
        <w:sectPr>
          <w:pgSz w:w="11900" w:h="16838" w:orient="portrait"/>
          <w:cols w:equalWidth="0" w:num="2">
            <w:col w:w="746" w:space="280"/>
            <w:col w:w="9920"/>
          </w:cols>
          <w:pgMar w:left="694" w:top="274" w:right="259" w:bottom="1440" w:gutter="0" w:footer="0" w:header="0"/>
          <w:type w:val="continuous"/>
        </w:sectPr>
      </w:pPr>
    </w:p>
    <w:p>
      <w:pPr>
        <w:ind w:left="1026" w:hanging="567"/>
        <w:spacing w:after="0"/>
        <w:tabs>
          <w:tab w:leader="none" w:pos="1026" w:val="left"/>
        </w:tabs>
        <w:numPr>
          <w:ilvl w:val="0"/>
          <w:numId w:val="9"/>
        </w:numPr>
        <w:rPr>
          <w:rFonts w:ascii="Arial" w:cs="Arial" w:eastAsia="Arial" w:hAnsi="Arial"/>
          <w:sz w:val="16"/>
          <w:szCs w:val="16"/>
          <w:color w:val="auto"/>
        </w:rPr>
      </w:pPr>
      <w:r>
        <w:rPr>
          <w:rFonts w:ascii="Arial" w:cs="Arial" w:eastAsia="Arial" w:hAnsi="Arial"/>
          <w:sz w:val="16"/>
          <w:szCs w:val="16"/>
          <w:color w:val="auto"/>
        </w:rPr>
        <w:t>100% of the principal amount of the Notes to be redeemed, and</w:t>
      </w:r>
    </w:p>
    <w:p>
      <w:pPr>
        <w:spacing w:after="0" w:line="180" w:lineRule="exact"/>
        <w:rPr>
          <w:rFonts w:ascii="Arial" w:cs="Arial" w:eastAsia="Arial" w:hAnsi="Arial"/>
          <w:sz w:val="16"/>
          <w:szCs w:val="16"/>
          <w:color w:val="auto"/>
        </w:rPr>
      </w:pPr>
    </w:p>
    <w:p>
      <w:pPr>
        <w:ind w:left="5206" w:hanging="96"/>
        <w:spacing w:after="0"/>
        <w:tabs>
          <w:tab w:leader="none" w:pos="5206" w:val="left"/>
        </w:tabs>
        <w:numPr>
          <w:ilvl w:val="1"/>
          <w:numId w:val="9"/>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46"/>
          </w:cols>
          <w:pgMar w:left="694" w:top="274" w:right="259" w:bottom="1440" w:gutter="0" w:footer="0" w:header="0"/>
          <w:type w:val="continuous"/>
        </w:sectPr>
      </w:pPr>
    </w:p>
    <w:bookmarkStart w:id="11" w:name="page12"/>
    <w:bookmarkEnd w:id="11"/>
    <w:p>
      <w:pPr>
        <w:ind w:left="1026" w:right="120" w:hanging="567"/>
        <w:spacing w:after="0" w:line="264" w:lineRule="auto"/>
        <w:tabs>
          <w:tab w:leader="none" w:pos="1026"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sum of the present values of the remaining scheduled payments of principal and interest on the Notes to be redeemed (assuming that such Notes matured on the Par Call Date) discounted to the date of redemption on a semi-annual basis (assuming a 360-day year consisting of twelve 30-day months) at the applicable Treasury Rate, plus 20 basis points.</w:t>
      </w:r>
    </w:p>
    <w:p>
      <w:pPr>
        <w:spacing w:after="0" w:line="73" w:lineRule="exact"/>
        <w:rPr>
          <w:sz w:val="20"/>
          <w:szCs w:val="20"/>
          <w:color w:val="auto"/>
        </w:rPr>
      </w:pPr>
    </w:p>
    <w:p>
      <w:pPr>
        <w:ind w:left="466"/>
        <w:spacing w:after="0"/>
        <w:rPr>
          <w:sz w:val="20"/>
          <w:szCs w:val="20"/>
          <w:color w:val="auto"/>
        </w:rPr>
      </w:pPr>
      <w:r>
        <w:rPr>
          <w:rFonts w:ascii="Arial" w:cs="Arial" w:eastAsia="Arial" w:hAnsi="Arial"/>
          <w:sz w:val="18"/>
          <w:szCs w:val="18"/>
          <w:color w:val="auto"/>
        </w:rPr>
        <w:t>In the case of each of clauses (1) and (2), accrued and unpaid interest will be payable to, but excluding, the redemption date.</w:t>
      </w:r>
    </w:p>
    <w:p>
      <w:pPr>
        <w:spacing w:after="0" w:line="131" w:lineRule="exact"/>
        <w:rPr>
          <w:sz w:val="20"/>
          <w:szCs w:val="20"/>
          <w:color w:val="auto"/>
        </w:rPr>
      </w:pPr>
    </w:p>
    <w:p>
      <w:pPr>
        <w:ind w:left="1026" w:hanging="567"/>
        <w:spacing w:after="0" w:line="264" w:lineRule="auto"/>
        <w:tabs>
          <w:tab w:leader="none" w:pos="1026" w:val="left"/>
        </w:tabs>
        <w:numPr>
          <w:ilvl w:val="1"/>
          <w:numId w:val="11"/>
        </w:numPr>
        <w:rPr>
          <w:rFonts w:ascii="Arial" w:cs="Arial" w:eastAsia="Arial" w:hAnsi="Arial"/>
          <w:sz w:val="18"/>
          <w:szCs w:val="18"/>
          <w:color w:val="auto"/>
        </w:rPr>
      </w:pPr>
      <w:r>
        <w:rPr>
          <w:rFonts w:ascii="Arial" w:cs="Arial" w:eastAsia="Arial" w:hAnsi="Arial"/>
          <w:sz w:val="18"/>
          <w:szCs w:val="18"/>
          <w:color w:val="auto"/>
        </w:rPr>
        <w:t>On or after the Par Call Date, the Notes will be redeemable, in whole or in part, at the option of the Company, at any time or from time to time, at a redemption price equal to 100% of the principal amount of the Notes to be redeemed plus accrued and unpaid interest thereon to the redemption date.”</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replacing the first sentence in Section 11.06 with the following:</w:t>
      </w:r>
    </w:p>
    <w:p>
      <w:pPr>
        <w:spacing w:after="0" w:line="117" w:lineRule="exact"/>
        <w:rPr>
          <w:sz w:val="20"/>
          <w:szCs w:val="20"/>
          <w:color w:val="auto"/>
        </w:rPr>
      </w:pPr>
    </w:p>
    <w:p>
      <w:pPr>
        <w:ind w:left="466" w:right="220"/>
        <w:spacing w:after="0" w:line="302" w:lineRule="auto"/>
        <w:rPr>
          <w:sz w:val="20"/>
          <w:szCs w:val="20"/>
          <w:color w:val="auto"/>
        </w:rPr>
      </w:pPr>
      <w:r>
        <w:rPr>
          <w:rFonts w:ascii="Arial" w:cs="Arial" w:eastAsia="Arial" w:hAnsi="Arial"/>
          <w:sz w:val="16"/>
          <w:szCs w:val="16"/>
          <w:color w:val="auto"/>
        </w:rPr>
        <w:t>“On or prior to 10:00 a.m., New York City time, on any Redemption Date, the Company shall deposit with the Trustee or with a Paying Agent (or, if the Company or any of its Affiliates is acting as Paying Agent, segregate and hold in trust as provided in Section 10.03) an amount of money in same day funds sufficient to pay the Redemption Price of, and (except if the Redemption Date shall be an Interest Payment Date or Special Payment Date) accrued and unpaid interest on, all the applicable series of Securities or portions thereof which are to be redeemed.”</w:t>
      </w:r>
    </w:p>
    <w:p>
      <w:pPr>
        <w:spacing w:after="0" w:line="60" w:lineRule="exact"/>
        <w:rPr>
          <w:sz w:val="20"/>
          <w:szCs w:val="20"/>
          <w:color w:val="auto"/>
        </w:rPr>
      </w:pPr>
    </w:p>
    <w:p>
      <w:pPr>
        <w:ind w:left="446" w:hanging="446"/>
        <w:spacing w:after="0"/>
        <w:tabs>
          <w:tab w:leader="none" w:pos="4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adding as a new “Article XIV” thereto the following:</w:t>
      </w:r>
    </w:p>
    <w:p>
      <w:pPr>
        <w:spacing w:after="0" w:line="200" w:lineRule="exact"/>
        <w:rPr>
          <w:sz w:val="20"/>
          <w:szCs w:val="20"/>
          <w:color w:val="auto"/>
        </w:rPr>
      </w:pPr>
    </w:p>
    <w:p>
      <w:pPr>
        <w:spacing w:after="0" w:line="241"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“Article XIV</w:t>
      </w:r>
    </w:p>
    <w:p>
      <w:pPr>
        <w:spacing w:after="0" w:line="225" w:lineRule="exact"/>
        <w:rPr>
          <w:sz w:val="20"/>
          <w:szCs w:val="20"/>
          <w:color w:val="auto"/>
        </w:rPr>
      </w:pPr>
    </w:p>
    <w:p>
      <w:pPr>
        <w:ind w:left="3486"/>
        <w:spacing w:after="0"/>
        <w:rPr>
          <w:sz w:val="20"/>
          <w:szCs w:val="20"/>
          <w:color w:val="auto"/>
        </w:rPr>
      </w:pPr>
      <w:r>
        <w:rPr>
          <w:rFonts w:ascii="Arial" w:cs="Arial" w:eastAsia="Arial" w:hAnsi="Arial"/>
          <w:sz w:val="18"/>
          <w:szCs w:val="18"/>
          <w:color w:val="auto"/>
        </w:rPr>
        <w:t>Repurchase of Notes at the Option of the Holders</w:t>
      </w:r>
    </w:p>
    <w:p>
      <w:pPr>
        <w:spacing w:after="0" w:line="117" w:lineRule="exact"/>
        <w:rPr>
          <w:sz w:val="20"/>
          <w:szCs w:val="20"/>
          <w:color w:val="auto"/>
        </w:rPr>
      </w:pPr>
    </w:p>
    <w:p>
      <w:pPr>
        <w:ind w:left="466"/>
        <w:spacing w:after="0"/>
        <w:rPr>
          <w:sz w:val="20"/>
          <w:szCs w:val="20"/>
          <w:color w:val="auto"/>
        </w:rPr>
      </w:pPr>
      <w:r>
        <w:rPr>
          <w:rFonts w:ascii="Arial" w:cs="Arial" w:eastAsia="Arial" w:hAnsi="Arial"/>
          <w:sz w:val="18"/>
          <w:szCs w:val="18"/>
          <w:color w:val="auto"/>
        </w:rPr>
        <w:t>Section 14.01. REPURCHASE AT OPTION OF HOLDERS UPON A CHANGE OF CONTROL</w:t>
      </w:r>
    </w:p>
    <w:p>
      <w:pPr>
        <w:spacing w:after="0" w:line="117" w:lineRule="exact"/>
        <w:rPr>
          <w:sz w:val="20"/>
          <w:szCs w:val="20"/>
          <w:color w:val="auto"/>
        </w:rPr>
      </w:pPr>
    </w:p>
    <w:p>
      <w:pPr>
        <w:ind w:left="466" w:right="140" w:firstLine="421"/>
        <w:spacing w:after="0" w:line="273" w:lineRule="auto"/>
        <w:tabs>
          <w:tab w:leader="none" w:pos="1131" w:val="left"/>
        </w:tabs>
        <w:numPr>
          <w:ilvl w:val="0"/>
          <w:numId w:val="14"/>
        </w:numPr>
        <w:rPr>
          <w:rFonts w:ascii="Arial" w:cs="Arial" w:eastAsia="Arial" w:hAnsi="Arial"/>
          <w:sz w:val="17"/>
          <w:szCs w:val="17"/>
          <w:color w:val="auto"/>
        </w:rPr>
      </w:pPr>
      <w:r>
        <w:rPr>
          <w:rFonts w:ascii="Arial" w:cs="Arial" w:eastAsia="Arial" w:hAnsi="Arial"/>
          <w:sz w:val="17"/>
          <w:szCs w:val="17"/>
          <w:color w:val="auto"/>
        </w:rPr>
        <w:t>Upon the occurrence of a Change of Control Triggering Event with respect to the Notes, unless the Company has exercised its right to redeem the Notes pursuant to Article XI of the Indenture, each Holder of Notes shall have the right to require the Company to purchase all or a portion (equal to $2,000 or an integral multiple of $1,000 in excess thereof) of such Holder’s Notes pursuant to the offer described below (the “Change of Control Offer”), at a purchase price equal to 101% of the principal amount thereof plus accrued and unpaid interest, if any, to, but excluding, the date of purchase (the “Change of Control Payment”), subject to the rights of Holders on the relevant Regular Record Date to receive interest due on the relevant Interest Payment Date.</w:t>
      </w:r>
    </w:p>
    <w:p>
      <w:pPr>
        <w:spacing w:after="0" w:line="110" w:lineRule="exact"/>
        <w:rPr>
          <w:rFonts w:ascii="Arial" w:cs="Arial" w:eastAsia="Arial" w:hAnsi="Arial"/>
          <w:sz w:val="17"/>
          <w:szCs w:val="17"/>
          <w:color w:val="auto"/>
        </w:rPr>
      </w:pPr>
    </w:p>
    <w:p>
      <w:pPr>
        <w:ind w:left="5206" w:hanging="96"/>
        <w:spacing w:after="0"/>
        <w:tabs>
          <w:tab w:leader="none" w:pos="5206" w:val="left"/>
        </w:tabs>
        <w:numPr>
          <w:ilvl w:val="1"/>
          <w:numId w:val="14"/>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26"/>
          </w:cols>
          <w:pgMar w:left="694" w:top="274" w:right="279" w:bottom="1440" w:gutter="0" w:footer="0" w:header="0"/>
        </w:sectPr>
      </w:pPr>
    </w:p>
    <w:bookmarkStart w:id="12" w:name="page13"/>
    <w:bookmarkEnd w:id="12"/>
    <w:p>
      <w:pPr>
        <w:ind w:left="-280" w:right="300" w:firstLine="421"/>
        <w:spacing w:after="0" w:line="259" w:lineRule="auto"/>
        <w:tabs>
          <w:tab w:leader="none" w:pos="395"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30 days following the date upon which the Change of Control Triggering Event occurred with respect to the Notes, or at the Company’s option, prior to any Change of Control but after the public announcement of the pending Change of Control, the Company will be required to send, by first class mail, a notice to each Holder of Notes, with a copy to the Trustee, which notice shall govern the terms of the Change of Control Offer.</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Such notice shall state:</w:t>
      </w:r>
    </w:p>
    <w:p>
      <w:pPr>
        <w:spacing w:after="0" w:line="131" w:lineRule="exact"/>
        <w:rPr>
          <w:sz w:val="20"/>
          <w:szCs w:val="20"/>
          <w:color w:val="auto"/>
        </w:rPr>
      </w:pPr>
    </w:p>
    <w:p>
      <w:pPr>
        <w:ind w:left="620" w:hanging="44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events causing the Change of Control;</w:t>
      </w:r>
    </w:p>
    <w:p>
      <w:pPr>
        <w:spacing w:after="0" w:line="130" w:lineRule="exact"/>
        <w:rPr>
          <w:rFonts w:ascii="Arial" w:cs="Arial" w:eastAsia="Arial" w:hAnsi="Arial"/>
          <w:sz w:val="18"/>
          <w:szCs w:val="18"/>
          <w:color w:val="auto"/>
        </w:rPr>
      </w:pPr>
    </w:p>
    <w:p>
      <w:pPr>
        <w:ind w:left="620" w:hanging="448"/>
        <w:spacing w:after="0"/>
        <w:tabs>
          <w:tab w:leader="none" w:pos="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date of the Change of Control;</w:t>
      </w:r>
    </w:p>
    <w:p>
      <w:pPr>
        <w:spacing w:after="0" w:line="130" w:lineRule="exact"/>
        <w:rPr>
          <w:rFonts w:ascii="Arial" w:cs="Arial" w:eastAsia="Arial" w:hAnsi="Arial"/>
          <w:sz w:val="18"/>
          <w:szCs w:val="18"/>
          <w:color w:val="auto"/>
        </w:rPr>
      </w:pPr>
    </w:p>
    <w:p>
      <w:pPr>
        <w:ind w:left="620" w:hanging="448"/>
        <w:spacing w:after="0"/>
        <w:tabs>
          <w:tab w:leader="none" w:pos="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amount of the Change of Control Payment;</w:t>
      </w:r>
    </w:p>
    <w:p>
      <w:pPr>
        <w:spacing w:after="0" w:line="130" w:lineRule="exact"/>
        <w:rPr>
          <w:rFonts w:ascii="Arial" w:cs="Arial" w:eastAsia="Arial" w:hAnsi="Arial"/>
          <w:sz w:val="18"/>
          <w:szCs w:val="18"/>
          <w:color w:val="auto"/>
        </w:rPr>
      </w:pPr>
    </w:p>
    <w:p>
      <w:pPr>
        <w:ind w:left="620" w:right="160" w:hanging="448"/>
        <w:spacing w:after="0" w:line="264" w:lineRule="auto"/>
        <w:tabs>
          <w:tab w:leader="none" w:pos="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that the Holder must exercise the repurchase right prior to the close of business on the purchase date, which must be no earlier than 30 days nor later than 60 days from the date such notice is mailed, other than as may be required by law (the “Change of Control Payment Date”);</w:t>
      </w:r>
    </w:p>
    <w:p>
      <w:pPr>
        <w:spacing w:after="0" w:line="86" w:lineRule="exact"/>
        <w:rPr>
          <w:rFonts w:ascii="Arial" w:cs="Arial" w:eastAsia="Arial" w:hAnsi="Arial"/>
          <w:sz w:val="18"/>
          <w:szCs w:val="18"/>
          <w:color w:val="auto"/>
        </w:rPr>
      </w:pPr>
    </w:p>
    <w:p>
      <w:pPr>
        <w:ind w:left="620" w:right="180" w:hanging="448"/>
        <w:spacing w:after="0" w:line="342" w:lineRule="auto"/>
        <w:tabs>
          <w:tab w:leader="none" w:pos="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if the notice is mailed prior to any Change of Control but after the public announcement of the pending Change of Control, that the offer is conditioned on the Change of Control being consummated on or prior to the Change of Control Payment Date;</w:t>
      </w:r>
    </w:p>
    <w:p>
      <w:pPr>
        <w:spacing w:after="0" w:line="29" w:lineRule="exact"/>
        <w:rPr>
          <w:rFonts w:ascii="Arial" w:cs="Arial" w:eastAsia="Arial" w:hAnsi="Arial"/>
          <w:sz w:val="16"/>
          <w:szCs w:val="16"/>
          <w:color w:val="auto"/>
        </w:rPr>
      </w:pPr>
    </w:p>
    <w:p>
      <w:pPr>
        <w:ind w:left="620" w:hanging="448"/>
        <w:spacing w:after="0"/>
        <w:tabs>
          <w:tab w:leader="none" w:pos="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30" w:lineRule="exact"/>
        <w:rPr>
          <w:rFonts w:ascii="Arial" w:cs="Arial" w:eastAsia="Arial" w:hAnsi="Arial"/>
          <w:sz w:val="18"/>
          <w:szCs w:val="18"/>
          <w:color w:val="auto"/>
        </w:rPr>
      </w:pPr>
    </w:p>
    <w:p>
      <w:pPr>
        <w:ind w:left="620" w:right="160" w:hanging="448"/>
        <w:spacing w:after="0" w:line="277" w:lineRule="auto"/>
        <w:tabs>
          <w:tab w:leader="none" w:pos="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that the Holder must complete the Change of Control Repurchase Notice (as defined below) to participate in the Change of Control Offer; and</w:t>
      </w:r>
    </w:p>
    <w:p>
      <w:pPr>
        <w:spacing w:after="0" w:line="75" w:lineRule="exact"/>
        <w:rPr>
          <w:rFonts w:ascii="Arial" w:cs="Arial" w:eastAsia="Arial" w:hAnsi="Arial"/>
          <w:sz w:val="18"/>
          <w:szCs w:val="18"/>
          <w:color w:val="auto"/>
        </w:rPr>
      </w:pPr>
    </w:p>
    <w:p>
      <w:pPr>
        <w:ind w:left="620" w:hanging="448"/>
        <w:spacing w:after="0"/>
        <w:tabs>
          <w:tab w:leader="none" w:pos="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other procedures that Holders must follow to require the Company to repurchase the Notes.</w:t>
      </w:r>
    </w:p>
    <w:p>
      <w:pPr>
        <w:spacing w:after="0" w:line="117" w:lineRule="exact"/>
        <w:rPr>
          <w:rFonts w:ascii="Arial" w:cs="Arial" w:eastAsia="Arial" w:hAnsi="Arial"/>
          <w:sz w:val="18"/>
          <w:szCs w:val="18"/>
          <w:color w:val="auto"/>
        </w:rPr>
      </w:pPr>
    </w:p>
    <w:p>
      <w:pPr>
        <w:ind w:left="380" w:hanging="239"/>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Repurchases of Notes under this Section 14.01 shall be made, at the option of the Holder thereof, upon</w:t>
      </w:r>
    </w:p>
    <w:p>
      <w:pPr>
        <w:spacing w:after="0" w:line="130" w:lineRule="exact"/>
        <w:rPr>
          <w:rFonts w:ascii="Arial" w:cs="Arial" w:eastAsia="Arial" w:hAnsi="Arial"/>
          <w:sz w:val="18"/>
          <w:szCs w:val="18"/>
          <w:color w:val="auto"/>
        </w:rPr>
      </w:pPr>
    </w:p>
    <w:p>
      <w:pPr>
        <w:ind w:left="620" w:hanging="448"/>
        <w:spacing w:after="0" w:line="264"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delivery to the Trustee (or other Paying Agent appointed by the Company) by a Holder of a duly completed notice (the “Change of Control Repurchase Notice”) in the form set forth on the reverse of the Note at any time prior 5:00 p.m., New York City Time, on the Change of Control Payment Date; or</w:t>
      </w:r>
    </w:p>
    <w:p>
      <w:pPr>
        <w:spacing w:after="0" w:line="113" w:lineRule="exact"/>
        <w:rPr>
          <w:rFonts w:ascii="Arial" w:cs="Arial" w:eastAsia="Arial" w:hAnsi="Arial"/>
          <w:sz w:val="18"/>
          <w:szCs w:val="18"/>
          <w:color w:val="auto"/>
        </w:rPr>
      </w:pPr>
    </w:p>
    <w:p>
      <w:pPr>
        <w:ind w:left="4460" w:hanging="96"/>
        <w:spacing w:after="0"/>
        <w:tabs>
          <w:tab w:leader="none" w:pos="44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220"/>
          </w:cols>
          <w:pgMar w:left="1440" w:top="274" w:right="239" w:bottom="1440" w:gutter="0" w:footer="0" w:header="0"/>
        </w:sectPr>
      </w:pPr>
    </w:p>
    <w:bookmarkStart w:id="13" w:name="page14"/>
    <w:bookmarkEnd w:id="13"/>
    <w:p>
      <w:pPr>
        <w:ind w:left="620" w:hanging="448"/>
        <w:spacing w:after="0" w:line="255"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delivery or book-entry transfer of the Notes to the Trustee (or other Paying Agent appointed by the Company) at any time after delivery of the Change of Control Repurchase Notice (together with all necessary endorsements) at the Corporate Trust Office of the Trustee or the corporate trust office of its Affiliate (or other Paying Agent appointed by the Company) in the Borough of Manhattan, such delivery being a condition to receipt by the Holder of the Change of Control Payment therefor; provided that such Change of Control Payment shall be so paid pursuant to this Section 14.01 only if the Note so delivered to the Trustee (or other Paying Agent appointed by the Company) shall conform in all respects to the description thereof in the related Change of Control Repurchase Notice.</w:t>
      </w:r>
    </w:p>
    <w:p>
      <w:pPr>
        <w:spacing w:after="0" w:line="8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Change of Control Repurchase Notice shall state:</w:t>
      </w:r>
    </w:p>
    <w:p>
      <w:pPr>
        <w:spacing w:after="0" w:line="131" w:lineRule="exact"/>
        <w:rPr>
          <w:sz w:val="20"/>
          <w:szCs w:val="20"/>
          <w:color w:val="auto"/>
        </w:rPr>
      </w:pPr>
    </w:p>
    <w:p>
      <w:pPr>
        <w:ind w:left="620" w:hanging="44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certificated, the certificate numbers of Notes to be delivered for repurchase;</w:t>
      </w:r>
    </w:p>
    <w:p>
      <w:pPr>
        <w:spacing w:after="0" w:line="130" w:lineRule="exact"/>
        <w:rPr>
          <w:rFonts w:ascii="Arial" w:cs="Arial" w:eastAsia="Arial" w:hAnsi="Arial"/>
          <w:sz w:val="18"/>
          <w:szCs w:val="18"/>
          <w:color w:val="auto"/>
        </w:rPr>
      </w:pPr>
    </w:p>
    <w:p>
      <w:pPr>
        <w:ind w:left="620" w:right="280" w:hanging="448"/>
        <w:spacing w:after="0" w:line="277"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portion of the principal amount of Notes to be repurchased, which must be $2,000 or an integral multiple of $1,000 in excess thereof;</w:t>
      </w:r>
    </w:p>
    <w:p>
      <w:pPr>
        <w:spacing w:after="0" w:line="75" w:lineRule="exact"/>
        <w:rPr>
          <w:rFonts w:ascii="Arial" w:cs="Arial" w:eastAsia="Arial" w:hAnsi="Arial"/>
          <w:sz w:val="18"/>
          <w:szCs w:val="18"/>
          <w:color w:val="auto"/>
        </w:rPr>
      </w:pPr>
    </w:p>
    <w:p>
      <w:pPr>
        <w:ind w:left="620" w:hanging="448"/>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that the Notes are to be repurchased by the Company pursuant to the applicable provisions of the Notes and the Indenture; and</w:t>
      </w:r>
    </w:p>
    <w:p>
      <w:pPr>
        <w:spacing w:after="0" w:line="153" w:lineRule="exact"/>
        <w:rPr>
          <w:rFonts w:ascii="Arial" w:cs="Arial" w:eastAsia="Arial" w:hAnsi="Arial"/>
          <w:sz w:val="16"/>
          <w:szCs w:val="16"/>
          <w:color w:val="auto"/>
        </w:rPr>
      </w:pPr>
    </w:p>
    <w:p>
      <w:pPr>
        <w:ind w:left="620" w:right="280" w:hanging="448"/>
        <w:spacing w:after="0" w:line="264"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such Change of Control Repurchase Notice is delivered prior to the occurrence of a Change of Control pursuant to a definitive agreement giving rise to a Change of Control, that the Holder acknowledges that the Company’s offer is conditioned on the consummation of such Change of Control.</w:t>
      </w:r>
    </w:p>
    <w:p>
      <w:pPr>
        <w:spacing w:after="0" w:line="73"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if the Notes are not in certificated form, the Change of Control Repurchase Notice must comply with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of the Depositary.</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 On the Change of Control Payment Date, the Company shall, to the extent lawful:</w:t>
      </w:r>
    </w:p>
    <w:p>
      <w:pPr>
        <w:spacing w:after="0" w:line="131" w:lineRule="exact"/>
        <w:rPr>
          <w:sz w:val="20"/>
          <w:szCs w:val="20"/>
          <w:color w:val="auto"/>
        </w:rPr>
      </w:pPr>
    </w:p>
    <w:p>
      <w:pPr>
        <w:ind w:left="620" w:right="500" w:hanging="448"/>
        <w:spacing w:after="0" w:line="277"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 or cause a third party to accept for payment all Notes or portions of Notes properly tendered pursuant to the Change of Control Offer,</w:t>
      </w:r>
    </w:p>
    <w:p>
      <w:pPr>
        <w:spacing w:after="0" w:line="75" w:lineRule="exact"/>
        <w:rPr>
          <w:rFonts w:ascii="Arial" w:cs="Arial" w:eastAsia="Arial" w:hAnsi="Arial"/>
          <w:sz w:val="18"/>
          <w:szCs w:val="18"/>
          <w:color w:val="auto"/>
        </w:rPr>
      </w:pPr>
    </w:p>
    <w:p>
      <w:pPr>
        <w:ind w:left="620" w:hanging="44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deposit or cause a third party to deposit with the Paying Agent an amount equal to the Change of Control Payment</w:t>
      </w:r>
    </w:p>
    <w:p>
      <w:pPr>
        <w:spacing w:after="0" w:line="157" w:lineRule="exact"/>
        <w:rPr>
          <w:rFonts w:ascii="Arial" w:cs="Arial" w:eastAsia="Arial" w:hAnsi="Arial"/>
          <w:sz w:val="18"/>
          <w:szCs w:val="18"/>
          <w:color w:val="auto"/>
        </w:rPr>
      </w:pPr>
    </w:p>
    <w:p>
      <w:pPr>
        <w:ind w:left="4420" w:hanging="101"/>
        <w:spacing w:after="0"/>
        <w:tabs>
          <w:tab w:leader="none" w:pos="4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160"/>
          </w:cols>
          <w:pgMar w:left="1440" w:top="274" w:right="299" w:bottom="1440" w:gutter="0" w:footer="0" w:header="0"/>
        </w:sectPr>
      </w:pPr>
    </w:p>
    <w:bookmarkStart w:id="14" w:name="page15"/>
    <w:bookmarkEnd w:id="14"/>
    <w:p>
      <w:pPr>
        <w:ind w:left="1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respect of all the Notes or portions of the Notes properly tendered, and</w:t>
      </w:r>
    </w:p>
    <w:p>
      <w:pPr>
        <w:spacing w:after="0" w:line="131" w:lineRule="exact"/>
        <w:rPr>
          <w:sz w:val="20"/>
          <w:szCs w:val="20"/>
          <w:color w:val="auto"/>
        </w:rPr>
      </w:pPr>
    </w:p>
    <w:p>
      <w:pPr>
        <w:ind w:left="1820" w:hanging="448"/>
        <w:spacing w:after="0" w:line="277" w:lineRule="auto"/>
        <w:tabs>
          <w:tab w:leader="none" w:pos="1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62" w:lineRule="exact"/>
        <w:rPr>
          <w:rFonts w:ascii="Arial" w:cs="Arial" w:eastAsia="Arial" w:hAnsi="Arial"/>
          <w:sz w:val="18"/>
          <w:szCs w:val="18"/>
          <w:color w:val="auto"/>
        </w:rPr>
      </w:pPr>
    </w:p>
    <w:p>
      <w:pPr>
        <w:ind w:left="920" w:right="120" w:firstLine="421"/>
        <w:spacing w:after="0" w:line="264" w:lineRule="auto"/>
        <w:tabs>
          <w:tab w:leader="none" w:pos="15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shall not be required to make a Change of Control Offer with respect to the Notes if a third party makes such an offer in the manner, at the times and otherwise in compliance with the requirements for such an offer made by the Company and such third party purchases all the Notes properly tendered and not withdrawn under its offer.</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14.02. COMPLIANCE WITH TENDER OFFER RULES</w:t>
      </w:r>
    </w:p>
    <w:p>
      <w:pPr>
        <w:spacing w:after="0" w:line="117" w:lineRule="exact"/>
        <w:rPr>
          <w:sz w:val="20"/>
          <w:szCs w:val="20"/>
          <w:color w:val="auto"/>
        </w:rPr>
      </w:pPr>
    </w:p>
    <w:p>
      <w:pPr>
        <w:ind w:left="920" w:right="80" w:firstLine="420"/>
        <w:spacing w:after="0" w:line="297" w:lineRule="auto"/>
        <w:rPr>
          <w:sz w:val="20"/>
          <w:szCs w:val="20"/>
          <w:color w:val="auto"/>
        </w:rPr>
      </w:pPr>
      <w:r>
        <w:rPr>
          <w:rFonts w:ascii="Arial" w:cs="Arial" w:eastAsia="Arial" w:hAnsi="Arial"/>
          <w:sz w:val="16"/>
          <w:szCs w:val="16"/>
          <w:color w:val="auto"/>
        </w:rPr>
        <w:t>The Company shall comply in all material respects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the Company shall comply with those securities laws and regulations and shall not be deemed to have breached the Company’s obligations under the Change of Control Offer provisions of the Notes by virtue of any such conflict.”</w:t>
      </w:r>
    </w:p>
    <w:p>
      <w:pPr>
        <w:spacing w:after="0" w:line="64" w:lineRule="exact"/>
        <w:rPr>
          <w:sz w:val="20"/>
          <w:szCs w:val="20"/>
          <w:color w:val="auto"/>
        </w:rPr>
      </w:pPr>
    </w:p>
    <w:p>
      <w:pPr>
        <w:ind w:left="900" w:right="62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form of Security attached as Exhibit A hereto shall be the form of Note for the series of Notes established by this Fifth Supplemental Indenture and the terms therein shall be incorporated by reference into this Fifth Supplemental Indenture.</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SECTION 2. The Base Indenture is incorporated by reference in full into this Fifth Supplemental Indenture, and all parties to this Fifth Supplemental Indenture agree to be bound by the terms and provisions of the Base Indenture as supplemented and amended by this Fifth Supplemental Indenture. The Base Indenture and this Fifth Supplemental Indenture shall be read, taken and construed as one and the same instrument. All provisions included in this Fifth Supplemental Indenture supersede any similar provisions included in the Base Indenture unless not permitted by law.</w:t>
      </w:r>
    </w:p>
    <w:p>
      <w:pPr>
        <w:spacing w:after="0" w:line="154"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SECTION 3. If any provision hereof limits, qualifies or conflicts with another provision hereof which is required to be included in this Fifth Supplemental Indenture by any of the provisions of the Trust Indenture Act, such required provision shall control.</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SECTION 4. All covenants and agreements in this Fifth Supplemental Indenture by the Company shall bind its successors and assigns, whether so expressed or not.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00"/>
          </w:cols>
          <w:pgMar w:left="240" w:top="274" w:right="259" w:bottom="1440" w:gutter="0" w:footer="0" w:header="0"/>
        </w:sectPr>
      </w:pPr>
    </w:p>
    <w:bookmarkStart w:id="15" w:name="page16"/>
    <w:bookmarkEnd w:id="15"/>
    <w:p>
      <w:pPr>
        <w:ind w:right="1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 In case any provision in this Fifth Supplemental Indenture or in the Notes shall be invalid, illegal or unenforceable, the validity, legality and enforceability of the remaining provisions herein and therein shall not in any way be affected or impaired thereby.</w:t>
      </w:r>
    </w:p>
    <w:p>
      <w:pPr>
        <w:spacing w:after="0" w:line="170"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SECTION 6. Nothing in this Fifth Supplemental Indenture, expressed or implied, shall give to any Person, other than the parties hereto and their successors hereunder, and the Holders of the Notes any benefit or any legal or equitable right, remedy or claim under this Fifth Supplemental Indenture.</w:t>
      </w:r>
    </w:p>
    <w:p>
      <w:pPr>
        <w:spacing w:after="0" w:line="124"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SECTION 7. This Fifth Supplemental Indenture and each Note shall be deemed to be a contract made under the laws of the State of New York and this Fifth Supplemental Indenture and each such Note shall be governed by and construed in accordance with the laws of the State of New York.</w:t>
      </w:r>
    </w:p>
    <w:p>
      <w:pPr>
        <w:spacing w:after="0" w:line="14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SECTION 8. All terms used in this Fifth Supplemental Indenture not otherwise defined herein that are defined in the Base Indenture shall have the meanings set forth therein.</w:t>
      </w:r>
    </w:p>
    <w:p>
      <w:pPr>
        <w:spacing w:after="0" w:line="170" w:lineRule="exact"/>
        <w:rPr>
          <w:sz w:val="20"/>
          <w:szCs w:val="20"/>
          <w:color w:val="auto"/>
        </w:rPr>
      </w:pPr>
    </w:p>
    <w:p>
      <w:pPr>
        <w:ind w:right="600" w:firstLine="456"/>
        <w:spacing w:after="0" w:line="312" w:lineRule="auto"/>
        <w:rPr>
          <w:sz w:val="20"/>
          <w:szCs w:val="20"/>
          <w:color w:val="auto"/>
        </w:rPr>
      </w:pPr>
      <w:r>
        <w:rPr>
          <w:rFonts w:ascii="Arial" w:cs="Arial" w:eastAsia="Arial" w:hAnsi="Arial"/>
          <w:sz w:val="16"/>
          <w:szCs w:val="16"/>
          <w:color w:val="auto"/>
        </w:rPr>
        <w:t>SECTION 9. This Fifth Supplemental Indenture may be executed in any number of counterparts, each of which shall be an original; but such counterparts shall together constitute but one and the same instrument. Delivery of an executed counterpart of a signature page hereto by facsimile or electronic transmission shall be as effective as delivery of a manually executed counterpart of this Fifth Supplemental Indenture.</w:t>
      </w:r>
    </w:p>
    <w:p>
      <w:pPr>
        <w:spacing w:after="0" w:line="147"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SECTION 10. The recitals contained herein and in the Notes, except the Trustee’s certificates of authentication, shall be taken as the statements of the Company, and the Trustee assumes no responsibility for their correctness. The Trustee makes no representations as to the validity or sufficiency of this Fifth Supplemental Indenture or the Notes. The Trustee shall not be accountable for the use or application by the Company of Notes or the proceeds thereof.</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40"/>
          </w:cols>
          <w:pgMar w:left="240" w:top="274" w:right="319" w:bottom="1440" w:gutter="0" w:footer="0" w:header="0"/>
        </w:sectPr>
      </w:pPr>
    </w:p>
    <w:bookmarkStart w:id="16" w:name="page17"/>
    <w:bookmarkEnd w:id="16"/>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Fifth Supplemental Indenture to be duly executed all as of the day and year first above written.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REPUBLIC SERVICES, INC., </w:t>
      </w:r>
      <w:r>
        <w:rPr>
          <w:rFonts w:ascii="Arial" w:cs="Arial" w:eastAsia="Arial" w:hAnsi="Arial"/>
          <w:sz w:val="18"/>
          <w:szCs w:val="18"/>
          <w:color w:val="auto"/>
        </w:rPr>
        <w:t>as Issuer</w:t>
      </w:r>
    </w:p>
    <w:p>
      <w:pPr>
        <w:spacing w:after="0" w:line="229"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18"/>
          <w:szCs w:val="18"/>
          <w:color w:val="auto"/>
        </w:rPr>
        <w:t>By:</w:t>
        <w:tab/>
        <w:t>/s/ Marsha Lacy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Marsha Lacy</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ectPr>
          <w:pgSz w:w="11900" w:h="16838" w:orient="portrait"/>
          <w:cols w:equalWidth="0" w:num="1">
            <w:col w:w="11200"/>
          </w:cols>
          <w:pgMar w:left="240" w:top="274" w:right="459" w:bottom="1440" w:gutter="0" w:footer="0" w:header="0"/>
        </w:sectPr>
      </w:pPr>
    </w:p>
    <w:bookmarkStart w:id="17" w:name="page18"/>
    <w:bookmarkEnd w:id="17"/>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U.S. BANK NATIONAL ASSOCIATION, </w:t>
      </w:r>
      <w:r>
        <w:rPr>
          <w:rFonts w:ascii="Arial" w:cs="Arial" w:eastAsia="Arial" w:hAnsi="Arial"/>
          <w:sz w:val="17"/>
          <w:szCs w:val="17"/>
          <w:color w:val="auto"/>
        </w:rPr>
        <w:t>as Trustee</w:t>
      </w:r>
    </w:p>
    <w:p>
      <w:pPr>
        <w:spacing w:after="0" w:line="241" w:lineRule="exact"/>
        <w:rPr>
          <w:sz w:val="20"/>
          <w:szCs w:val="20"/>
          <w:color w:val="auto"/>
        </w:rPr>
      </w:pPr>
    </w:p>
    <w:p>
      <w:pPr>
        <w:ind w:left="566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Richard Prokosch</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660"/>
          </w:cols>
          <w:pgMar w:left="1440" w:top="270" w:right="79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FACE OF SECURITY]</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[THIS SECURITY IS A GLOBAL SECURITY WITHIN THE MEANING OF THE INDENTURE HEREINAFTER REFERRED TO AND IS REGISTERED IN THE NAME OF A DEPOSITARY OR A NOMINEE OF A DEPOSITARY OR A SUCCESSOR DEPOSITARY. TRANSFERS OF THIS GLOBAL SECURITY SHALL BE LIMITED TO TRANSFERS IN WHOLE, BUT NOT IN PART, TO NOMINEES OF CEDE &amp; CO. OR TO A SUCCESSOR THEREOF OR SUCH SUCCESSOR’S NOMINEE AND TRANSFERS OF PORTIONS OF THIS GLOBAL SECURITY SHALL BE LIMITED TO TRANSFERS MADE IN ACCORDANCE WITH THE RESTRICTIONS SET FORTH IN SECTION 3.06 OF THE INDENTURE.</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UNLESS THIS CERTIFICATE IS PRESENTED BY AN AUTHORIZED REPRESENTATIVE OF THE DEPOSITORY TRUST COMPANY, A NEW YORK CORPORATION (“DTC”), TO THE COMPANY OR ITS AGENT FOR REGISTRATION OF TRANSFER, EXCHANGE, OR PAYMENT AND ANY SUCH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jc w:val="right"/>
        <w:ind w:left="5580" w:right="5520" w:hanging="5572"/>
        <w:spacing w:after="0" w:line="536"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6"/>
          <w:szCs w:val="16"/>
          <w:color w:val="auto"/>
        </w:rPr>
        <w:t>This paragraph should be included only if the Note is issued in global form. A-1</w:t>
      </w:r>
    </w:p>
    <w:p>
      <w:pPr>
        <w:sectPr>
          <w:pgSz w:w="11900" w:h="16838" w:orient="portrait"/>
          <w:cols w:equalWidth="0" w:num="1">
            <w:col w:w="11420"/>
          </w:cols>
          <w:pgMar w:left="240" w:top="27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720" w:type="dxa"/>
            <w:vAlign w:val="bottom"/>
            <w:gridSpan w:val="4"/>
          </w:tcPr>
          <w:p>
            <w:pPr>
              <w:jc w:val="center"/>
              <w:ind w:right="2320"/>
              <w:spacing w:after="0"/>
              <w:rPr>
                <w:sz w:val="20"/>
                <w:szCs w:val="20"/>
                <w:color w:val="auto"/>
              </w:rPr>
            </w:pPr>
            <w:r>
              <w:rPr>
                <w:rFonts w:ascii="Arial" w:cs="Arial" w:eastAsia="Arial" w:hAnsi="Arial"/>
                <w:sz w:val="18"/>
                <w:szCs w:val="18"/>
                <w:color w:val="auto"/>
                <w:w w:val="94"/>
              </w:rPr>
              <w:t>REPUBLIC SERVICES, INC.</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51"/>
        </w:trPr>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20" w:type="dxa"/>
            <w:vAlign w:val="bottom"/>
            <w:tcBorders>
              <w:bottom w:val="single" w:sz="8" w:color="auto"/>
            </w:tcBorders>
            <w:gridSpan w:val="2"/>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6"/>
        </w:trPr>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720" w:type="dxa"/>
            <w:vAlign w:val="bottom"/>
            <w:gridSpan w:val="4"/>
          </w:tcPr>
          <w:p>
            <w:pPr>
              <w:jc w:val="center"/>
              <w:ind w:right="2320"/>
              <w:spacing w:after="0"/>
              <w:rPr>
                <w:sz w:val="20"/>
                <w:szCs w:val="20"/>
                <w:color w:val="auto"/>
              </w:rPr>
            </w:pPr>
            <w:r>
              <w:rPr>
                <w:rFonts w:ascii="Arial" w:cs="Arial" w:eastAsia="Arial" w:hAnsi="Arial"/>
                <w:sz w:val="18"/>
                <w:szCs w:val="18"/>
                <w:color w:val="auto"/>
                <w:w w:val="92"/>
              </w:rPr>
              <w:t>2.900% NOTES DUE 2026</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80" w:type="dxa"/>
            <w:vAlign w:val="bottom"/>
            <w:gridSpan w:val="4"/>
          </w:tcPr>
          <w:p>
            <w:pPr>
              <w:ind w:left="340"/>
              <w:spacing w:after="0"/>
              <w:rPr>
                <w:sz w:val="20"/>
                <w:szCs w:val="20"/>
                <w:color w:val="auto"/>
              </w:rPr>
            </w:pPr>
            <w:r>
              <w:rPr>
                <w:rFonts w:ascii="Arial" w:cs="Arial" w:eastAsia="Arial" w:hAnsi="Arial"/>
                <w:sz w:val="18"/>
                <w:szCs w:val="18"/>
                <w:color w:val="auto"/>
                <w:w w:val="92"/>
              </w:rPr>
              <w:t>CUSIP NO. 760759 AR1</w:t>
            </w: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No.</w:t>
            </w:r>
          </w:p>
        </w:tc>
        <w:tc>
          <w:tcPr>
            <w:tcW w:w="540" w:type="dxa"/>
            <w:vAlign w:val="bottom"/>
            <w:tcBorders>
              <w:bottom w:val="single" w:sz="8" w:color="auto"/>
            </w:tcBorders>
          </w:tcPr>
          <w:p>
            <w:pPr>
              <w:spacing w:after="0"/>
              <w:rPr>
                <w:sz w:val="24"/>
                <w:szCs w:val="24"/>
                <w:color w:val="auto"/>
              </w:rPr>
            </w:pPr>
          </w:p>
        </w:tc>
        <w:tc>
          <w:tcPr>
            <w:tcW w:w="418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8"/>
        </w:trPr>
        <w:tc>
          <w:tcPr>
            <w:tcW w:w="320" w:type="dxa"/>
            <w:vAlign w:val="bottom"/>
          </w:tcPr>
          <w:p>
            <w:pPr>
              <w:spacing w:after="0"/>
              <w:rPr>
                <w:sz w:val="24"/>
                <w:szCs w:val="24"/>
                <w:color w:val="auto"/>
              </w:rPr>
            </w:pPr>
          </w:p>
        </w:tc>
        <w:tc>
          <w:tcPr>
            <w:tcW w:w="11100" w:type="dxa"/>
            <w:vAlign w:val="bottom"/>
            <w:gridSpan w:val="10"/>
          </w:tcPr>
          <w:p>
            <w:pPr>
              <w:ind w:left="140"/>
              <w:spacing w:after="0"/>
              <w:rPr>
                <w:sz w:val="20"/>
                <w:szCs w:val="20"/>
                <w:color w:val="auto"/>
              </w:rPr>
            </w:pPr>
            <w:r>
              <w:rPr>
                <w:rFonts w:ascii="Arial" w:cs="Arial" w:eastAsia="Arial" w:hAnsi="Arial"/>
                <w:sz w:val="18"/>
                <w:szCs w:val="18"/>
                <w:color w:val="auto"/>
                <w:w w:val="96"/>
              </w:rPr>
              <w:t>Republic Services, Inc., a Delaware corporation (herein called the “Company,” which term includes any successor Person under the Indenture</w:t>
            </w:r>
          </w:p>
        </w:tc>
      </w:tr>
      <w:tr>
        <w:trPr>
          <w:trHeight w:val="190"/>
        </w:trPr>
        <w:tc>
          <w:tcPr>
            <w:tcW w:w="5040" w:type="dxa"/>
            <w:vAlign w:val="bottom"/>
            <w:gridSpan w:val="4"/>
          </w:tcPr>
          <w:p>
            <w:pPr>
              <w:spacing w:after="0" w:line="190" w:lineRule="exact"/>
              <w:rPr>
                <w:sz w:val="20"/>
                <w:szCs w:val="20"/>
                <w:color w:val="auto"/>
              </w:rPr>
            </w:pPr>
            <w:r>
              <w:rPr>
                <w:rFonts w:ascii="Arial" w:cs="Arial" w:eastAsia="Arial" w:hAnsi="Arial"/>
                <w:sz w:val="18"/>
                <w:szCs w:val="18"/>
                <w:color w:val="auto"/>
                <w:w w:val="91"/>
              </w:rPr>
              <w:t>hereinafter referred to), for value received, hereby promises to pay to</w:t>
            </w:r>
          </w:p>
        </w:tc>
        <w:tc>
          <w:tcPr>
            <w:tcW w:w="900" w:type="dxa"/>
            <w:vAlign w:val="bottom"/>
            <w:tcBorders>
              <w:bottom w:val="single" w:sz="8" w:color="auto"/>
            </w:tcBorders>
          </w:tcPr>
          <w:p>
            <w:pPr>
              <w:spacing w:after="0"/>
              <w:rPr>
                <w:sz w:val="16"/>
                <w:szCs w:val="16"/>
                <w:color w:val="auto"/>
              </w:rPr>
            </w:pPr>
          </w:p>
        </w:tc>
        <w:tc>
          <w:tcPr>
            <w:tcW w:w="3300" w:type="dxa"/>
            <w:vAlign w:val="bottom"/>
            <w:gridSpan w:val="2"/>
          </w:tcPr>
          <w:p>
            <w:pPr>
              <w:ind w:left="40"/>
              <w:spacing w:after="0" w:line="190" w:lineRule="exact"/>
              <w:rPr>
                <w:sz w:val="20"/>
                <w:szCs w:val="20"/>
                <w:color w:val="auto"/>
              </w:rPr>
            </w:pPr>
            <w:r>
              <w:rPr>
                <w:rFonts w:ascii="Arial" w:cs="Arial" w:eastAsia="Arial" w:hAnsi="Arial"/>
                <w:sz w:val="18"/>
                <w:szCs w:val="18"/>
                <w:color w:val="auto"/>
                <w:w w:val="90"/>
              </w:rPr>
              <w:t>or its registered assigns, the principal sum of</w:t>
            </w:r>
          </w:p>
        </w:tc>
        <w:tc>
          <w:tcPr>
            <w:tcW w:w="900" w:type="dxa"/>
            <w:vAlign w:val="bottom"/>
            <w:tcBorders>
              <w:bottom w:val="single" w:sz="8" w:color="auto"/>
            </w:tcBorders>
          </w:tcPr>
          <w:p>
            <w:pPr>
              <w:spacing w:after="0"/>
              <w:rPr>
                <w:sz w:val="16"/>
                <w:szCs w:val="16"/>
                <w:color w:val="auto"/>
              </w:rPr>
            </w:pPr>
          </w:p>
        </w:tc>
        <w:tc>
          <w:tcPr>
            <w:tcW w:w="20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0" w:firstLine="8"/>
        <w:spacing w:after="0" w:line="293" w:lineRule="auto"/>
        <w:tabs>
          <w:tab w:leader="none" w:pos="1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United States dollars [,or such greater or lesser amount as may from time to time be endorsed on the Schedule of Increases and Decreases of Interests in the Global Note attached hereto (but in no event may such amount exceed the aggregate principal amount of Notes authenticated pursuant to Section 3.03 of the Indenture referred to below and then Outstanding pursuant the terms of the Indenture)]</w:t>
      </w:r>
      <w:r>
        <w:rPr>
          <w:rFonts w:ascii="Arial" w:cs="Arial" w:eastAsia="Arial" w:hAnsi="Arial"/>
          <w:sz w:val="13"/>
          <w:szCs w:val="13"/>
          <w:color w:val="auto"/>
        </w:rPr>
        <w:t>2</w:t>
      </w:r>
      <w:r>
        <w:rPr>
          <w:rFonts w:ascii="Arial" w:cs="Arial" w:eastAsia="Arial" w:hAnsi="Arial"/>
          <w:sz w:val="16"/>
          <w:szCs w:val="16"/>
          <w:color w:val="auto"/>
        </w:rPr>
        <w:t>, on July 1, 2026, at the office or agency of the Company referred to below, and to pay interest thereon from July 5, 2016 or from the most recent Interest Payment Date to which interest has been paid or duly provided for, semi-annually on January 1 and July 1 in each year, commencing January 1, 2017 at the rate of 2.900% per annum, in United States dollars, until the principal hereof is paid or duly provided for. Interest shall be computed on the basis of a 360-day year comprised of twelve 30-day months.</w:t>
      </w:r>
    </w:p>
    <w:p>
      <w:pPr>
        <w:spacing w:after="0" w:line="165"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interest so payable, and punctually paid or duly provided for, on any Interest Payment Date will, as provided in such Indenture, be paid to the Person in whose name this Security (or any Predecessor Securities) is registered at the close of business on the Regular Record Date for such interest, which shall be the June 15 or December 15 (whether or not a Business Day), as the case may be, next preceding such Interest Payment Date. Any such interest not so punctually paid, or duly provided for, and interest on such defaulted interest at the interest rate borne by the Securities, to the extent lawful, shall forthwith cease to be payable to the Holder on such Regular Record Date, and may either be paid to the Person in whose name this Security (or any Predecessor Securities) is registered at the close of business on a Special Record Date for the payment of such defaulted interest to be fixed by the Trustee, notice thereof shall be given to Holders of Securities not less than 10 days prior to such Special Record Date, or be paid at any time in any other lawful manner not inconsistent with the requirements of any securities exchange on which the Securities may be listed, and upon such notice as may be required by such exchange, all as more fully provided in the Indenture.</w:t>
      </w:r>
    </w:p>
    <w:p>
      <w:pPr>
        <w:spacing w:after="0" w:line="18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Payment of the principal of, premium, if any, and interest on, this Security, and exchange or transfer of this Security, will be made at the office or agency of the Company in The City of New York maintained for such purpose (which initially will be a corporate trust office of the Trustee or its affiliate located at 100 Wall Street, Suite 1600, New York, NY 10005), or at such other office or agency as may be maintained for such purpose, in such coin or currency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Use if Global Security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sectPr>
      </w:pPr>
    </w:p>
    <w:bookmarkStart w:id="20" w:name="page21"/>
    <w:bookmarkEnd w:id="20"/>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United States of America as at the time of payment is legal tender for payment of public and private debts;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payment of interest may be made at the option of the Company by check mailed to the address of the Person entitled thereto as such address shall appear on the Security Register.</w:t>
      </w:r>
    </w:p>
    <w:p>
      <w:pPr>
        <w:spacing w:after="0" w:line="12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274" w:right="279" w:bottom="1440" w:gutter="0" w:footer="0" w:header="0"/>
        </w:sectPr>
      </w:pPr>
    </w:p>
    <w:bookmarkStart w:id="21" w:name="page22"/>
    <w:bookmarkEnd w:id="21"/>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the certificate of authentication hereon has been duly executed by the Trustee referred to on the reverse hereof or by the authenticating agent appointed as provided in the Indenture by manual signature of an authorized signer, this Security shall not be entitled to any benefit under the Indenture, or be valid or obligatory for any purpose.</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WITNESS WHEREOF, the Company has caused this instrument to be duly executed by the manual or facsimile signature of one of its authorized officers.</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REPUBLIC SERVICES,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80"/>
          </w:cols>
          <w:pgMar w:left="240" w:top="274" w:right="279" w:bottom="1440" w:gutter="0" w:footer="0" w:header="0"/>
        </w:sectPr>
      </w:pPr>
    </w:p>
    <w:bookmarkStart w:id="22" w:name="page23"/>
    <w:bookmarkEnd w:id="22"/>
    <w:p>
      <w:pPr>
        <w:ind w:left="37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TRUSTEE’S CERTIFICATE OF AUTHENTICATION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2.900% Notes due July 1, 2026 referred to in the within-mentioned Indenture.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U.S. BANK NATIONAL ASSOCIATION, as Trustee</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720"/>
          </w:cols>
          <w:pgMar w:left="240" w:top="274" w:right="9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REVERSE SIDE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REPUBLIC SERVICES,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2.900% Notes due 2026</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Security is one of a duly authorized issue of Securities of the Company designated as its 2.900% Notes due 2026 (herein called the “Securities”), limited (except as otherwise provided in the Indenture referred to below) in aggregate principal amount to $500,000,000, issued under and subject to the terms of an indenture (herein called the “Indenture”) dated as of November 25, 2009, between the Company and U.S. Bank National Association, as trustee (herein called the “Trustee,” which term includes any successor trustee under the Indenture), as supplemented by a Fifth Supplemental Indenture, dated as of July 5, 2016, between the Company and the Trustee to which Indenture and all indentures supplemental thereto reference is hereby made for a statement of the respective rights, limitations of rights, duties, obligations and immunities thereunder of the Company, the Trustee and the Holders of the Securities, and of the terms upon which the Securities are, and are to be, authenticated and delivered.</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Prior to April 1, 2026 (three months prior to their Stated Maturity) (the “Par Call Date”), the Securities may be redeemed, as a whole or in part, at the option of the Company, at any time or from time to time at a Redemption Price equal to the greater of (1) 100% of the principal amount of the Securities to be redeemed and (2) the sum of the present values of the remaining scheduled payments of principal and interest thereon (assuming such Securities matured on the Par Call Date), discounted to the Redemption Date on a semi-annual basis (assuming a 360-day year consisting of twelve 30-day months) at the applicable Treasury Rate, plus 20 basis points, plus, in each case, accrued and unpaid interest to the Redemption Date, if any (subject to the right of holders of record of such Securities on relevant record dates to receive interest due on an interest payment date). On or after the Par Call Date, the Securities may be redeemed in whole or in part, at the option of the Company, at any time or from time to time at a Redemption Price equal to 100% of the principal amount of the Securities to be redeemed plus accrued and unpaid interest thereon to the Redemption Date, if any (subject to the right of holders of record of such Securities on relevant record dates to receive interest due on an interest payment date).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redemption may be made upon not less than 30 and not more than 60 days’ notice to the Holders thereof as provided in the Indenture.</w:t>
      </w:r>
    </w:p>
    <w:p>
      <w:pPr>
        <w:spacing w:after="0" w:line="23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If less than all of the Securities are to be redeemed, the Trustee shall select, not more than 60 nor less than 30 days before the Redemption Date, the Securities or portions thereof to be redeemed, by such method the Trustee shall deem fair and appropriate.</w:t>
      </w:r>
    </w:p>
    <w:p>
      <w:pPr>
        <w:spacing w:after="0" w:line="170"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In the case of any redemption of Securities in accordance with the Indenture, interest installments whose Stated Maturity is on or prior to the Redemption Date will be payable to the Holders of such Securities of record as of the close of business on the relevant Regular Record Date or Special Record Date referred to on the face hereof. Securities (or portions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4" w:right="239" w:bottom="1440" w:gutter="0" w:footer="0" w:header="0"/>
        </w:sectPr>
      </w:pPr>
    </w:p>
    <w:bookmarkStart w:id="24" w:name="page25"/>
    <w:bookmarkEnd w:id="24"/>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thereof) for whose redemption and payment provision is made in accordance with the Indenture shall cease to bear interest from and after the Redemption Date.</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the event of redemption or repurchase of this Security in accordance with the Indenture in part only, a new Security or Securities for the unredeemed portion hereof shall be issued in the name of the Holder hereof upon the cancellation hereof.</w:t>
      </w:r>
    </w:p>
    <w:p>
      <w:pPr>
        <w:spacing w:after="0" w:line="17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Upon the occurrence of a Change of Control Triggering Event with respect to the Securities, unless the Company has exercised its right to redeem the Securities pursuant to Article XI of the Indenture, each Holder of the Securities shall have the right to require the Company to purchase all or a portion (equal to $2,000 or an integral multiple of $1,000 in excess thereof) of such Holder’s Security pursuant to Article XIV of the Indenture.</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If an Event of Default shall occur and be continuing, the principal amount of all the Securities may be declared due and payable in the manner and with the effect provided in the Indenture.</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Indenture contains provisions for defeasance at any time of (a) the entire Indebtedness on the Securities and (b) certain covenants and Defaults and Events of Default, in each case upon compliance with certain conditions set forth therein.</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Indenture permits, with certain exceptions (including certain amendments permitted without the consent of any Holders and certain amendments which require the consent of all of the Holders) as therein provided, the amendment thereof and the modification of the rights and obligations of the Company and the rights of the Holders under the Indenture and the Securities at any time by the Company and the Trustee with the consent of the Holders of at least a majority in aggregate principal amount of the Securities at the time Outstanding that are affected. The Indenture also contains provisions permitting the Holders of at least a majority in aggregate principal amount of the Securities (100% of the Holders in certain circumstances) at the time Outstanding that are affected, on behalf of the Holders of all the Securities, to waive compliance by the Company with certain provisions of the Indenture and the Securities of such series and certain past Defaults and Events of Default under the Indenture and the Securities and their consequences. Any such consent or waiver by or on behalf of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or any other obligor on the Securities (in the event such other obligor is obligated to make payments in respect of the Securities), which is absolute and unconditional, to pay the principal of, and premium, if any, and interest on, this Security at the times, place, and rate, and in the coin or currency, herein prescribed.</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the Borough of Manhattan,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274" w:right="259" w:bottom="1440" w:gutter="0" w:footer="0" w:header="0"/>
        </w:sectPr>
      </w:pPr>
    </w:p>
    <w:bookmarkStart w:id="25" w:name="page26"/>
    <w:bookmarkEnd w:id="25"/>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City of New York, duly endorsed by, or accompanied by a written instrument of transfer in form satisfactory to the Company and the Security Registrar duly executed by, the Holder hereof or its attorney duly authorized in writing, and thereupon one or more new Securities, of authorized denominations and for the same aggregate principal amount, will be issued to the designated transferee or transferees.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Securities in certificated form are issuable only in registered form without coupons in denominations of $2,000 and any integral multiple of $1,000 in excess thereof. As provided in the Indenture and subject to certain limitations therein set forth, the Securities are exchangeable for a like aggregate principal amount of Securities of a differing authorized denomination, as requested by the Holder surrendering the same.</w:t>
      </w:r>
    </w:p>
    <w:p>
      <w:pPr>
        <w:spacing w:after="0" w:line="166"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Except as indicated in the Indenture, no service charge shall be made for any registration of transfer or exchange of Securities, but the Company may require payment of a sum sufficient to cover any tax or other governmental charge payable in connection therewith.</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 director, officer, employee or stockholder, as such, of the Company shall not have any liability for any obligations under the Securities or the Indenture or for any claim based on, in respect of or by reason of such obligations or their creation. By accepting a Security, each Holder waives and releases all such liability. The waiver and release are part of the consideration for the issue of the Securities.</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is overdue, and neither the Company, the Trustee nor any such agent shall be affected by notice to the contrary.</w:t>
      </w:r>
    </w:p>
    <w:p>
      <w:pPr>
        <w:spacing w:after="0" w:line="177"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THIS SECURITY SHALL BE GOVERNED BY AND CONSTRUED IN ACCORDANCE WITH THE LAWS OF THE STATE OF NEW YORK, WITHOUT GIVING EFFECT TO THE TO CONFLICT OF LAWS PRINCIPLES THEREOF.</w:t>
      </w:r>
    </w:p>
    <w:p>
      <w:pPr>
        <w:spacing w:after="0" w:line="166"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All terms used in this Security which are defined in the Indenture and not otherwise defined herein shall have the meanings assigned to them in the Indenture.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80"/>
          </w:cols>
          <w:pgMar w:left="240" w:top="274" w:right="27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OF CONTROL REPURCHASE NOTICE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want to elect to have only part of the Security purchased by the Company pursuant to Section 14.01 of the Indenture, state the amount you elect to have purchased:</w:t>
      </w:r>
    </w:p>
    <w:p>
      <w:pPr>
        <w:spacing w:after="0" w:line="17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4647565</wp:posOffset>
            </wp:positionH>
            <wp:positionV relativeFrom="paragraph">
              <wp:posOffset>-10160</wp:posOffset>
            </wp:positionV>
            <wp:extent cx="571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-10160</wp:posOffset>
            </wp:positionV>
            <wp:extent cx="10572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2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-10160</wp:posOffset>
            </wp:positionV>
            <wp:extent cx="16002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002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 exactly as your name appears on the face of this Security)</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-10160</wp:posOffset>
            </wp:positionV>
            <wp:extent cx="12573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3500120</wp:posOffset>
            </wp:positionH>
            <wp:positionV relativeFrom="paragraph">
              <wp:posOffset>-10160</wp:posOffset>
            </wp:positionV>
            <wp:extent cx="12573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232" w:lineRule="exact"/>
        <w:rPr>
          <w:sz w:val="20"/>
          <w:szCs w:val="20"/>
          <w:color w:val="auto"/>
        </w:rPr>
      </w:pPr>
    </w:p>
    <w:p>
      <w:pPr>
        <w:ind w:left="5580" w:right="2240" w:hanging="5572"/>
        <w:spacing w:after="0" w:line="449" w:lineRule="auto"/>
        <w:tabs>
          <w:tab w:leader="none" w:pos="2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ectPr>
          <w:pgSz w:w="11900" w:h="16838" w:orient="portrait"/>
          <w:cols w:equalWidth="0" w:num="1">
            <w:col w:w="11400"/>
          </w:cols>
          <w:pgMar w:left="240" w:top="274" w:right="259" w:bottom="1440" w:gutter="0" w:footer="0" w:header="0"/>
        </w:sectPr>
      </w:pPr>
    </w:p>
    <w:bookmarkStart w:id="27" w:name="page28"/>
    <w:bookmarkEnd w:id="27"/>
    <w:p>
      <w:pPr>
        <w:jc w:val="center"/>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INCREASES AND DECREASES OF INTERESTS</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IN THE GLOBAL SECURITY</w:t>
      </w:r>
      <w:r>
        <w:rPr>
          <w:rFonts w:ascii="Arial" w:cs="Arial" w:eastAsia="Arial" w:hAnsi="Arial"/>
          <w:sz w:val="15"/>
          <w:szCs w:val="15"/>
          <w:color w:val="auto"/>
        </w:rPr>
        <w:t>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increases or decreases in this Global Security have been made:</w:t>
      </w:r>
    </w:p>
    <w:p>
      <w:pPr>
        <w:spacing w:after="0" w:line="23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auto"/>
                <w:w w:val="94"/>
              </w:rPr>
              <w:t>Amount of decrease in</w:t>
            </w:r>
          </w:p>
        </w:tc>
        <w:tc>
          <w:tcPr>
            <w:tcW w:w="2340" w:type="dxa"/>
            <w:vAlign w:val="bottom"/>
          </w:tcPr>
          <w:p>
            <w:pPr>
              <w:jc w:val="center"/>
              <w:ind w:left="28"/>
              <w:spacing w:after="0"/>
              <w:rPr>
                <w:sz w:val="20"/>
                <w:szCs w:val="20"/>
                <w:color w:val="auto"/>
              </w:rPr>
            </w:pPr>
            <w:r>
              <w:rPr>
                <w:rFonts w:ascii="Arial" w:cs="Arial" w:eastAsia="Arial" w:hAnsi="Arial"/>
                <w:sz w:val="14"/>
                <w:szCs w:val="14"/>
                <w:color w:val="auto"/>
                <w:w w:val="94"/>
              </w:rPr>
              <w:t>Amount of increase in</w:t>
            </w:r>
          </w:p>
        </w:tc>
        <w:tc>
          <w:tcPr>
            <w:tcW w:w="2480" w:type="dxa"/>
            <w:vAlign w:val="bottom"/>
          </w:tcPr>
          <w:p>
            <w:pPr>
              <w:jc w:val="center"/>
              <w:ind w:left="8"/>
              <w:spacing w:after="0"/>
              <w:rPr>
                <w:sz w:val="20"/>
                <w:szCs w:val="20"/>
                <w:color w:val="auto"/>
              </w:rPr>
            </w:pPr>
            <w:r>
              <w:rPr>
                <w:rFonts w:ascii="Arial" w:cs="Arial" w:eastAsia="Arial" w:hAnsi="Arial"/>
                <w:sz w:val="14"/>
                <w:szCs w:val="14"/>
                <w:color w:val="auto"/>
                <w:w w:val="97"/>
              </w:rPr>
              <w:t>Principal Amount of this</w:t>
            </w:r>
          </w:p>
        </w:tc>
        <w:tc>
          <w:tcPr>
            <w:tcW w:w="2060" w:type="dxa"/>
            <w:vAlign w:val="bottom"/>
          </w:tcPr>
          <w:p>
            <w:pPr>
              <w:spacing w:after="0"/>
              <w:rPr>
                <w:sz w:val="14"/>
                <w:szCs w:val="14"/>
                <w:color w:val="auto"/>
              </w:rPr>
            </w:pPr>
          </w:p>
        </w:tc>
      </w:tr>
      <w:tr>
        <w:trPr>
          <w:trHeight w:val="149"/>
        </w:trPr>
        <w:tc>
          <w:tcPr>
            <w:tcW w:w="152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color w:val="auto"/>
                <w:w w:val="97"/>
              </w:rPr>
              <w:t>Principal Amount of this</w:t>
            </w:r>
          </w:p>
        </w:tc>
        <w:tc>
          <w:tcPr>
            <w:tcW w:w="234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6"/>
              </w:rPr>
              <w:t>Principal Amount of this</w:t>
            </w:r>
          </w:p>
        </w:tc>
        <w:tc>
          <w:tcPr>
            <w:tcW w:w="2480" w:type="dxa"/>
            <w:vAlign w:val="bottom"/>
          </w:tcPr>
          <w:p>
            <w:pPr>
              <w:jc w:val="center"/>
              <w:ind w:left="8"/>
              <w:spacing w:after="0" w:line="149" w:lineRule="exact"/>
              <w:rPr>
                <w:sz w:val="20"/>
                <w:szCs w:val="20"/>
                <w:color w:val="auto"/>
              </w:rPr>
            </w:pPr>
            <w:r>
              <w:rPr>
                <w:rFonts w:ascii="Arial" w:cs="Arial" w:eastAsia="Arial" w:hAnsi="Arial"/>
                <w:sz w:val="14"/>
                <w:szCs w:val="14"/>
                <w:color w:val="auto"/>
                <w:w w:val="96"/>
              </w:rPr>
              <w:t>Global Security following such</w:t>
            </w:r>
          </w:p>
        </w:tc>
        <w:tc>
          <w:tcPr>
            <w:tcW w:w="2060" w:type="dxa"/>
            <w:vAlign w:val="bottom"/>
          </w:tcPr>
          <w:p>
            <w:pPr>
              <w:jc w:val="center"/>
              <w:ind w:left="228"/>
              <w:spacing w:after="0" w:line="149" w:lineRule="exact"/>
              <w:rPr>
                <w:sz w:val="20"/>
                <w:szCs w:val="20"/>
                <w:color w:val="auto"/>
              </w:rPr>
            </w:pPr>
            <w:r>
              <w:rPr>
                <w:rFonts w:ascii="Arial" w:cs="Arial" w:eastAsia="Arial" w:hAnsi="Arial"/>
                <w:sz w:val="14"/>
                <w:szCs w:val="14"/>
                <w:color w:val="auto"/>
                <w:w w:val="94"/>
              </w:rPr>
              <w:t>Signature of authorized officer</w:t>
            </w:r>
          </w:p>
        </w:tc>
      </w:tr>
      <w:tr>
        <w:trPr>
          <w:trHeight w:val="182"/>
        </w:trPr>
        <w:tc>
          <w:tcPr>
            <w:tcW w:w="1520" w:type="dxa"/>
            <w:vAlign w:val="bottom"/>
          </w:tcPr>
          <w:p>
            <w:pPr>
              <w:spacing w:after="0"/>
              <w:rPr>
                <w:sz w:val="20"/>
                <w:szCs w:val="20"/>
                <w:color w:val="auto"/>
              </w:rPr>
            </w:pPr>
            <w:r>
              <w:rPr>
                <w:rFonts w:ascii="Arial" w:cs="Arial" w:eastAsia="Arial" w:hAnsi="Arial"/>
                <w:sz w:val="14"/>
                <w:szCs w:val="14"/>
                <w:color w:val="auto"/>
              </w:rPr>
              <w:t>Date of Exchange</w:t>
            </w:r>
          </w:p>
        </w:tc>
        <w:tc>
          <w:tcPr>
            <w:tcW w:w="2460" w:type="dxa"/>
            <w:vAlign w:val="bottom"/>
          </w:tcPr>
          <w:p>
            <w:pPr>
              <w:jc w:val="center"/>
              <w:spacing w:after="0"/>
              <w:rPr>
                <w:sz w:val="20"/>
                <w:szCs w:val="20"/>
                <w:color w:val="auto"/>
              </w:rPr>
            </w:pPr>
            <w:r>
              <w:rPr>
                <w:rFonts w:ascii="Arial" w:cs="Arial" w:eastAsia="Arial" w:hAnsi="Arial"/>
                <w:sz w:val="14"/>
                <w:szCs w:val="14"/>
                <w:color w:val="auto"/>
                <w:w w:val="96"/>
              </w:rPr>
              <w:t>Global Security</w:t>
            </w:r>
          </w:p>
        </w:tc>
        <w:tc>
          <w:tcPr>
            <w:tcW w:w="2340" w:type="dxa"/>
            <w:vAlign w:val="bottom"/>
          </w:tcPr>
          <w:p>
            <w:pPr>
              <w:jc w:val="center"/>
              <w:ind w:left="48"/>
              <w:spacing w:after="0"/>
              <w:rPr>
                <w:sz w:val="20"/>
                <w:szCs w:val="20"/>
                <w:color w:val="auto"/>
              </w:rPr>
            </w:pPr>
            <w:r>
              <w:rPr>
                <w:rFonts w:ascii="Arial" w:cs="Arial" w:eastAsia="Arial" w:hAnsi="Arial"/>
                <w:sz w:val="14"/>
                <w:szCs w:val="14"/>
                <w:color w:val="auto"/>
                <w:w w:val="94"/>
              </w:rPr>
              <w:t>Global Security</w:t>
            </w:r>
          </w:p>
        </w:tc>
        <w:tc>
          <w:tcPr>
            <w:tcW w:w="2480" w:type="dxa"/>
            <w:vAlign w:val="bottom"/>
          </w:tcPr>
          <w:p>
            <w:pPr>
              <w:jc w:val="center"/>
              <w:ind w:left="8"/>
              <w:spacing w:after="0"/>
              <w:rPr>
                <w:sz w:val="20"/>
                <w:szCs w:val="20"/>
                <w:color w:val="auto"/>
              </w:rPr>
            </w:pPr>
            <w:r>
              <w:rPr>
                <w:rFonts w:ascii="Arial" w:cs="Arial" w:eastAsia="Arial" w:hAnsi="Arial"/>
                <w:sz w:val="14"/>
                <w:szCs w:val="14"/>
                <w:color w:val="auto"/>
                <w:w w:val="88"/>
              </w:rPr>
              <w:t>decrease (or increase)</w:t>
            </w:r>
          </w:p>
        </w:tc>
        <w:tc>
          <w:tcPr>
            <w:tcW w:w="2060" w:type="dxa"/>
            <w:vAlign w:val="bottom"/>
          </w:tcPr>
          <w:p>
            <w:pPr>
              <w:jc w:val="center"/>
              <w:ind w:left="228"/>
              <w:spacing w:after="0"/>
              <w:rPr>
                <w:sz w:val="20"/>
                <w:szCs w:val="20"/>
                <w:color w:val="auto"/>
              </w:rPr>
            </w:pPr>
            <w:r>
              <w:rPr>
                <w:rFonts w:ascii="Arial" w:cs="Arial" w:eastAsia="Arial" w:hAnsi="Arial"/>
                <w:sz w:val="14"/>
                <w:szCs w:val="14"/>
                <w:color w:val="auto"/>
                <w:w w:val="93"/>
              </w:rPr>
              <w:t>of Trustee or Note 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This should be included only if the Security is a Global Security.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20"/>
          </w:cols>
          <w:pgMar w:left="240" w:top="274" w:right="4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5760" w:type="dxa"/>
            <w:vAlign w:val="bottom"/>
          </w:tcPr>
          <w:p>
            <w:pPr>
              <w:jc w:val="right"/>
              <w:spacing w:after="0"/>
              <w:rPr>
                <w:sz w:val="20"/>
                <w:szCs w:val="20"/>
                <w:color w:val="auto"/>
              </w:rPr>
            </w:pPr>
            <w:r>
              <w:rPr>
                <w:rFonts w:ascii="Arial" w:cs="Arial" w:eastAsia="Arial" w:hAnsi="Arial"/>
                <w:sz w:val="18"/>
                <w:szCs w:val="18"/>
                <w:b w:val="1"/>
                <w:bCs w:val="1"/>
                <w:color w:val="auto"/>
              </w:rPr>
              <w:t>Exhibit 5.1</w:t>
            </w:r>
          </w:p>
        </w:tc>
        <w:tc>
          <w:tcPr>
            <w:tcW w:w="0" w:type="dxa"/>
            <w:vAlign w:val="bottom"/>
          </w:tcPr>
          <w:p>
            <w:pPr>
              <w:spacing w:after="0"/>
              <w:rPr>
                <w:sz w:val="1"/>
                <w:szCs w:val="1"/>
                <w:color w:val="auto"/>
              </w:rPr>
            </w:pPr>
          </w:p>
        </w:tc>
      </w:tr>
      <w:tr>
        <w:trPr>
          <w:trHeight w:val="828"/>
        </w:trPr>
        <w:tc>
          <w:tcPr>
            <w:tcW w:w="5660" w:type="dxa"/>
            <w:vAlign w:val="bottom"/>
          </w:tcPr>
          <w:p>
            <w:pPr>
              <w:spacing w:after="0"/>
              <w:rPr>
                <w:sz w:val="24"/>
                <w:szCs w:val="24"/>
                <w:color w:val="auto"/>
              </w:rPr>
            </w:pPr>
          </w:p>
        </w:tc>
        <w:tc>
          <w:tcPr>
            <w:tcW w:w="5760" w:type="dxa"/>
            <w:vAlign w:val="bottom"/>
          </w:tcPr>
          <w:p>
            <w:pPr>
              <w:jc w:val="right"/>
              <w:spacing w:after="0"/>
              <w:rPr>
                <w:sz w:val="20"/>
                <w:szCs w:val="20"/>
                <w:color w:val="auto"/>
              </w:rPr>
            </w:pPr>
            <w:r>
              <w:rPr>
                <w:rFonts w:ascii="Arial" w:cs="Arial" w:eastAsia="Arial" w:hAnsi="Arial"/>
                <w:sz w:val="16"/>
                <w:szCs w:val="16"/>
                <w:color w:val="auto"/>
              </w:rPr>
              <w:t>Mayer Brown LLP</w:t>
            </w:r>
          </w:p>
        </w:tc>
        <w:tc>
          <w:tcPr>
            <w:tcW w:w="0" w:type="dxa"/>
            <w:vAlign w:val="bottom"/>
          </w:tcPr>
          <w:p>
            <w:pPr>
              <w:spacing w:after="0"/>
              <w:rPr>
                <w:sz w:val="1"/>
                <w:szCs w:val="1"/>
                <w:color w:val="auto"/>
              </w:rPr>
            </w:pPr>
          </w:p>
        </w:tc>
      </w:tr>
      <w:tr>
        <w:trPr>
          <w:trHeight w:val="203"/>
        </w:trPr>
        <w:tc>
          <w:tcPr>
            <w:tcW w:w="5660" w:type="dxa"/>
            <w:vAlign w:val="bottom"/>
            <w:vMerge w:val="restart"/>
          </w:tcPr>
          <w:p>
            <w:pPr>
              <w:spacing w:after="0"/>
              <w:rPr>
                <w:sz w:val="20"/>
                <w:szCs w:val="20"/>
                <w:color w:val="auto"/>
              </w:rPr>
            </w:pPr>
            <w:r>
              <w:rPr>
                <w:rFonts w:ascii="Arial" w:cs="Arial" w:eastAsia="Arial" w:hAnsi="Arial"/>
                <w:sz w:val="18"/>
                <w:szCs w:val="18"/>
                <w:color w:val="auto"/>
              </w:rPr>
              <w:t>July 5, 2016</w:t>
            </w:r>
          </w:p>
        </w:tc>
        <w:tc>
          <w:tcPr>
            <w:tcW w:w="5760" w:type="dxa"/>
            <w:vAlign w:val="bottom"/>
          </w:tcPr>
          <w:p>
            <w:pPr>
              <w:jc w:val="right"/>
              <w:spacing w:after="0"/>
              <w:rPr>
                <w:sz w:val="20"/>
                <w:szCs w:val="20"/>
                <w:color w:val="auto"/>
              </w:rPr>
            </w:pPr>
            <w:r>
              <w:rPr>
                <w:rFonts w:ascii="Arial" w:cs="Arial" w:eastAsia="Arial" w:hAnsi="Arial"/>
                <w:sz w:val="16"/>
                <w:szCs w:val="16"/>
                <w:color w:val="auto"/>
              </w:rPr>
              <w:t>71 South Wacker Drive</w:t>
            </w:r>
          </w:p>
        </w:tc>
        <w:tc>
          <w:tcPr>
            <w:tcW w:w="0" w:type="dxa"/>
            <w:vAlign w:val="bottom"/>
          </w:tcPr>
          <w:p>
            <w:pPr>
              <w:spacing w:after="0"/>
              <w:rPr>
                <w:sz w:val="1"/>
                <w:szCs w:val="1"/>
                <w:color w:val="auto"/>
              </w:rPr>
            </w:pPr>
          </w:p>
        </w:tc>
      </w:tr>
      <w:tr>
        <w:trPr>
          <w:trHeight w:val="131"/>
        </w:trPr>
        <w:tc>
          <w:tcPr>
            <w:tcW w:w="5660" w:type="dxa"/>
            <w:vAlign w:val="bottom"/>
            <w:vMerge w:val="continue"/>
          </w:tcPr>
          <w:p>
            <w:pPr>
              <w:spacing w:after="0"/>
              <w:rPr>
                <w:sz w:val="11"/>
                <w:szCs w:val="11"/>
                <w:color w:val="auto"/>
              </w:rPr>
            </w:pPr>
          </w:p>
        </w:tc>
        <w:tc>
          <w:tcPr>
            <w:tcW w:w="5760" w:type="dxa"/>
            <w:vAlign w:val="bottom"/>
            <w:vMerge w:val="restart"/>
          </w:tcPr>
          <w:p>
            <w:pPr>
              <w:jc w:val="right"/>
              <w:spacing w:after="0"/>
              <w:rPr>
                <w:sz w:val="20"/>
                <w:szCs w:val="20"/>
                <w:color w:val="auto"/>
              </w:rPr>
            </w:pPr>
            <w:r>
              <w:rPr>
                <w:rFonts w:ascii="Arial" w:cs="Arial" w:eastAsia="Arial" w:hAnsi="Arial"/>
                <w:sz w:val="16"/>
                <w:szCs w:val="16"/>
                <w:color w:val="auto"/>
              </w:rPr>
              <w:t>Chicago, Illinois 60606-4637</w:t>
            </w:r>
          </w:p>
        </w:tc>
        <w:tc>
          <w:tcPr>
            <w:tcW w:w="0" w:type="dxa"/>
            <w:vAlign w:val="bottom"/>
          </w:tcPr>
          <w:p>
            <w:pPr>
              <w:spacing w:after="0"/>
              <w:rPr>
                <w:sz w:val="1"/>
                <w:szCs w:val="1"/>
                <w:color w:val="auto"/>
              </w:rPr>
            </w:pPr>
          </w:p>
        </w:tc>
      </w:tr>
      <w:tr>
        <w:trPr>
          <w:trHeight w:val="75"/>
        </w:trPr>
        <w:tc>
          <w:tcPr>
            <w:tcW w:w="5660" w:type="dxa"/>
            <w:vAlign w:val="bottom"/>
          </w:tcPr>
          <w:p>
            <w:pPr>
              <w:spacing w:after="0"/>
              <w:rPr>
                <w:sz w:val="6"/>
                <w:szCs w:val="6"/>
                <w:color w:val="auto"/>
              </w:rPr>
            </w:pPr>
          </w:p>
        </w:tc>
        <w:tc>
          <w:tcPr>
            <w:tcW w:w="5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0"/>
        </w:trPr>
        <w:tc>
          <w:tcPr>
            <w:tcW w:w="5660" w:type="dxa"/>
            <w:vAlign w:val="bottom"/>
          </w:tcPr>
          <w:p>
            <w:pPr>
              <w:spacing w:after="0"/>
              <w:rPr>
                <w:sz w:val="24"/>
                <w:szCs w:val="24"/>
                <w:color w:val="auto"/>
              </w:rPr>
            </w:pPr>
          </w:p>
        </w:tc>
        <w:tc>
          <w:tcPr>
            <w:tcW w:w="5760" w:type="dxa"/>
            <w:vAlign w:val="bottom"/>
          </w:tcPr>
          <w:p>
            <w:pPr>
              <w:jc w:val="right"/>
              <w:spacing w:after="0"/>
              <w:rPr>
                <w:sz w:val="20"/>
                <w:szCs w:val="20"/>
                <w:color w:val="auto"/>
              </w:rPr>
            </w:pPr>
            <w:r>
              <w:rPr>
                <w:rFonts w:ascii="Arial" w:cs="Arial" w:eastAsia="Arial" w:hAnsi="Arial"/>
                <w:sz w:val="16"/>
                <w:szCs w:val="16"/>
                <w:color w:val="auto"/>
              </w:rPr>
              <w:t>Main Tel +1 312 782 0600</w:t>
            </w: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5760" w:type="dxa"/>
            <w:vAlign w:val="bottom"/>
          </w:tcPr>
          <w:p>
            <w:pPr>
              <w:jc w:val="right"/>
              <w:spacing w:after="0"/>
              <w:rPr>
                <w:sz w:val="20"/>
                <w:szCs w:val="20"/>
                <w:color w:val="auto"/>
              </w:rPr>
            </w:pPr>
            <w:r>
              <w:rPr>
                <w:rFonts w:ascii="Arial" w:cs="Arial" w:eastAsia="Arial" w:hAnsi="Arial"/>
                <w:sz w:val="16"/>
                <w:szCs w:val="16"/>
                <w:color w:val="auto"/>
              </w:rPr>
              <w:t>Main Fax +1 312 701 7711</w:t>
            </w:r>
          </w:p>
        </w:tc>
        <w:tc>
          <w:tcPr>
            <w:tcW w:w="0" w:type="dxa"/>
            <w:vAlign w:val="bottom"/>
          </w:tcPr>
          <w:p>
            <w:pPr>
              <w:spacing w:after="0"/>
              <w:rPr>
                <w:sz w:val="1"/>
                <w:szCs w:val="1"/>
                <w:color w:val="auto"/>
              </w:rPr>
            </w:pPr>
          </w:p>
        </w:tc>
      </w:tr>
      <w:tr>
        <w:trPr>
          <w:trHeight w:val="206"/>
        </w:trPr>
        <w:tc>
          <w:tcPr>
            <w:tcW w:w="5660" w:type="dxa"/>
            <w:vAlign w:val="bottom"/>
          </w:tcPr>
          <w:p>
            <w:pPr>
              <w:spacing w:after="0"/>
              <w:rPr>
                <w:sz w:val="17"/>
                <w:szCs w:val="17"/>
                <w:color w:val="auto"/>
              </w:rPr>
            </w:pPr>
          </w:p>
        </w:tc>
        <w:tc>
          <w:tcPr>
            <w:tcW w:w="5760" w:type="dxa"/>
            <w:vAlign w:val="bottom"/>
          </w:tcPr>
          <w:p>
            <w:pPr>
              <w:jc w:val="right"/>
              <w:spacing w:after="0"/>
              <w:rPr>
                <w:sz w:val="20"/>
                <w:szCs w:val="20"/>
                <w:color w:val="auto"/>
              </w:rPr>
            </w:pPr>
            <w:r>
              <w:rPr>
                <w:rFonts w:ascii="Arial" w:cs="Arial" w:eastAsia="Arial" w:hAnsi="Arial"/>
                <w:sz w:val="16"/>
                <w:szCs w:val="16"/>
                <w:color w:val="auto"/>
              </w:rPr>
              <w:t>www.mayerbrown.com</w:t>
            </w:r>
          </w:p>
        </w:tc>
        <w:tc>
          <w:tcPr>
            <w:tcW w:w="0" w:type="dxa"/>
            <w:vAlign w:val="bottom"/>
          </w:tcPr>
          <w:p>
            <w:pPr>
              <w:spacing w:after="0"/>
              <w:rPr>
                <w:sz w:val="1"/>
                <w:szCs w:val="1"/>
                <w:color w:val="auto"/>
              </w:rPr>
            </w:pPr>
          </w:p>
        </w:tc>
      </w:tr>
      <w:tr>
        <w:trPr>
          <w:trHeight w:val="437"/>
        </w:trPr>
        <w:tc>
          <w:tcPr>
            <w:tcW w:w="5660" w:type="dxa"/>
            <w:vAlign w:val="bottom"/>
          </w:tcPr>
          <w:p>
            <w:pPr>
              <w:spacing w:after="0"/>
              <w:rPr>
                <w:sz w:val="20"/>
                <w:szCs w:val="20"/>
                <w:color w:val="auto"/>
              </w:rPr>
            </w:pPr>
            <w:r>
              <w:rPr>
                <w:rFonts w:ascii="Arial" w:cs="Arial" w:eastAsia="Arial" w:hAnsi="Arial"/>
                <w:sz w:val="18"/>
                <w:szCs w:val="18"/>
                <w:color w:val="auto"/>
              </w:rPr>
              <w:t>Republic Services, Inc.</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18500 North Allied Way</w:t>
            </w:r>
          </w:p>
        </w:tc>
        <w:tc>
          <w:tcPr>
            <w:tcW w:w="5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Phoenix, AZ 85054</w:t>
            </w:r>
          </w:p>
        </w:tc>
        <w:tc>
          <w:tcPr>
            <w:tcW w:w="5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60" w:type="dxa"/>
            <w:vAlign w:val="bottom"/>
          </w:tcPr>
          <w:p>
            <w:pPr>
              <w:spacing w:after="0"/>
              <w:rPr>
                <w:sz w:val="20"/>
                <w:szCs w:val="20"/>
                <w:color w:val="auto"/>
              </w:rPr>
            </w:pPr>
            <w:r>
              <w:rPr>
                <w:rFonts w:ascii="Arial" w:cs="Arial" w:eastAsia="Arial" w:hAnsi="Arial"/>
                <w:sz w:val="18"/>
                <w:szCs w:val="18"/>
                <w:color w:val="auto"/>
              </w:rPr>
              <w:t>Ladies and Gentlemen: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-1903095</wp:posOffset>
            </wp:positionV>
            <wp:extent cx="184404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44040" cy="154305"/>
                    </a:xfrm>
                    <a:prstGeom prst="rect">
                      <a:avLst/>
                    </a:prstGeom>
                    <a:noFill/>
                  </pic:spPr>
                </pic:pic>
              </a:graphicData>
            </a:graphic>
          </wp:anchor>
        </w:drawing>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acted as special counsel for Republic Services, Inc., a Delaware corporation (the “Company”), in connection with the offer and sale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$500,000,000 aggregate principal amount of its 2.900% Notes due July 1, 2026 (the “Notes”) as set forth in the Prospectus Supplement, dated June 20, 2016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“Prospectus Supplement”), as filed with the Securities and Exchange Commission pursuant to Rule 424(b)(2) under the Securities Act of 1933,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amended (the “Securities Act”).</w:t>
      </w:r>
    </w:p>
    <w:p>
      <w:pPr>
        <w:spacing w:after="0" w:line="21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Notes will be issued under an Indenture, dated as of November 25, 2009, between the Company and U.S. Bank National Association, as trustee (the “Trustee”), as supplemented by the Fifth Supplemental Indenture between the Company and the Trustee relating to the Notes dated as of July 5, 2016 (together, the “Indenture”).</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connection with our opinion, we have examined: (a) the Prospectus Supplement; (b) the Company’s Certificate of Incorporation and By-Laws, each as amended to date; (c) the Indenture; (d) the form of the Notes; and (e) such other documents and records as we have deemed necessary to enable us to render this opinion.</w:t>
      </w:r>
    </w:p>
    <w:p>
      <w:pPr>
        <w:spacing w:after="0" w:line="18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our examination of the above referenced documents, we have assumed the genuineness of all signatures, the authenticity of all documents, certificates and instruments submitted to us as originals and the conformity with the originals of all documents submitted to us as copies. Also, we have relied as to certain factual matters on information obtained from public officials, officers of the Company and other sources believed by us to be responsible.</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Based upon and subject to the foregoing and the matters set forth herein, assuming that the Indenture has been duly authorized, executed and delivered by, and represents the valid and binding obligation of, the Trustee, we are of the opinion that:</w:t>
      </w:r>
    </w:p>
    <w:p>
      <w:pPr>
        <w:spacing w:after="0" w:line="170" w:lineRule="exact"/>
        <w:rPr>
          <w:sz w:val="20"/>
          <w:szCs w:val="20"/>
          <w:color w:val="auto"/>
        </w:rPr>
      </w:pPr>
    </w:p>
    <w:p>
      <w:pPr>
        <w:ind w:right="100" w:firstLine="464"/>
        <w:spacing w:after="0" w:line="312" w:lineRule="auto"/>
        <w:tabs>
          <w:tab w:leader="none" w:pos="636" w:val="left"/>
        </w:tabs>
        <w:numPr>
          <w:ilvl w:val="0"/>
          <w:numId w:val="30"/>
        </w:numPr>
        <w:rPr>
          <w:rFonts w:ascii="Arial" w:cs="Arial" w:eastAsia="Arial" w:hAnsi="Arial"/>
          <w:sz w:val="16"/>
          <w:szCs w:val="16"/>
          <w:color w:val="auto"/>
        </w:rPr>
      </w:pPr>
      <w:r>
        <w:rPr>
          <w:rFonts w:ascii="Arial" w:cs="Arial" w:eastAsia="Arial" w:hAnsi="Arial"/>
          <w:sz w:val="16"/>
          <w:szCs w:val="16"/>
          <w:color w:val="auto"/>
        </w:rPr>
        <w:t>Upon the due execution, authentication, issuance and delivery of the Notes, and the receipt of the consideration therefor set forth in the Prospectus Supplement, the Notes will be valid and binding obligations of the Company entitled to the benefits of the Indenture and enforceable against the Company in accordance with their terms; except as enforcement thereof may be limited by bankruptcy, insolvency, fraudulent transfer, reorganization, moratorium or</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Mayer Brown LLP operates in combination with other Mayer Brown entities (the “Mayer Brown Practices”), which have offices in North America,</w:t>
      </w:r>
    </w:p>
    <w:p>
      <w:pPr>
        <w:jc w:val="center"/>
        <w:spacing w:after="0"/>
        <w:rPr>
          <w:sz w:val="20"/>
          <w:szCs w:val="20"/>
          <w:color w:val="auto"/>
        </w:rPr>
      </w:pPr>
      <w:r>
        <w:rPr>
          <w:rFonts w:ascii="Arial" w:cs="Arial" w:eastAsia="Arial" w:hAnsi="Arial"/>
          <w:sz w:val="14"/>
          <w:szCs w:val="14"/>
          <w:color w:val="auto"/>
        </w:rPr>
        <w:t>Europe and Asia and are associated with Tauil &amp; Chequer Advogados, a Brazilian law partnership.</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Mayer Brown </w:t>
      </w:r>
      <w:r>
        <w:rPr>
          <w:rFonts w:ascii="Arial" w:cs="Arial" w:eastAsia="Arial" w:hAnsi="Arial"/>
          <w:sz w:val="15"/>
          <w:szCs w:val="15"/>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Republic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5,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other similar laws affecting the enforcement of creditors’ rights generally or the application of equitable principles (regardless of whether such enforceability is considered in a proceeding in equity or at law).</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express no opinion concerning the contents of the Prospectus Supplement, other than as to the validity of the Notes. We express no opinion as to the applicability of, compliance with or effect of, the law of any jurisdiction other than United States Federal law, the laws of the State of New York and the General Corporation Law of the State of Delaware.</w:t>
      </w:r>
    </w:p>
    <w:p>
      <w:pPr>
        <w:spacing w:after="0" w:line="18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hereby consent to the reference to our firm under the caption “Legal Matters” in the Prospectus Supplement with respect to the matters stated therein, and to the filing of this opinion as an exhibit to the Company’s Current Report on Form 8-K. In giving this consent, we do not admit that we are “experts” within the meaning of Section 11 of the Securities Act or within the category of persons whose consent is required by Section 7 of the Securities Act.</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Mayer Brown LLP</w:t>
      </w:r>
    </w:p>
    <w:p>
      <w:pPr>
        <w:sectPr>
          <w:pgSz w:w="11900" w:h="16838" w:orient="portrait"/>
          <w:cols w:equalWidth="0" w:num="1">
            <w:col w:w="11400"/>
          </w:cols>
          <w:pgMar w:left="240" w:top="274" w:right="2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172085</wp:posOffset>
            </wp:positionV>
            <wp:extent cx="1406525" cy="1406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0652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 Announces Final Results of Tender Offers</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PHOENIX (July 5, 2016)</w:t>
      </w:r>
      <w:r>
        <w:rPr>
          <w:rFonts w:ascii="Arial" w:cs="Arial" w:eastAsia="Arial" w:hAnsi="Arial"/>
          <w:sz w:val="18"/>
          <w:szCs w:val="18"/>
          <w:color w:val="auto"/>
        </w:rPr>
        <w:t>—Republic Services, Inc. (“Republic”) (NYSE: RSG) today announced the expiration and final results of its previously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cash tender offers to purchase up to $600 million combined aggregate principal amount (the “Tender Cap”) of the Notes identified in the table below (collectively, the “Notes”). The terms and conditions of the tender offers are described in the </w:t>
      </w:r>
      <w:r>
        <w:rPr>
          <w:rFonts w:ascii="Arial" w:cs="Arial" w:eastAsia="Arial" w:hAnsi="Arial"/>
          <w:sz w:val="18"/>
          <w:szCs w:val="18"/>
          <w:i w:val="1"/>
          <w:iCs w:val="1"/>
          <w:color w:val="auto"/>
        </w:rPr>
        <w:t>Offer to Purchase</w:t>
      </w:r>
      <w:r>
        <w:rPr>
          <w:rFonts w:ascii="Arial" w:cs="Arial" w:eastAsia="Arial" w:hAnsi="Arial"/>
          <w:sz w:val="18"/>
          <w:szCs w:val="18"/>
          <w:color w:val="auto"/>
        </w:rPr>
        <w:t xml:space="preserve">, dated June 6, 2016 (the “Offer to Purchase”), and the related </w:t>
      </w:r>
      <w:r>
        <w:rPr>
          <w:rFonts w:ascii="Arial" w:cs="Arial" w:eastAsia="Arial" w:hAnsi="Arial"/>
          <w:sz w:val="18"/>
          <w:szCs w:val="18"/>
          <w:i w:val="1"/>
          <w:iCs w:val="1"/>
          <w:color w:val="auto"/>
        </w:rPr>
        <w:t>Letter of Transmittal,</w:t>
      </w:r>
      <w:r>
        <w:rPr>
          <w:rFonts w:ascii="Arial" w:cs="Arial" w:eastAsia="Arial" w:hAnsi="Arial"/>
          <w:sz w:val="18"/>
          <w:szCs w:val="18"/>
          <w:color w:val="auto"/>
        </w:rPr>
        <w:t xml:space="preserve"> and remain unchanged except as modified by Republic’s press release issued June 20, 2016, that increased the Tender Cap from $500 million to $600 million.</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tender offers for the Notes expired at 11:59 p.m., New York City time, on Friday, July 1, 2016 (the “Expiration Date”). According to Global Bondholder Services Corporation, the Tender Agent for the Tender Offers, the Company received valid tenders from holders of Notes as outlined in the table below as of the Expiration Date.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Principal</w:t>
            </w:r>
          </w:p>
        </w:tc>
        <w:tc>
          <w:tcPr>
            <w:tcW w:w="100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Principal</w:t>
            </w: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Acceptance</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Amount</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620" w:type="dxa"/>
            <w:vAlign w:val="bottom"/>
            <w:gridSpan w:val="2"/>
            <w:vMerge w:val="restart"/>
          </w:tcPr>
          <w:p>
            <w:pPr>
              <w:jc w:val="center"/>
              <w:ind w:right="1140"/>
              <w:spacing w:after="0"/>
              <w:rPr>
                <w:sz w:val="20"/>
                <w:szCs w:val="20"/>
                <w:color w:val="auto"/>
              </w:rPr>
            </w:pPr>
            <w:r>
              <w:rPr>
                <w:rFonts w:ascii="Arial" w:cs="Arial" w:eastAsia="Arial" w:hAnsi="Arial"/>
                <w:sz w:val="14"/>
                <w:szCs w:val="14"/>
                <w:b w:val="1"/>
                <w:bCs w:val="1"/>
                <w:color w:val="auto"/>
                <w:w w:val="95"/>
              </w:rPr>
              <w:t>Title of</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Tender Offer</w:t>
            </w:r>
          </w:p>
        </w:tc>
        <w:tc>
          <w:tcPr>
            <w:tcW w:w="12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Tendered as of</w:t>
            </w:r>
          </w:p>
        </w:tc>
        <w:tc>
          <w:tcPr>
            <w:tcW w:w="100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4"/>
              </w:rPr>
              <w:t>Amount</w:t>
            </w:r>
          </w:p>
        </w:tc>
        <w:tc>
          <w:tcPr>
            <w:tcW w:w="8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7"/>
              </w:rPr>
              <w:t>Priority</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80" w:type="dxa"/>
            <w:vAlign w:val="bottom"/>
            <w:gridSpan w:val="3"/>
          </w:tcPr>
          <w:p>
            <w:pPr>
              <w:jc w:val="center"/>
              <w:ind w:right="280"/>
              <w:spacing w:after="0" w:line="145" w:lineRule="exact"/>
              <w:rPr>
                <w:sz w:val="20"/>
                <w:szCs w:val="20"/>
                <w:color w:val="auto"/>
              </w:rPr>
            </w:pPr>
            <w:r>
              <w:rPr>
                <w:rFonts w:ascii="Arial" w:cs="Arial" w:eastAsia="Arial" w:hAnsi="Arial"/>
                <w:sz w:val="14"/>
                <w:szCs w:val="14"/>
                <w:b w:val="1"/>
                <w:bCs w:val="1"/>
                <w:color w:val="auto"/>
                <w:w w:val="94"/>
              </w:rPr>
              <w:t>the Expiration</w:t>
            </w:r>
          </w:p>
        </w:tc>
        <w:tc>
          <w:tcPr>
            <w:tcW w:w="1000" w:type="dxa"/>
            <w:vAlign w:val="bottom"/>
            <w:gridSpan w:val="2"/>
          </w:tcPr>
          <w:p>
            <w:pPr>
              <w:jc w:val="center"/>
              <w:ind w:right="150"/>
              <w:spacing w:after="0" w:line="145"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50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7"/>
              </w:rPr>
              <w:t>Security</w:t>
            </w:r>
          </w:p>
        </w:tc>
        <w:tc>
          <w:tcPr>
            <w:tcW w:w="1120" w:type="dxa"/>
            <w:vAlign w:val="bottom"/>
          </w:tcPr>
          <w:p>
            <w:pPr>
              <w:spacing w:after="0"/>
              <w:rPr>
                <w:sz w:val="11"/>
                <w:szCs w:val="11"/>
                <w:color w:val="auto"/>
              </w:rPr>
            </w:pPr>
          </w:p>
        </w:tc>
        <w:tc>
          <w:tcPr>
            <w:tcW w:w="10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8"/>
              </w:rPr>
              <w:t>CUSIP</w:t>
            </w:r>
          </w:p>
        </w:tc>
        <w:tc>
          <w:tcPr>
            <w:tcW w:w="10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2"/>
              </w:rPr>
              <w:t>Issuer</w:t>
            </w:r>
          </w:p>
        </w:tc>
        <w:tc>
          <w:tcPr>
            <w:tcW w:w="12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Outstanding</w:t>
            </w:r>
          </w:p>
        </w:tc>
        <w:tc>
          <w:tcPr>
            <w:tcW w:w="8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4"/>
              </w:rPr>
              <w:t>Level</w:t>
            </w:r>
          </w:p>
        </w:tc>
        <w:tc>
          <w:tcPr>
            <w:tcW w:w="11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Consideration</w:t>
            </w: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Consideration</w:t>
            </w:r>
          </w:p>
        </w:tc>
        <w:tc>
          <w:tcPr>
            <w:tcW w:w="100" w:type="dxa"/>
            <w:vAlign w:val="bottom"/>
          </w:tcPr>
          <w:p>
            <w:pPr>
              <w:spacing w:after="0"/>
              <w:rPr>
                <w:sz w:val="11"/>
                <w:szCs w:val="11"/>
                <w:color w:val="auto"/>
              </w:rPr>
            </w:pPr>
          </w:p>
        </w:tc>
        <w:tc>
          <w:tcPr>
            <w:tcW w:w="11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2"/>
              </w:rPr>
              <w:t>Date</w:t>
            </w:r>
          </w:p>
        </w:tc>
        <w:tc>
          <w:tcPr>
            <w:tcW w:w="1000" w:type="dxa"/>
            <w:vAlign w:val="bottom"/>
            <w:gridSpan w:val="2"/>
          </w:tcPr>
          <w:p>
            <w:pPr>
              <w:jc w:val="center"/>
              <w:ind w:right="130"/>
              <w:spacing w:after="0" w:line="12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2580" w:type="dxa"/>
            <w:vAlign w:val="bottom"/>
            <w:gridSpan w:val="3"/>
            <w:shd w:val="clear" w:color="auto" w:fill="CCEEFF"/>
          </w:tcPr>
          <w:p>
            <w:pPr>
              <w:jc w:val="center"/>
              <w:ind w:right="180"/>
              <w:spacing w:after="0" w:line="178" w:lineRule="exact"/>
              <w:rPr>
                <w:sz w:val="20"/>
                <w:szCs w:val="20"/>
                <w:color w:val="auto"/>
              </w:rPr>
            </w:pPr>
            <w:r>
              <w:rPr>
                <w:rFonts w:ascii="Arial" w:cs="Arial" w:eastAsia="Arial" w:hAnsi="Arial"/>
                <w:sz w:val="18"/>
                <w:szCs w:val="18"/>
                <w:b w:val="1"/>
                <w:bCs w:val="1"/>
                <w:color w:val="auto"/>
                <w:w w:val="91"/>
              </w:rPr>
              <w:t>6.200% Notes due March 1,</w:t>
            </w:r>
          </w:p>
        </w:tc>
        <w:tc>
          <w:tcPr>
            <w:tcW w:w="900" w:type="dxa"/>
            <w:vAlign w:val="bottom"/>
            <w:shd w:val="clear" w:color="auto" w:fill="CCEEFF"/>
          </w:tcPr>
          <w:p>
            <w:pPr>
              <w:jc w:val="center"/>
              <w:spacing w:after="0" w:line="178" w:lineRule="exact"/>
              <w:rPr>
                <w:sz w:val="20"/>
                <w:szCs w:val="20"/>
                <w:color w:val="auto"/>
              </w:rPr>
            </w:pPr>
            <w:r>
              <w:rPr>
                <w:rFonts w:ascii="Arial" w:cs="Arial" w:eastAsia="Arial" w:hAnsi="Arial"/>
                <w:sz w:val="18"/>
                <w:szCs w:val="18"/>
                <w:b w:val="1"/>
                <w:bCs w:val="1"/>
                <w:color w:val="auto"/>
                <w:w w:val="92"/>
              </w:rPr>
              <w:t>760759AJ9</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line="178" w:lineRule="exact"/>
              <w:rPr>
                <w:sz w:val="20"/>
                <w:szCs w:val="20"/>
                <w:color w:val="auto"/>
              </w:rPr>
            </w:pPr>
            <w:r>
              <w:rPr>
                <w:rFonts w:ascii="Arial" w:cs="Arial" w:eastAsia="Arial" w:hAnsi="Arial"/>
                <w:sz w:val="18"/>
                <w:szCs w:val="18"/>
                <w:b w:val="1"/>
                <w:bCs w:val="1"/>
                <w:color w:val="auto"/>
                <w:w w:val="92"/>
              </w:rPr>
              <w:t>Republic</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Arial" w:cs="Arial" w:eastAsia="Arial" w:hAnsi="Arial"/>
                <w:sz w:val="18"/>
                <w:szCs w:val="18"/>
                <w:b w:val="1"/>
                <w:bCs w:val="1"/>
                <w:color w:val="auto"/>
                <w:w w:val="90"/>
              </w:rPr>
              <w:t>$650,000,000</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line="178" w:lineRule="exact"/>
              <w:rPr>
                <w:sz w:val="20"/>
                <w:szCs w:val="20"/>
                <w:color w:val="auto"/>
              </w:rPr>
            </w:pPr>
            <w:r>
              <w:rPr>
                <w:rFonts w:ascii="Arial" w:cs="Arial" w:eastAsia="Arial" w:hAnsi="Arial"/>
                <w:sz w:val="18"/>
                <w:szCs w:val="18"/>
                <w:b w:val="1"/>
                <w:bCs w:val="1"/>
                <w:color w:val="auto"/>
                <w:w w:val="99"/>
              </w:rPr>
              <w:t>1</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b w:val="1"/>
                <w:bCs w:val="1"/>
                <w:color w:val="auto"/>
                <w:w w:val="96"/>
              </w:rPr>
              <w:t>1,338.33</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b w:val="1"/>
                <w:bCs w:val="1"/>
                <w:color w:val="auto"/>
                <w:w w:val="99"/>
              </w:rPr>
              <w:t>1,288.33</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b w:val="1"/>
                <w:bCs w:val="1"/>
                <w:color w:val="auto"/>
                <w:w w:val="87"/>
              </w:rPr>
              <w:t>250,073,000</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b w:val="1"/>
                <w:bCs w:val="1"/>
                <w:color w:val="auto"/>
              </w:rPr>
              <w:t>38.47</w:t>
            </w:r>
          </w:p>
        </w:tc>
        <w:tc>
          <w:tcPr>
            <w:tcW w:w="22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258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2040</w:t>
            </w: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3"/>
              </w:rPr>
              <w:t>and</w:t>
            </w:r>
          </w:p>
        </w:tc>
        <w:tc>
          <w:tcPr>
            <w:tcW w:w="10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85"/>
              </w:rPr>
              <w:t>Services,</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3"/>
              </w:rPr>
              <w:t>760759AK6</w:t>
            </w: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6"/>
              </w:rPr>
              <w:t>Inc.</w:t>
            </w: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580" w:type="dxa"/>
            <w:vAlign w:val="bottom"/>
            <w:gridSpan w:val="3"/>
          </w:tcPr>
          <w:p>
            <w:pPr>
              <w:jc w:val="center"/>
              <w:ind w:right="180"/>
              <w:spacing w:after="0" w:line="198" w:lineRule="exact"/>
              <w:rPr>
                <w:sz w:val="20"/>
                <w:szCs w:val="20"/>
                <w:color w:val="auto"/>
              </w:rPr>
            </w:pPr>
            <w:r>
              <w:rPr>
                <w:rFonts w:ascii="Arial" w:cs="Arial" w:eastAsia="Arial" w:hAnsi="Arial"/>
                <w:sz w:val="18"/>
                <w:szCs w:val="18"/>
                <w:b w:val="1"/>
                <w:bCs w:val="1"/>
                <w:color w:val="auto"/>
                <w:w w:val="91"/>
              </w:rPr>
              <w:t>5.700% Notes due May 15,</w:t>
            </w:r>
          </w:p>
        </w:tc>
        <w:tc>
          <w:tcPr>
            <w:tcW w:w="108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3"/>
              </w:rPr>
              <w:t>760759AN0</w:t>
            </w:r>
          </w:p>
        </w:tc>
        <w:tc>
          <w:tcPr>
            <w:tcW w:w="100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2"/>
              </w:rPr>
              <w:t>Republic</w:t>
            </w:r>
          </w:p>
        </w:tc>
        <w:tc>
          <w:tcPr>
            <w:tcW w:w="128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0"/>
              </w:rPr>
              <w:t>$600,000,000</w:t>
            </w:r>
          </w:p>
        </w:tc>
        <w:tc>
          <w:tcPr>
            <w:tcW w:w="7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9"/>
              </w:rPr>
              <w:t>2</w:t>
            </w:r>
          </w:p>
        </w:tc>
        <w:tc>
          <w:tcPr>
            <w:tcW w:w="160" w:type="dxa"/>
            <w:vAlign w:val="bottom"/>
          </w:tcPr>
          <w:p>
            <w:pPr>
              <w:spacing w:after="0"/>
              <w:rPr>
                <w:sz w:val="17"/>
                <w:szCs w:val="17"/>
                <w:color w:val="auto"/>
              </w:rPr>
            </w:pPr>
          </w:p>
        </w:tc>
        <w:tc>
          <w:tcPr>
            <w:tcW w:w="180" w:type="dxa"/>
            <w:vAlign w:val="bottom"/>
          </w:tcPr>
          <w:p>
            <w:pPr>
              <w:spacing w:after="0" w:line="198"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6"/>
              </w:rPr>
              <w:t>1,276.00</w:t>
            </w:r>
          </w:p>
        </w:tc>
        <w:tc>
          <w:tcPr>
            <w:tcW w:w="160" w:type="dxa"/>
            <w:vAlign w:val="bottom"/>
          </w:tcPr>
          <w:p>
            <w:pPr>
              <w:spacing w:after="0" w:line="198"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9"/>
              </w:rPr>
              <w:t>1,226.00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87"/>
              </w:rPr>
              <w:t>214,330,000</w:t>
            </w:r>
          </w:p>
        </w:tc>
        <w:tc>
          <w:tcPr>
            <w:tcW w:w="10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rPr>
              <w:t>35.72%</w:t>
            </w:r>
          </w:p>
        </w:tc>
        <w:tc>
          <w:tcPr>
            <w:tcW w:w="0" w:type="dxa"/>
            <w:vAlign w:val="bottom"/>
          </w:tcPr>
          <w:p>
            <w:pPr>
              <w:spacing w:after="0"/>
              <w:rPr>
                <w:sz w:val="1"/>
                <w:szCs w:val="1"/>
                <w:color w:val="auto"/>
              </w:rPr>
            </w:pPr>
          </w:p>
        </w:tc>
      </w:tr>
      <w:tr>
        <w:trPr>
          <w:trHeight w:val="216"/>
        </w:trPr>
        <w:tc>
          <w:tcPr>
            <w:tcW w:w="2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2041</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Services,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Inc.</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80" w:type="dxa"/>
            <w:vAlign w:val="bottom"/>
            <w:gridSpan w:val="3"/>
            <w:shd w:val="clear" w:color="auto" w:fill="CCEEFF"/>
          </w:tcPr>
          <w:p>
            <w:pPr>
              <w:jc w:val="center"/>
              <w:ind w:right="180"/>
              <w:spacing w:after="0" w:line="198" w:lineRule="exact"/>
              <w:rPr>
                <w:sz w:val="20"/>
                <w:szCs w:val="20"/>
                <w:color w:val="auto"/>
              </w:rPr>
            </w:pPr>
            <w:r>
              <w:rPr>
                <w:rFonts w:ascii="Arial" w:cs="Arial" w:eastAsia="Arial" w:hAnsi="Arial"/>
                <w:sz w:val="18"/>
                <w:szCs w:val="18"/>
                <w:b w:val="1"/>
                <w:bCs w:val="1"/>
                <w:color w:val="auto"/>
                <w:w w:val="91"/>
              </w:rPr>
              <w:t>7.400% Debentures due</w:t>
            </w:r>
          </w:p>
        </w:tc>
        <w:tc>
          <w:tcPr>
            <w:tcW w:w="1080" w:type="dxa"/>
            <w:vAlign w:val="bottom"/>
            <w:gridSpan w:val="2"/>
            <w:shd w:val="clear" w:color="auto" w:fill="CCEEFF"/>
          </w:tcPr>
          <w:p>
            <w:pPr>
              <w:jc w:val="center"/>
              <w:ind w:right="180"/>
              <w:spacing w:after="0" w:line="198" w:lineRule="exact"/>
              <w:rPr>
                <w:sz w:val="20"/>
                <w:szCs w:val="20"/>
                <w:color w:val="auto"/>
              </w:rPr>
            </w:pPr>
            <w:r>
              <w:rPr>
                <w:rFonts w:ascii="Arial" w:cs="Arial" w:eastAsia="Arial" w:hAnsi="Arial"/>
                <w:sz w:val="18"/>
                <w:szCs w:val="18"/>
                <w:b w:val="1"/>
                <w:bCs w:val="1"/>
                <w:color w:val="auto"/>
                <w:w w:val="93"/>
              </w:rPr>
              <w:t>115885AK1</w:t>
            </w:r>
          </w:p>
        </w:tc>
        <w:tc>
          <w:tcPr>
            <w:tcW w:w="1000" w:type="dxa"/>
            <w:vAlign w:val="bottom"/>
            <w:gridSpan w:val="2"/>
            <w:shd w:val="clear" w:color="auto" w:fill="CCEEFF"/>
          </w:tcPr>
          <w:p>
            <w:pPr>
              <w:jc w:val="center"/>
              <w:ind w:right="180"/>
              <w:spacing w:after="0" w:line="198" w:lineRule="exact"/>
              <w:rPr>
                <w:sz w:val="20"/>
                <w:szCs w:val="20"/>
                <w:color w:val="auto"/>
              </w:rPr>
            </w:pPr>
            <w:r>
              <w:rPr>
                <w:rFonts w:ascii="Arial" w:cs="Arial" w:eastAsia="Arial" w:hAnsi="Arial"/>
                <w:sz w:val="18"/>
                <w:szCs w:val="18"/>
                <w:b w:val="1"/>
                <w:bCs w:val="1"/>
                <w:color w:val="auto"/>
                <w:w w:val="92"/>
              </w:rPr>
              <w:t>Browning-</w:t>
            </w:r>
          </w:p>
        </w:tc>
        <w:tc>
          <w:tcPr>
            <w:tcW w:w="1280" w:type="dxa"/>
            <w:vAlign w:val="bottom"/>
            <w:gridSpan w:val="2"/>
            <w:shd w:val="clear" w:color="auto" w:fill="CCEEFF"/>
          </w:tcPr>
          <w:p>
            <w:pPr>
              <w:jc w:val="center"/>
              <w:ind w:right="280"/>
              <w:spacing w:after="0" w:line="198" w:lineRule="exact"/>
              <w:rPr>
                <w:sz w:val="20"/>
                <w:szCs w:val="20"/>
                <w:color w:val="auto"/>
              </w:rPr>
            </w:pPr>
            <w:r>
              <w:rPr>
                <w:rFonts w:ascii="Arial" w:cs="Arial" w:eastAsia="Arial" w:hAnsi="Arial"/>
                <w:sz w:val="18"/>
                <w:szCs w:val="18"/>
                <w:b w:val="1"/>
                <w:bCs w:val="1"/>
                <w:color w:val="auto"/>
                <w:w w:val="90"/>
              </w:rPr>
              <w:t>$165,200,000</w:t>
            </w:r>
          </w:p>
        </w:tc>
        <w:tc>
          <w:tcPr>
            <w:tcW w:w="72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9"/>
              </w:rPr>
              <w:t>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80"/>
              <w:spacing w:after="0" w:line="198" w:lineRule="exact"/>
              <w:rPr>
                <w:sz w:val="20"/>
                <w:szCs w:val="20"/>
                <w:color w:val="auto"/>
              </w:rPr>
            </w:pPr>
            <w:r>
              <w:rPr>
                <w:rFonts w:ascii="Arial" w:cs="Arial" w:eastAsia="Arial" w:hAnsi="Arial"/>
                <w:sz w:val="18"/>
                <w:szCs w:val="18"/>
                <w:b w:val="1"/>
                <w:bCs w:val="1"/>
                <w:color w:val="auto"/>
                <w:w w:val="96"/>
              </w:rPr>
              <w:t>1,422.21</w:t>
            </w:r>
          </w:p>
        </w:tc>
        <w:tc>
          <w:tcPr>
            <w:tcW w:w="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80"/>
              <w:spacing w:after="0" w:line="198" w:lineRule="exact"/>
              <w:rPr>
                <w:sz w:val="20"/>
                <w:szCs w:val="20"/>
                <w:color w:val="auto"/>
              </w:rPr>
            </w:pPr>
            <w:r>
              <w:rPr>
                <w:rFonts w:ascii="Arial" w:cs="Arial" w:eastAsia="Arial" w:hAnsi="Arial"/>
                <w:sz w:val="18"/>
                <w:szCs w:val="18"/>
                <w:b w:val="1"/>
                <w:bCs w:val="1"/>
                <w:color w:val="auto"/>
                <w:w w:val="99"/>
              </w:rPr>
              <w:t>1,372.21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80"/>
              <w:spacing w:after="0" w:line="198" w:lineRule="exact"/>
              <w:rPr>
                <w:sz w:val="20"/>
                <w:szCs w:val="20"/>
                <w:color w:val="auto"/>
              </w:rPr>
            </w:pPr>
            <w:r>
              <w:rPr>
                <w:rFonts w:ascii="Arial" w:cs="Arial" w:eastAsia="Arial" w:hAnsi="Arial"/>
                <w:sz w:val="18"/>
                <w:szCs w:val="18"/>
                <w:b w:val="1"/>
                <w:bCs w:val="1"/>
                <w:color w:val="auto"/>
                <w:w w:val="97"/>
              </w:rPr>
              <w:t>17,215,000</w:t>
            </w:r>
          </w:p>
        </w:tc>
        <w:tc>
          <w:tcPr>
            <w:tcW w:w="1000" w:type="dxa"/>
            <w:vAlign w:val="bottom"/>
            <w:gridSpan w:val="2"/>
            <w:shd w:val="clear" w:color="auto" w:fill="CCEEFF"/>
          </w:tcPr>
          <w:p>
            <w:pPr>
              <w:jc w:val="right"/>
              <w:spacing w:after="0" w:line="198" w:lineRule="exact"/>
              <w:rPr>
                <w:sz w:val="20"/>
                <w:szCs w:val="20"/>
                <w:color w:val="auto"/>
              </w:rPr>
            </w:pPr>
            <w:r>
              <w:rPr>
                <w:rFonts w:ascii="Arial" w:cs="Arial" w:eastAsia="Arial" w:hAnsi="Arial"/>
                <w:sz w:val="18"/>
                <w:szCs w:val="18"/>
                <w:b w:val="1"/>
                <w:bCs w:val="1"/>
                <w:color w:val="auto"/>
              </w:rPr>
              <w:t>10.42%</w:t>
            </w:r>
          </w:p>
        </w:tc>
        <w:tc>
          <w:tcPr>
            <w:tcW w:w="0" w:type="dxa"/>
            <w:vAlign w:val="bottom"/>
          </w:tcPr>
          <w:p>
            <w:pPr>
              <w:spacing w:after="0"/>
              <w:rPr>
                <w:sz w:val="1"/>
                <w:szCs w:val="1"/>
                <w:color w:val="auto"/>
              </w:rPr>
            </w:pPr>
          </w:p>
        </w:tc>
      </w:tr>
      <w:tr>
        <w:trPr>
          <w:trHeight w:val="216"/>
        </w:trPr>
        <w:tc>
          <w:tcPr>
            <w:tcW w:w="258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September 15, 2035</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1"/>
              </w:rPr>
              <w:t>Ferris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0"/>
              </w:rPr>
              <w:t>Industries,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rPr>
              <w:t>LLC</w:t>
            </w: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80" w:type="dxa"/>
            <w:vAlign w:val="bottom"/>
            <w:gridSpan w:val="3"/>
          </w:tcPr>
          <w:p>
            <w:pPr>
              <w:jc w:val="center"/>
              <w:ind w:right="160"/>
              <w:spacing w:after="0" w:line="198" w:lineRule="exact"/>
              <w:rPr>
                <w:sz w:val="20"/>
                <w:szCs w:val="20"/>
                <w:color w:val="auto"/>
              </w:rPr>
            </w:pPr>
            <w:r>
              <w:rPr>
                <w:rFonts w:ascii="Arial" w:cs="Arial" w:eastAsia="Arial" w:hAnsi="Arial"/>
                <w:sz w:val="18"/>
                <w:szCs w:val="18"/>
                <w:b w:val="1"/>
                <w:bCs w:val="1"/>
                <w:color w:val="auto"/>
                <w:w w:val="92"/>
              </w:rPr>
              <w:t>6.086% Notes due March 15,</w:t>
            </w:r>
          </w:p>
        </w:tc>
        <w:tc>
          <w:tcPr>
            <w:tcW w:w="108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1"/>
              </w:rPr>
              <w:t>760759AF7</w:t>
            </w:r>
          </w:p>
        </w:tc>
        <w:tc>
          <w:tcPr>
            <w:tcW w:w="100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2"/>
              </w:rPr>
              <w:t>Republic</w:t>
            </w:r>
          </w:p>
        </w:tc>
        <w:tc>
          <w:tcPr>
            <w:tcW w:w="128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0"/>
              </w:rPr>
              <w:t>$275,674,000</w:t>
            </w:r>
          </w:p>
        </w:tc>
        <w:tc>
          <w:tcPr>
            <w:tcW w:w="7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9"/>
              </w:rPr>
              <w:t>4</w:t>
            </w:r>
          </w:p>
        </w:tc>
        <w:tc>
          <w:tcPr>
            <w:tcW w:w="160" w:type="dxa"/>
            <w:vAlign w:val="bottom"/>
          </w:tcPr>
          <w:p>
            <w:pPr>
              <w:spacing w:after="0"/>
              <w:rPr>
                <w:sz w:val="17"/>
                <w:szCs w:val="17"/>
                <w:color w:val="auto"/>
              </w:rPr>
            </w:pPr>
          </w:p>
        </w:tc>
        <w:tc>
          <w:tcPr>
            <w:tcW w:w="180" w:type="dxa"/>
            <w:vAlign w:val="bottom"/>
          </w:tcPr>
          <w:p>
            <w:pPr>
              <w:spacing w:after="0" w:line="198"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6"/>
              </w:rPr>
              <w:t>1,275.94</w:t>
            </w:r>
          </w:p>
        </w:tc>
        <w:tc>
          <w:tcPr>
            <w:tcW w:w="160" w:type="dxa"/>
            <w:vAlign w:val="bottom"/>
          </w:tcPr>
          <w:p>
            <w:pPr>
              <w:spacing w:after="0" w:line="198"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9"/>
              </w:rPr>
              <w:t>1,225.94</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7"/>
              </w:rPr>
              <w:t>93,782,000</w:t>
            </w:r>
          </w:p>
        </w:tc>
        <w:tc>
          <w:tcPr>
            <w:tcW w:w="10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rPr>
              <w:t>34.02%</w:t>
            </w:r>
          </w:p>
        </w:tc>
        <w:tc>
          <w:tcPr>
            <w:tcW w:w="0" w:type="dxa"/>
            <w:vAlign w:val="bottom"/>
          </w:tcPr>
          <w:p>
            <w:pPr>
              <w:spacing w:after="0"/>
              <w:rPr>
                <w:sz w:val="1"/>
                <w:szCs w:val="1"/>
                <w:color w:val="auto"/>
              </w:rPr>
            </w:pPr>
          </w:p>
        </w:tc>
      </w:tr>
      <w:tr>
        <w:trPr>
          <w:trHeight w:val="216"/>
        </w:trPr>
        <w:tc>
          <w:tcPr>
            <w:tcW w:w="2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2035</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Services,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Inc.</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accepted all $575,400,000 combined aggregate principal amount of Notes validly tendered and not withdrawn as of the Expiration Date.</w:t>
      </w:r>
    </w:p>
    <w:p>
      <w:pPr>
        <w:sectPr>
          <w:pgSz w:w="11900" w:h="16838" w:orient="portrait"/>
          <w:cols w:equalWidth="0" w:num="1">
            <w:col w:w="11420"/>
          </w:cols>
          <w:pgMar w:left="240" w:top="121" w:right="239" w:bottom="1440" w:gutter="0" w:footer="0" w:header="0"/>
        </w:sectPr>
      </w:pPr>
    </w:p>
    <w:bookmarkStart w:id="31" w:name="page32"/>
    <w:bookmarkEnd w:id="31"/>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Total Consideration for each series of Notes is set forth in the table above, and is payable to holders of the Notes who validly tendered and did not validly withdraw their Notes at or prior to 5:00 p.m. ET on June 17, 2016 (the “Early Tender Time”), and whose Notes were accepted for purchase. The Total Consideration for each series of Notes includes an Early Tender Payment of $50 per $1,000 principal amount of Notes validly tendered and not validly withdrawn by such holders at or prior to the Early Tender Time and accepted for purchase. Holders of Notes who validly tendered their Notes after the Early Tender Time but at or prior to 11:59 p.m. ET on July 1, 2016 (the “Expiration Time”), and whose Notes were accepted for purchase will receive the applicable Tender Offer Consideration, which is equal to the applicable Total Consideration minus the Early Tender Payment.</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Holders whose Notes are purchased pursuant to the tender offers will also receive accrued and unpaid interest on their purchased Notes from the last interest payment date for such Notes to, but not including, the payment date for such purchased Notes. The conditions to the tender offers have been satisfied; therefore, payment for the purchased Notes will be made today.</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Republic has retained Barclays Capital, BofA Merrill Lynch and J.P. Morgan to serve as the Dealer Managers for the tender offers. Barclays Capital may be contacted at (800) 438-3242 (toll free) or (212) 528-7581 (collect), BofA Merrill Lynch may be contacted at (888) 292-0070 (toll free) or (980) 387-3907 (collect) and J.P. Morgan may be contacted at (866) 834-4666 (toll free) or (212) 834-3424 (collect). Republic has also retained Global Bondholder Services Company as Tender Agent and Information Agent.</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press release is not an offer to purchase or a solicitation of offers to sell any securities, which may be made only pursuant to the terms of the Offer to Purchase and the Letter of Transmittal. The tender offers do not constitute an offer to purchase Notes in any jurisdiction in which, or to or from any person to or from whom, it is unlawful to make such offer or solicitation under applicable securities or blue sky laws.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Republic Services: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Republic Services, Inc. is an industry leader in U.S. recycling and non-hazardous solid waste. Through its subsidiaries, Republic’s collection companies, recycling centers, transfer stations and landfills focus on providing effective solutions to make proper waste disposal effortless for their 14 million customers. </w:t>
      </w:r>
      <w:r>
        <w:rPr>
          <w:rFonts w:ascii="Arial" w:cs="Arial" w:eastAsia="Arial" w:hAnsi="Arial"/>
          <w:sz w:val="18"/>
          <w:szCs w:val="18"/>
          <w:i w:val="1"/>
          <w:iCs w:val="1"/>
          <w:color w:val="auto"/>
        </w:rPr>
        <w:t>We’ll handle it from here</w:t>
      </w:r>
      <w:r>
        <w:rPr>
          <w:rFonts w:ascii="Arial" w:cs="Arial" w:eastAsia="Arial" w:hAnsi="Arial"/>
          <w:sz w:val="18"/>
          <w:szCs w:val="18"/>
          <w:color w:val="auto"/>
        </w:rPr>
        <w:t>.</w:t>
      </w:r>
      <w:r>
        <w:rPr>
          <w:rFonts w:ascii="Arial" w:cs="Arial" w:eastAsia="Arial" w:hAnsi="Arial"/>
          <w:sz w:val="15"/>
          <w:szCs w:val="15"/>
          <w:color w:val="auto"/>
        </w:rPr>
        <w:t>TM</w:t>
      </w:r>
      <w:r>
        <w:rPr>
          <w:rFonts w:ascii="Arial" w:cs="Arial" w:eastAsia="Arial" w:hAnsi="Arial"/>
          <w:sz w:val="18"/>
          <w:szCs w:val="18"/>
          <w:color w:val="auto"/>
        </w:rPr>
        <w:t>, the brand’s promise, lets customers know they can count on Republic to provide a superior experience while fostering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sustainable </w:t>
      </w:r>
      <w:r>
        <w:rPr>
          <w:rFonts w:ascii="Arial" w:cs="Arial" w:eastAsia="Arial" w:hAnsi="Arial"/>
          <w:sz w:val="18"/>
          <w:szCs w:val="18"/>
          <w:i w:val="1"/>
          <w:iCs w:val="1"/>
          <w:color w:val="auto"/>
        </w:rPr>
        <w:t>Blue Planet</w:t>
      </w:r>
      <w:r>
        <w:rPr>
          <w:rFonts w:ascii="Arial" w:cs="Arial" w:eastAsia="Arial" w:hAnsi="Arial"/>
          <w:sz w:val="15"/>
          <w:szCs w:val="15"/>
          <w:color w:val="auto"/>
        </w:rPr>
        <w:t>TM</w:t>
      </w:r>
      <w:r>
        <w:rPr>
          <w:rFonts w:ascii="Arial" w:cs="Arial" w:eastAsia="Arial" w:hAnsi="Arial"/>
          <w:sz w:val="18"/>
          <w:szCs w:val="18"/>
          <w:color w:val="auto"/>
        </w:rPr>
        <w:t xml:space="preserve"> for future generations to enjoy a cleaner, safer and healthier world.</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more information, visit the Republic Services website at RepublicServices.com. “Like” Republic on Facebook at www.facebook.com/RepublicServices and follow on Twitter @RepublicService.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Forward Looking Statements: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disclosures in this press release include “forward looking statements” within the meaning of the federal securities laws concerning the proposed tender offers. The terms of, and Republic’s ability to complete, such transactions will depend upon prevailing market conditions and other factors. The forward-looking statements are subject to these and other risks and uncertainties that could cause actual results to differ materially from future results expressed or implied by such forward-looking statements.</w:t>
      </w:r>
    </w:p>
    <w:p>
      <w:pPr>
        <w:sectPr>
          <w:pgSz w:w="11900" w:h="16838" w:orient="portrait"/>
          <w:cols w:equalWidth="0" w:num="1">
            <w:col w:w="11420"/>
          </w:cols>
          <w:pgMar w:left="240" w:top="274"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For more information, contact:</w:t>
            </w:r>
          </w:p>
        </w:tc>
        <w:tc>
          <w:tcPr>
            <w:tcW w:w="27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Media Inquiries</w:t>
            </w:r>
          </w:p>
        </w:tc>
        <w:tc>
          <w:tcPr>
            <w:tcW w:w="5320" w:type="dxa"/>
            <w:vAlign w:val="bottom"/>
            <w:gridSpan w:val="3"/>
          </w:tcPr>
          <w:p>
            <w:pPr>
              <w:ind w:left="2780"/>
              <w:spacing w:after="0"/>
              <w:rPr>
                <w:sz w:val="20"/>
                <w:szCs w:val="20"/>
                <w:color w:val="auto"/>
              </w:rPr>
            </w:pPr>
            <w:r>
              <w:rPr>
                <w:rFonts w:ascii="Arial" w:cs="Arial" w:eastAsia="Arial" w:hAnsi="Arial"/>
                <w:sz w:val="18"/>
                <w:szCs w:val="18"/>
                <w:color w:val="auto"/>
              </w:rPr>
              <w:t>Investor Inquiries</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Darcie Brossart (480) 627-2700</w:t>
            </w:r>
          </w:p>
        </w:tc>
        <w:tc>
          <w:tcPr>
            <w:tcW w:w="5320" w:type="dxa"/>
            <w:vAlign w:val="bottom"/>
            <w:gridSpan w:val="3"/>
          </w:tcPr>
          <w:p>
            <w:pPr>
              <w:ind w:left="2780"/>
              <w:spacing w:after="0"/>
              <w:rPr>
                <w:sz w:val="20"/>
                <w:szCs w:val="20"/>
                <w:color w:val="auto"/>
              </w:rPr>
            </w:pPr>
            <w:r>
              <w:rPr>
                <w:rFonts w:ascii="Arial" w:cs="Arial" w:eastAsia="Arial" w:hAnsi="Arial"/>
                <w:sz w:val="18"/>
                <w:szCs w:val="18"/>
                <w:color w:val="auto"/>
                <w:w w:val="92"/>
              </w:rPr>
              <w:t>Brian DelGhiaccio (480) 627-2741</w:t>
            </w:r>
          </w:p>
        </w:tc>
      </w:tr>
      <w:tr>
        <w:trPr>
          <w:trHeight w:val="190"/>
        </w:trPr>
        <w:tc>
          <w:tcPr>
            <w:tcW w:w="4000" w:type="dxa"/>
            <w:vAlign w:val="bottom"/>
            <w:gridSpan w:val="2"/>
          </w:tcPr>
          <w:p>
            <w:pPr>
              <w:spacing w:after="0" w:line="190" w:lineRule="exact"/>
              <w:rPr>
                <w:sz w:val="20"/>
                <w:szCs w:val="20"/>
                <w:color w:val="auto"/>
              </w:rPr>
            </w:pPr>
            <w:r>
              <w:rPr>
                <w:rFonts w:ascii="Arial" w:cs="Arial" w:eastAsia="Arial" w:hAnsi="Arial"/>
                <w:sz w:val="18"/>
                <w:szCs w:val="18"/>
                <w:color w:val="auto"/>
              </w:rPr>
              <w:t>media@RepublicServices.com</w:t>
            </w:r>
          </w:p>
        </w:tc>
        <w:tc>
          <w:tcPr>
            <w:tcW w:w="5320" w:type="dxa"/>
            <w:vAlign w:val="bottom"/>
            <w:gridSpan w:val="3"/>
          </w:tcPr>
          <w:p>
            <w:pPr>
              <w:ind w:left="2780"/>
              <w:spacing w:after="0" w:line="190" w:lineRule="exact"/>
              <w:rPr>
                <w:sz w:val="20"/>
                <w:szCs w:val="20"/>
                <w:color w:val="auto"/>
              </w:rPr>
            </w:pPr>
            <w:r>
              <w:rPr>
                <w:rFonts w:ascii="Arial" w:cs="Arial" w:eastAsia="Arial" w:hAnsi="Arial"/>
                <w:sz w:val="18"/>
                <w:szCs w:val="18"/>
                <w:color w:val="auto"/>
                <w:w w:val="97"/>
              </w:rPr>
              <w:t>investor@RepublicServices.com</w:t>
            </w:r>
          </w:p>
        </w:tc>
      </w:tr>
      <w:tr>
        <w:trPr>
          <w:trHeight w:val="453"/>
        </w:trPr>
        <w:tc>
          <w:tcPr>
            <w:tcW w:w="222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278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23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lowerLetter"/>
      <w:start w:val="4"/>
    </w:lvl>
  </w:abstractNum>
  <w:abstractNum w:abstractNumId="2">
    <w:nsid w:val="4E6AFB66"/>
    <w:multiLevelType w:val="hybridMultilevel"/>
    <w:lvl w:ilvl="0">
      <w:lvlJc w:val="left"/>
      <w:lvlText w:val="(%1)"/>
      <w:numFmt w:val="upperLetter"/>
      <w:start w:val="1"/>
    </w:lvl>
    <w:lvl w:ilvl="1">
      <w:lvlJc w:val="left"/>
      <w:lvlText w:val="-"/>
      <w:numFmt w:val="bullet"/>
      <w:start w:val="1"/>
    </w:lvl>
  </w:abstractNum>
  <w:abstractNum w:abstractNumId="3">
    <w:nsid w:val="25E45D32"/>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4">
    <w:nsid w:val="519B500D"/>
    <w:multiLevelType w:val="hybridMultilevel"/>
    <w:lvl w:ilvl="0">
      <w:lvlJc w:val="left"/>
      <w:lvlText w:val="%1."/>
      <w:numFmt w:val="decimal"/>
      <w:start w:val="4"/>
    </w:lvl>
  </w:abstractNum>
  <w:abstractNum w:abstractNumId="5">
    <w:nsid w:val="431BD7B7"/>
    <w:multiLevelType w:val="hybridMultilevel"/>
    <w:lvl w:ilvl="0">
      <w:lvlJc w:val="left"/>
      <w:lvlText w:val="(%1)"/>
      <w:numFmt w:val="upperLetter"/>
      <w:start w:val="3"/>
    </w:lvl>
  </w:abstractNum>
  <w:abstractNum w:abstractNumId="6">
    <w:nsid w:val="3F2DBA31"/>
    <w:multiLevelType w:val="hybridMultilevel"/>
    <w:lvl w:ilvl="0">
      <w:lvlJc w:val="left"/>
      <w:lvlText w:val="(%1)"/>
      <w:numFmt w:val="upperLetter"/>
      <w:start w:val="5"/>
    </w:lvl>
    <w:lvl w:ilvl="1">
      <w:lvlJc w:val="left"/>
      <w:lvlText w:val="(%2)"/>
      <w:numFmt w:val="lowerLetter"/>
      <w:start w:val="1"/>
    </w:lvl>
  </w:abstractNum>
  <w:abstractNum w:abstractNumId="7">
    <w:nsid w:val="7C83E458"/>
    <w:multiLevelType w:val="hybridMultilevel"/>
    <w:lvl w:ilvl="0">
      <w:lvlJc w:val="left"/>
      <w:lvlText w:val="(%1)"/>
      <w:numFmt w:val="upperLetter"/>
      <w:start w:val="8"/>
    </w:lvl>
  </w:abstractNum>
  <w:abstractNum w:abstractNumId="8">
    <w:nsid w:val="257130A3"/>
    <w:multiLevelType w:val="hybridMultilevel"/>
    <w:lvl w:ilvl="0">
      <w:lvlJc w:val="left"/>
      <w:lvlText w:val="(%1)"/>
      <w:numFmt w:val="decimal"/>
      <w:start w:val="1"/>
    </w:lvl>
    <w:lvl w:ilvl="1">
      <w:lvlJc w:val="left"/>
      <w:lvlText w:val="-"/>
      <w:numFmt w:val="bullet"/>
      <w:start w:val="1"/>
    </w:lvl>
  </w:abstractNum>
  <w:abstractNum w:abstractNumId="9">
    <w:nsid w:val="62BBD95A"/>
    <w:multiLevelType w:val="hybridMultilevel"/>
    <w:lvl w:ilvl="0">
      <w:lvlJc w:val="left"/>
      <w:lvlText w:val="(%1)"/>
      <w:numFmt w:val="decimal"/>
      <w:start w:val="2"/>
    </w:lvl>
  </w:abstractNum>
  <w:abstractNum w:abstractNumId="10">
    <w:nsid w:val="436C6125"/>
    <w:multiLevelType w:val="hybridMultilevel"/>
    <w:lvl w:ilvl="0">
      <w:lvlJc w:val="left"/>
      <w:lvlText w:val="%1"/>
      <w:numFmt w:val="upperLetter"/>
      <w:start w:val="1"/>
    </w:lvl>
    <w:lvl w:ilvl="1">
      <w:lvlJc w:val="left"/>
      <w:lvlText w:val="(%2)"/>
      <w:numFmt w:val="lowerLetter"/>
      <w:start w:val="2"/>
    </w:lvl>
  </w:abstractNum>
  <w:abstractNum w:abstractNumId="11">
    <w:nsid w:val="628C895D"/>
    <w:multiLevelType w:val="hybridMultilevel"/>
    <w:lvl w:ilvl="0">
      <w:lvlJc w:val="left"/>
      <w:lvlText w:val="(%1)"/>
      <w:numFmt w:val="upperLetter"/>
      <w:start w:val="9"/>
    </w:lvl>
    <w:lvl w:ilvl="1">
      <w:lvlJc w:val="left"/>
      <w:lvlText w:val="%2"/>
      <w:numFmt w:val="lowerLetter"/>
      <w:start w:val="1"/>
    </w:lvl>
  </w:abstractNum>
  <w:abstractNum w:abstractNumId="12">
    <w:nsid w:val="333AB105"/>
    <w:multiLevelType w:val="hybridMultilevel"/>
    <w:lvl w:ilvl="0">
      <w:lvlJc w:val="left"/>
      <w:lvlText w:val="(%1)"/>
      <w:numFmt w:val="upperLetter"/>
      <w:start w:val="10"/>
    </w:lvl>
  </w:abstractNum>
  <w:abstractNum w:abstractNumId="13">
    <w:nsid w:val="721DA317"/>
    <w:multiLevelType w:val="hybridMultilevel"/>
    <w:lvl w:ilvl="0">
      <w:lvlJc w:val="left"/>
      <w:lvlText w:val="(%1)"/>
      <w:numFmt w:val="lowerLetter"/>
      <w:start w:val="1"/>
    </w:lvl>
    <w:lvl w:ilvl="1">
      <w:lvlJc w:val="left"/>
      <w:lvlText w:val="-"/>
      <w:numFmt w:val="bullet"/>
      <w:start w:val="1"/>
    </w:lvl>
  </w:abstractNum>
  <w:abstractNum w:abstractNumId="14">
    <w:nsid w:val="2443A858"/>
    <w:multiLevelType w:val="hybridMultilevel"/>
    <w:lvl w:ilvl="0">
      <w:lvlJc w:val="left"/>
      <w:lvlText w:val="(%1)"/>
      <w:numFmt w:val="lowerLetter"/>
      <w:start w:val="2"/>
    </w:lvl>
  </w:abstractNum>
  <w:abstractNum w:abstractNumId="15">
    <w:nsid w:val="2D1D5AE9"/>
    <w:multiLevelType w:val="hybridMultilevel"/>
    <w:lvl w:ilvl="0">
      <w:lvlJc w:val="left"/>
      <w:lvlText w:val="(%1)"/>
      <w:numFmt w:val="lowerLetter"/>
      <w:start w:val="9"/>
    </w:lvl>
    <w:lvl w:ilvl="1">
      <w:lvlJc w:val="left"/>
      <w:lvlText w:val="(%2)"/>
      <w:numFmt w:val="lowerRoman"/>
      <w:start w:val="2"/>
    </w:lvl>
    <w:lvl w:ilvl="2">
      <w:lvlJc w:val="left"/>
      <w:lvlText w:val="-"/>
      <w:numFmt w:val="bullet"/>
      <w:start w:val="1"/>
    </w:lvl>
  </w:abstractNum>
  <w:abstractNum w:abstractNumId="16">
    <w:nsid w:val="6763845E"/>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7">
    <w:nsid w:val="75A2A8D4"/>
    <w:multiLevelType w:val="hybridMultilevel"/>
    <w:lvl w:ilvl="0">
      <w:lvlJc w:val="left"/>
      <w:lvlText w:val="(%1)"/>
      <w:numFmt w:val="lowerLetter"/>
      <w:start w:val="9"/>
    </w:lvl>
    <w:lvl w:ilvl="1">
      <w:lvlJc w:val="left"/>
      <w:lvlText w:val="%2"/>
      <w:numFmt w:val="lowerRoman"/>
      <w:start w:val="1"/>
    </w:lvl>
    <w:lvl w:ilvl="2">
      <w:lvlJc w:val="left"/>
      <w:lvlText w:val="-"/>
      <w:numFmt w:val="bullet"/>
      <w:start w:val="1"/>
    </w:lvl>
  </w:abstractNum>
  <w:abstractNum w:abstractNumId="18">
    <w:nsid w:val="8EDBDAB"/>
    <w:multiLevelType w:val="hybridMultilevel"/>
    <w:lvl w:ilvl="0">
      <w:lvlJc w:val="left"/>
      <w:lvlText w:val="(%1)"/>
      <w:numFmt w:val="lowerRoman"/>
      <w:start w:val="2"/>
    </w:lvl>
  </w:abstractNum>
  <w:abstractNum w:abstractNumId="19">
    <w:nsid w:val="79838CB2"/>
    <w:multiLevelType w:val="hybridMultilevel"/>
    <w:lvl w:ilvl="0">
      <w:lvlJc w:val="left"/>
      <w:lvlText w:val="(%1)"/>
      <w:numFmt w:val="lowerRoman"/>
      <w:start w:val="1"/>
    </w:lvl>
  </w:abstractNum>
  <w:abstractNum w:abstractNumId="20">
    <w:nsid w:val="4353D0CD"/>
    <w:multiLevelType w:val="hybridMultilevel"/>
    <w:lvl w:ilvl="0">
      <w:lvlJc w:val="left"/>
      <w:lvlText w:val="(%1)"/>
      <w:numFmt w:val="lowerRoman"/>
      <w:start w:val="1"/>
    </w:lvl>
    <w:lvl w:ilvl="1">
      <w:lvlJc w:val="left"/>
      <w:lvlText w:val="-"/>
      <w:numFmt w:val="bullet"/>
      <w:start w:val="1"/>
    </w:lvl>
  </w:abstractNum>
  <w:abstractNum w:abstractNumId="21">
    <w:nsid w:val="B03E0C6"/>
    <w:multiLevelType w:val="hybridMultilevel"/>
    <w:lvl w:ilvl="0">
      <w:lvlJc w:val="left"/>
      <w:lvlText w:val="%1"/>
      <w:numFmt w:val="lowerLetter"/>
      <w:start w:val="1"/>
    </w:lvl>
    <w:lvl w:ilvl="1">
      <w:lvlJc w:val="left"/>
      <w:lvlText w:val="(%2)"/>
      <w:numFmt w:val="lowerLetter"/>
      <w:start w:val="61"/>
    </w:lvl>
  </w:abstractNum>
  <w:abstractNum w:abstractNumId="22">
    <w:nsid w:val="189A769B"/>
    <w:multiLevelType w:val="hybridMultilevel"/>
    <w:lvl w:ilvl="0">
      <w:lvlJc w:val="left"/>
      <w:lvlText w:val="(%1)"/>
      <w:numFmt w:val="lowerLetter"/>
      <w:start w:val="5"/>
    </w:lvl>
    <w:lvl w:ilvl="1">
      <w:lvlJc w:val="left"/>
      <w:lvlText w:val="%2"/>
      <w:numFmt w:val="lowerLetter"/>
      <w:start w:val="1"/>
    </w:lvl>
  </w:abstractNum>
  <w:abstractNum w:abstractNumId="23">
    <w:nsid w:val="54E49EB4"/>
    <w:multiLevelType w:val="hybridMultilevel"/>
    <w:lvl w:ilvl="0">
      <w:lvlJc w:val="left"/>
      <w:lvlText w:val="(%1)"/>
      <w:numFmt w:val="upperLetter"/>
      <w:start w:val="11"/>
    </w:lvl>
  </w:abstractNum>
  <w:abstractNum w:abstractNumId="24">
    <w:nsid w:val="71F32454"/>
    <w:multiLevelType w:val="hybridMultilevel"/>
    <w:lvl w:ilvl="0">
      <w:lvlJc w:val="left"/>
      <w:lvlText w:val="1"/>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2"/>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3"/>
      <w:numFmt w:val="bullet"/>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2019-12-29T10:44:13Z</dcterms:created>
  <dcterms:modified xsi:type="dcterms:W3CDTF">2019-12-29T10:44:13Z</dcterms:modified>
</cp:coreProperties>
</file>