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Republic Services,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65-0716904</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724"/>
        <w:spacing w:after="0"/>
        <w:rPr>
          <w:sz w:val="20"/>
          <w:szCs w:val="20"/>
          <w:color w:val="auto"/>
        </w:rPr>
      </w:pPr>
      <w:r>
        <w:rPr>
          <w:rFonts w:ascii="Times New Roman" w:cs="Times New Roman" w:eastAsia="Times New Roman" w:hAnsi="Times New Roman"/>
          <w:sz w:val="17"/>
          <w:szCs w:val="17"/>
          <w:b w:val="1"/>
          <w:bCs w:val="1"/>
          <w:color w:val="auto"/>
        </w:rPr>
        <w:t>5353 East City North Drive</w:t>
      </w:r>
    </w:p>
    <w:p>
      <w:pPr>
        <w:spacing w:after="0" w:line="43" w:lineRule="exact"/>
        <w:rPr>
          <w:sz w:val="24"/>
          <w:szCs w:val="24"/>
          <w:color w:val="auto"/>
        </w:rPr>
      </w:pPr>
    </w:p>
    <w:p>
      <w:pPr>
        <w:ind w:left="2124"/>
        <w:spacing w:after="0"/>
        <w:rPr>
          <w:sz w:val="20"/>
          <w:szCs w:val="20"/>
          <w:color w:val="auto"/>
        </w:rPr>
      </w:pPr>
      <w:r>
        <w:rPr>
          <w:rFonts w:ascii="Times New Roman" w:cs="Times New Roman" w:eastAsia="Times New Roman" w:hAnsi="Times New Roman"/>
          <w:sz w:val="18"/>
          <w:szCs w:val="18"/>
          <w:b w:val="1"/>
          <w:bCs w:val="1"/>
          <w:color w:val="auto"/>
        </w:rPr>
        <w:t>Phoenix, Arizona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85054</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627-2700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RSG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40" w:type="dxa"/>
            <w:vAlign w:val="bottom"/>
            <w:gridSpan w:val="2"/>
          </w:tcPr>
          <w:p>
            <w:pPr>
              <w:jc w:val="right"/>
              <w:ind w:right="443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r>
      <w:tr>
        <w:trPr>
          <w:trHeight w:val="439"/>
        </w:trPr>
        <w:tc>
          <w:tcPr>
            <w:tcW w:w="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Item 8.01</w:t>
            </w:r>
          </w:p>
        </w:tc>
        <w:tc>
          <w:tcPr>
            <w:tcW w:w="1020" w:type="dxa"/>
            <w:vAlign w:val="bottom"/>
            <w:tcBorders>
              <w:bottom w:val="single" w:sz="8" w:color="0000EE"/>
            </w:tcBorders>
            <w:gridSpan w:val="2"/>
          </w:tcPr>
          <w:p>
            <w:pPr>
              <w:ind w:left="40"/>
              <w:spacing w:after="0"/>
              <w:rPr>
                <w:sz w:val="20"/>
                <w:szCs w:val="20"/>
                <w:color w:val="auto"/>
              </w:rPr>
            </w:pPr>
            <w:r>
              <w:rPr>
                <w:rFonts w:ascii="Times New Roman" w:cs="Times New Roman" w:eastAsia="Times New Roman" w:hAnsi="Times New Roman"/>
                <w:sz w:val="18"/>
                <w:szCs w:val="18"/>
                <w:color w:val="0000EE"/>
                <w:w w:val="96"/>
              </w:rPr>
              <w:t>Other Events.</w:t>
            </w:r>
          </w:p>
        </w:tc>
        <w:tc>
          <w:tcPr>
            <w:tcW w:w="21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9.01</w:t>
            </w:r>
          </w:p>
        </w:tc>
        <w:tc>
          <w:tcPr>
            <w:tcW w:w="318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0000EE"/>
              </w:rPr>
              <w:t>Financial Statements and Exhibits.</w:t>
            </w:r>
          </w:p>
        </w:tc>
        <w:tc>
          <w:tcPr>
            <w:tcW w:w="71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412"/>
        </w:trPr>
        <w:tc>
          <w:tcPr>
            <w:tcW w:w="1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120" w:type="dxa"/>
            <w:vAlign w:val="bottom"/>
            <w:tcBorders>
              <w:top w:val="single" w:sz="8" w:color="0000EE"/>
            </w:tcBorders>
            <w:gridSpan w:val="2"/>
          </w:tcPr>
          <w:p>
            <w:pPr>
              <w:spacing w:after="0"/>
              <w:rPr>
                <w:sz w:val="24"/>
                <w:szCs w:val="24"/>
                <w:color w:val="auto"/>
              </w:rPr>
            </w:pPr>
          </w:p>
        </w:tc>
        <w:tc>
          <w:tcPr>
            <w:tcW w:w="660" w:type="dxa"/>
            <w:vAlign w:val="bottom"/>
          </w:tcPr>
          <w:p>
            <w:pPr>
              <w:spacing w:after="0"/>
              <w:rPr>
                <w:sz w:val="24"/>
                <w:szCs w:val="24"/>
                <w:color w:val="auto"/>
              </w:rPr>
            </w:pPr>
          </w:p>
        </w:tc>
        <w:tc>
          <w:tcPr>
            <w:tcW w:w="7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EX-4.1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EX-23.1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EX-104</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84" w:right="47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On June 22, 2026, Republic Services, Inc. (the “Company”) agreed to sell $700,000,000 aggregate principal amount of its 4.750% notes due 2031 (the “2031 Notes”) and $500,000,000 aggregate principal amount of its 5.000% notes due 2036 (the “2036 Notes” and, together with the 2031 Notes, the “Notes”), pursuant to the Underwriting Agreement, dated June 22, 2026 (the “Underwriting Agreement”), among the Company and BofA Securities, Inc. and Wells Fargo Securities, LLC, as representatives of the several underwriters listed on Schedule A of the Underwriting Agreement. The offering is expected to close on or about June 26, 2026, subject to customary closing conditions.</w:t>
      </w:r>
    </w:p>
    <w:p>
      <w:pPr>
        <w:spacing w:after="0" w:line="183"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Each series of Notes will be issued pursuant to that certain Indenture, dated November 25, 2009 (the “Indenture”), between the Company and U.S. Bank Trust Company, National Association (as successor in interest to U.S. Bank National Association), as trustee (the “Trustee”), as supplemented by the Seventeenth Supplemental Indenture, to be dated on or about June 26, 2026, between the Company and the Trustee (the “Seventeenth Supplemental Indenture”). The offer and sale of the Notes was registered under the Securities Act of 1933, as amended, by a Registration Statement on Form S-3 (No. 333-286741).</w:t>
      </w:r>
    </w:p>
    <w:p>
      <w:pPr>
        <w:spacing w:after="0" w:line="183"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Underwriting Agreement is filed as Exhibit 1.1 to this Current Report on Form 8-K. The form of Seventeenth Supplemental Indenture is filed as Exhibit 4.1 to this Current Report on Form 8-K. The form of 2031 Notes is filed as Exhibit 4.2 to this Current Report on Form 8-K. The form of 2036 Notes is filed as Exhibit 4.3 to this Current Report on Form 8-K. In connection with the issuance of the Notes, the opinion of Covington &amp; Burling LLP with respect to the validity of the Notes is being filed as Exhibit 5.1 to this Current Report on Form 8-K.</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522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88"/>
        </w:trPr>
        <w:tc>
          <w:tcPr>
            <w:tcW w:w="1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5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44" w:hanging="844"/>
        <w:spacing w:after="0" w:line="282"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June 22, 2026, among Republic Services, Inc. and BofA Securities, Inc. and Wells Fargo Securities, LLC, as representatives of the underwriters named therein</w:t>
      </w:r>
    </w:p>
    <w:p>
      <w:pPr>
        <w:spacing w:after="0" w:line="53" w:lineRule="exact"/>
        <w:rPr>
          <w:rFonts w:ascii="Times New Roman" w:cs="Times New Roman" w:eastAsia="Times New Roman" w:hAnsi="Times New Roman"/>
          <w:sz w:val="18"/>
          <w:szCs w:val="18"/>
          <w:color w:val="auto"/>
        </w:rPr>
      </w:pPr>
    </w:p>
    <w:p>
      <w:pPr>
        <w:ind w:left="844" w:right="380" w:hanging="844"/>
        <w:spacing w:after="0" w:line="282"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0000EE"/>
        </w:rPr>
        <w:t>Form of Seventeenth Supplemental Indenture to the Indenture between Republic Services, Inc. and U.S. Bank Trust Company, National Association (as successor in interest to U.S. Bank National Association), as trustee</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18"/>
          <w:szCs w:val="18"/>
          <w:u w:val="single" w:color="auto"/>
          <w:color w:val="0000EE"/>
        </w:rPr>
        <w:t>Form of 4.750% Notes due 2031 (included as Exhibit A-1 to Exhibit 4.1)</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8"/>
          <w:szCs w:val="18"/>
          <w:u w:val="single" w:color="auto"/>
          <w:color w:val="0000EE"/>
        </w:rPr>
        <w:t>Form of 5.000% Notes due 2036 (included as Exhibit A-2 to Exhibit 4.1)</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Covington &amp; Burling LLP, as to the validity of the Notes</w:t>
      </w:r>
    </w:p>
    <w:p>
      <w:pPr>
        <w:spacing w:after="0" w:line="129"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Covington &amp; Burling LLP (contained in Exhibit 5.1 hereto)</w:t>
      </w:r>
    </w:p>
    <w:p>
      <w:pPr>
        <w:spacing w:after="0" w:line="117" w:lineRule="exact"/>
        <w:rPr>
          <w:sz w:val="20"/>
          <w:szCs w:val="20"/>
          <w:color w:val="auto"/>
        </w:rPr>
      </w:pPr>
    </w:p>
    <w:p>
      <w:pPr>
        <w:ind w:left="5464" w:right="2180" w:hanging="5464"/>
        <w:spacing w:after="0" w:line="454" w:lineRule="auto"/>
        <w:tabs>
          <w:tab w:leader="none" w:pos="8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3</w:t>
      </w:r>
    </w:p>
    <w:p>
      <w:pPr>
        <w:sectPr>
          <w:pgSz w:w="11900" w:h="16838" w:orient="portrait"/>
          <w:cols w:equalWidth="0" w:num="1">
            <w:col w:w="11004"/>
          </w:cols>
          <w:pgMar w:left="436" w:top="293" w:right="4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Elyse M. Carlsen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Elyse M. Carlsen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June 22, 2026 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A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196" w:lineRule="auto"/>
        <w:rPr>
          <w:sz w:val="20"/>
          <w:szCs w:val="20"/>
          <w:color w:val="auto"/>
        </w:rPr>
      </w:pPr>
      <w:r>
        <w:rPr>
          <w:rFonts w:ascii="Times New Roman" w:cs="Times New Roman" w:eastAsia="Times New Roman" w:hAnsi="Times New Roman"/>
          <w:sz w:val="18"/>
          <w:szCs w:val="18"/>
          <w:color w:val="auto"/>
        </w:rPr>
        <w:t>550 South Tryon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jc w:val="both"/>
        <w:ind w:right="24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Introductory. </w:t>
      </w:r>
      <w:r>
        <w:rPr>
          <w:rFonts w:ascii="Times New Roman" w:cs="Times New Roman" w:eastAsia="Times New Roman" w:hAnsi="Times New Roman"/>
          <w:sz w:val="17"/>
          <w:szCs w:val="17"/>
          <w:color w:val="auto"/>
        </w:rPr>
        <w:t>Republic Services,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to issue and sell to the several Underwriters named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Schedule A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acting severally and not jointly, the respective amounts set forth in such Schedule A of: (i) $700,000,000 aggregate principal amount of the Company’s 4.750% Notes due 2031 (the “</w:t>
      </w:r>
      <w:r>
        <w:rPr>
          <w:rFonts w:ascii="Times New Roman" w:cs="Times New Roman" w:eastAsia="Times New Roman" w:hAnsi="Times New Roman"/>
          <w:sz w:val="17"/>
          <w:szCs w:val="17"/>
          <w:u w:val="single" w:color="auto"/>
          <w:color w:val="auto"/>
        </w:rPr>
        <w:t>2031 Notes</w:t>
      </w:r>
      <w:r>
        <w:rPr>
          <w:rFonts w:ascii="Times New Roman" w:cs="Times New Roman" w:eastAsia="Times New Roman" w:hAnsi="Times New Roman"/>
          <w:sz w:val="17"/>
          <w:szCs w:val="17"/>
          <w:color w:val="auto"/>
        </w:rPr>
        <w:t>”); and (ii) $500,000,000 aggregate principal amount of the Company’s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5.000%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and, together with the 2031 Notes,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BofA Securities, Inc. and Wells Fargo Securities, LLC have agreed to act as representatives of the several Underwriters (in such capacity,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in connection with the offering and sale of the Securities.</w:t>
      </w:r>
    </w:p>
    <w:p>
      <w:pPr>
        <w:spacing w:after="0" w:line="18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Securities will be issued pursuant to an indenture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dated as of November 25, 2009, between the Company and U.S. Bank Trust Company, National Association (as successor-in-interest to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Certain terms of the Securities will be established pursuant to a seventeenth supplemental indenture to the Base Indenture to be entered between the Company and the Trustee and dated as of the Closing Date (as defined herein)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Securities will be issued in book-entry form in the name of Cede &amp; Co., as nominee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pursuant to the Letter of Representations of the Company dated March 18, 2005 (the “</w:t>
      </w:r>
      <w:r>
        <w:rPr>
          <w:rFonts w:ascii="Times New Roman" w:cs="Times New Roman" w:eastAsia="Times New Roman" w:hAnsi="Times New Roman"/>
          <w:sz w:val="18"/>
          <w:szCs w:val="18"/>
          <w:u w:val="single" w:color="auto"/>
          <w:color w:val="auto"/>
        </w:rPr>
        <w:t>DTC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prepared and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promulgated thereunder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 registration statement on Form S-3 (File No. 333-286741), including a base prospectus, relating to debt securities that may be offered from time to time by the Company. Such registration statement, as amended as of the date hereof, including the information, if any, deemed pursuant to Rule 430A, 430B or 430C under the Securities Act to be part of the registration statement (“</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is referred to herein as the “Registration Statement”; and as used herein, the term “Preliminary Prospectus” means the preliminary prospectus supplement, dated June 22, 2026, together with the base prospectus included therein dated April 25, 2025, and the term “Prospectus” means the prospectus in the form first used (or made available upon request of purchasers pursuant to Rule 173 under the Securities Act) in connection with confirmation of sales of the Securities, which is the final prospectus supplement, dated June 22, 2026, together with the base prospectus included therein dated April 25, 2025. Any reference in this Agreement to the Registration Statement, any Preliminary Prospectus or the Prospectus shall be deemed to refer to and include the documents that are or are deemed to be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promulgated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or are deemed to be incorporated by reference therein. Capitalized terms used but not defined herein shall have the meanings given to such terms in the Registration Statement and the Prospectus.</w:t>
      </w:r>
    </w:p>
    <w:p>
      <w:pPr>
        <w:spacing w:after="0" w:line="19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At or prior to 4:15 p.m. New York City time on the date hereof (the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the Company prepared the following information (collectively,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(i) the Preliminary Prospectus and (ii) each “free-writing prospectus” (as defined pursuant to Rule 405 under the Securities Act) listed on Exhibit C hereto as constituting part of the Time of Sale Information.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agreements with the Underwriters as follows:</w:t>
      </w:r>
    </w:p>
    <w:p>
      <w:pPr>
        <w:spacing w:after="0" w:line="1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Representations and Warranties of the Company.</w:t>
      </w:r>
    </w:p>
    <w:p>
      <w:pPr>
        <w:spacing w:after="0" w:line="22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hereby represents, warrants and covenants to each Underwriter as of the date hereof, as of the Time of Sale and as of the Closing Date (in each case,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as follows:</w:t>
      </w:r>
    </w:p>
    <w:p>
      <w:pPr>
        <w:spacing w:after="0" w:line="52" w:lineRule="exact"/>
        <w:rPr>
          <w:sz w:val="20"/>
          <w:szCs w:val="20"/>
          <w:color w:val="auto"/>
        </w:rPr>
      </w:pPr>
    </w:p>
    <w:p>
      <w:pPr>
        <w:ind w:firstLine="436"/>
        <w:spacing w:after="0" w:line="277" w:lineRule="auto"/>
        <w:tabs>
          <w:tab w:leader="none" w:pos="68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Registration Statement and Prospectus. </w:t>
      </w:r>
      <w:r>
        <w:rPr>
          <w:rFonts w:ascii="Times New Roman" w:cs="Times New Roman" w:eastAsia="Times New Roman" w:hAnsi="Times New Roman"/>
          <w:sz w:val="17"/>
          <w:szCs w:val="17"/>
          <w:color w:val="auto"/>
        </w:rPr>
        <w:t>The Registration Statement is an “automatic shelf registration statement” as defined under Rule 405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Securities Act that has been filed with the Commission not earlier than three years prior to the date hereof.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to the knowledge of the Company no proceeding for that purpose or pursuant to Section 8A of the Securities Act against the Company or related to the offering has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promulgated thereunder (collectively,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and did not and will not contain any untrue statement of a material fact or omit to state a material fact required to be stated therein or necessary in order to make the statements therein not misleading. As of the date of the Prospectus and any amendment or supplement thereto and as of the Closing Date, the Prospectus will comply in all material respects with the Securities Act and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 and warranty with respect to (i) that part of the Registration Statement that constitutes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Eligibility and Qualification (Form T-1s) of the trustee under the Trust Indenture Act and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w:t>
      </w:r>
    </w:p>
    <w:p>
      <w:pPr>
        <w:spacing w:after="0" w:line="190" w:lineRule="exact"/>
        <w:rPr>
          <w:sz w:val="20"/>
          <w:szCs w:val="20"/>
          <w:color w:val="auto"/>
        </w:rPr>
      </w:pPr>
    </w:p>
    <w:p>
      <w:pPr>
        <w:ind w:right="40" w:firstLine="436"/>
        <w:spacing w:after="0" w:line="258"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The Time of Sale Information, at the Time of Sale, did not, and at the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other than (i) any document not constituting a prospectus pursuant to Section 2(a)(10)(a) of the Securities Act or Rule 134 under the Securities Act, (ii) the Preliminary Prospectus, (iii) the Prospectus, (iv) each “free-writing prospectus” listed on Exhibit C hereto as constituting part of the Time of Sale Information and (v) any electronic road show or other written communication, in each case approved in writing in advance by the Representatives. Each such Issuer Free Writing Prospectus complied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or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ind w:firstLine="436"/>
        <w:spacing w:after="0" w:line="257"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Incorporated Documents. </w:t>
      </w:r>
      <w:r>
        <w:rPr>
          <w:rFonts w:ascii="Times New Roman" w:cs="Times New Roman" w:eastAsia="Times New Roman" w:hAnsi="Times New Roman"/>
          <w:sz w:val="18"/>
          <w:szCs w:val="18"/>
          <w:color w:val="auto"/>
        </w:rPr>
        <w:t>The documents incorporated or deemed to be incorporated by reference in the Registration Statement,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Time of Sale Information (i) at the time they were or hereafter are filed with the Commission, complied or will comply in all material respects with the requirements of the Exchange Act and (ii) when read together with the other Time of Sale Information, at the Time of Sale,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w:t>
      </w:r>
    </w:p>
    <w:p>
      <w:pPr>
        <w:spacing w:after="0" w:line="182" w:lineRule="exact"/>
        <w:rPr>
          <w:rFonts w:ascii="Times New Roman" w:cs="Times New Roman" w:eastAsia="Times New Roman" w:hAnsi="Times New Roman"/>
          <w:sz w:val="18"/>
          <w:szCs w:val="18"/>
          <w:color w:val="auto"/>
        </w:rPr>
      </w:pPr>
    </w:p>
    <w:p>
      <w:pPr>
        <w:ind w:right="40" w:firstLine="436"/>
        <w:spacing w:after="0" w:line="284"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Status under the Securities Act. </w:t>
      </w:r>
      <w:r>
        <w:rPr>
          <w:rFonts w:ascii="Times New Roman" w:cs="Times New Roman" w:eastAsia="Times New Roman" w:hAnsi="Times New Roman"/>
          <w:sz w:val="18"/>
          <w:szCs w:val="18"/>
          <w:color w:val="auto"/>
        </w:rPr>
        <w:t>The Company is not an ineligible issuer and is a well-known seasoned issuer, in each case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in each case at the times specified in the Securities Act in connection with the offering of the Securities.</w:t>
      </w:r>
    </w:p>
    <w:p>
      <w:pPr>
        <w:spacing w:after="0" w:line="158"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Indenture and the DTC Agreement. </w:t>
      </w:r>
      <w:r>
        <w:rPr>
          <w:rFonts w:ascii="Times New Roman" w:cs="Times New Roman" w:eastAsia="Times New Roman" w:hAnsi="Times New Roman"/>
          <w:sz w:val="18"/>
          <w:szCs w:val="18"/>
          <w:color w:val="auto"/>
        </w:rPr>
        <w:t>Each of the Base Indenture and the Supplemental Indenture has been duly authorized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Indenture has been duly executed and delivered by the Company and, on the Closing Date, the Supplemental Indenture will have been duly executed and delivered by the Company. On the Closing Date, the Indenture will constitute a valid and binding agreement of the Company, enforceable against the Company in accordance with its terms, except as the enforcement thereof may be limited by bankruptcy, insolvency, fraudulent transfer, reorganization, moratorium or other similar laws relating to or affecting the rights and remedies of creditors or by general equitable principles. The Indenture has been duly qualified under the Trust Indenture Act. The DTC Agreement has been duly authorized, executed and delivered by, and constitutes a valid and binding agreement of, the Company, enforceable in accordance with its terms, except as the enforcement thereof may be limited by bankruptcy, insolvency, fraudulent transfer, reorganization, moratorium or other similar laws relating to or affecting the rights and remedies of creditors or by general equitable principles.</w:t>
      </w:r>
    </w:p>
    <w:p>
      <w:pPr>
        <w:spacing w:after="0" w:line="188" w:lineRule="exact"/>
        <w:rPr>
          <w:rFonts w:ascii="Times New Roman" w:cs="Times New Roman" w:eastAsia="Times New Roman" w:hAnsi="Times New Roman"/>
          <w:sz w:val="18"/>
          <w:szCs w:val="18"/>
          <w:color w:val="auto"/>
        </w:rPr>
      </w:pPr>
    </w:p>
    <w:p>
      <w:pPr>
        <w:ind w:right="40" w:firstLine="436"/>
        <w:spacing w:after="0" w:line="257"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of the Securities. </w:t>
      </w:r>
      <w:r>
        <w:rPr>
          <w:rFonts w:ascii="Times New Roman" w:cs="Times New Roman" w:eastAsia="Times New Roman" w:hAnsi="Times New Roman"/>
          <w:sz w:val="18"/>
          <w:szCs w:val="18"/>
          <w:color w:val="auto"/>
        </w:rPr>
        <w:t>The Securities to be purchased by the Underwriters from the Company will be in the form contemplated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have been duly authorized by the Company for issuance and sale pursuant to this Agreement and the Indenture and, at the Closing Date, will have been duly executed by the Company and, when authenticated in the manner provided for in the Indenture and delivered against payment of the purchase price therefor, will constitute valid and binding obligations of the Company, enforceable in accordance with their terms, except as the enforcement thereof may be limited by bankruptcy, insolvency, fraudulent transfer, reorganization, moratorium or other similar laws relating to or affecting the rights and remedies of creditors or by general equitable principles, and will be entitled to the benefits of the Indenture.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8" w:name="page9"/>
    <w:bookmarkEnd w:id="8"/>
    <w:p>
      <w:pPr>
        <w:ind w:left="-40" w:right="580" w:firstLine="436"/>
        <w:spacing w:after="0" w:line="284"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Description of the Securities and the Indenture. </w:t>
      </w:r>
      <w:r>
        <w:rPr>
          <w:rFonts w:ascii="Times New Roman" w:cs="Times New Roman" w:eastAsia="Times New Roman" w:hAnsi="Times New Roman"/>
          <w:sz w:val="18"/>
          <w:szCs w:val="18"/>
          <w:color w:val="auto"/>
        </w:rPr>
        <w:t>The Securities and the Indenture conform or will conform in all material respects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descriptions thereof contained in the Registration Statement, the Time of Sale Information and the Prospectus.</w:t>
      </w:r>
    </w:p>
    <w:p>
      <w:pPr>
        <w:spacing w:after="0" w:line="158" w:lineRule="exact"/>
        <w:rPr>
          <w:rFonts w:ascii="Times New Roman" w:cs="Times New Roman" w:eastAsia="Times New Roman" w:hAnsi="Times New Roman"/>
          <w:sz w:val="18"/>
          <w:szCs w:val="18"/>
          <w:color w:val="auto"/>
        </w:rPr>
      </w:pPr>
    </w:p>
    <w:p>
      <w:pPr>
        <w:ind w:left="-40" w:right="60" w:firstLine="436"/>
        <w:spacing w:after="0" w:line="267"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of Statements. </w:t>
      </w:r>
      <w:r>
        <w:rPr>
          <w:rFonts w:ascii="Times New Roman" w:cs="Times New Roman" w:eastAsia="Times New Roman" w:hAnsi="Times New Roman"/>
          <w:sz w:val="18"/>
          <w:szCs w:val="18"/>
          <w:color w:val="auto"/>
        </w:rPr>
        <w:t>The statements in each of the Registration Statement, the Time of Sale Information and the Prospectus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“Description of Notes” and “Material United States Federal Tax Considerations,” in each case insofar as such statements constitute a summary of the legal matters or documents referred to therein, fairly present and summarize, in all material respects, the matters referred to therein.</w:t>
      </w:r>
    </w:p>
    <w:p>
      <w:pPr>
        <w:spacing w:after="0" w:line="173" w:lineRule="exact"/>
        <w:rPr>
          <w:rFonts w:ascii="Times New Roman" w:cs="Times New Roman" w:eastAsia="Times New Roman" w:hAnsi="Times New Roman"/>
          <w:sz w:val="18"/>
          <w:szCs w:val="18"/>
          <w:color w:val="auto"/>
        </w:rPr>
      </w:pPr>
    </w:p>
    <w:p>
      <w:pPr>
        <w:ind w:left="-40" w:firstLine="436"/>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otherwise disclosed in the Time of Sale Information, subsequent to the respective dates as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given in the Time of Sale Information: (i) neither the Company nor any of its subsidiaries has sustained any loss or interference with their respective businesses from fire, explosion, flood or other calamity, whether or not covered by insurance, or from any labor dispute or court or governmental action, order or decree, which loss or interference is material to the Company and its subsidiaries, considered as one entity; and (ii) there has been no material adverse change, or any development that would reasonably be expected to result in a material adverse change, in the condition, financial or otherwise, or in the business, properties, results of operations or prospects, whether or not arising from transactions in the ordinary course of business, of the Company and its subsidiaries, considered as one entity (any such change is called a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40" w:right="160" w:firstLine="436"/>
        <w:spacing w:after="0" w:line="261"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The Company’s independent registered public accounting firm, which has expressed its opinion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audited financial statements included or incorporated by reference in the Registration Statement, the Time of Sale Information and the Prospectus, is an independent public accountant with respect to the Company as required by the Securities Act and the Exchange Act and is an independent registered public accounting firm registered with the Public Company Accounting Oversight Board.</w:t>
      </w:r>
    </w:p>
    <w:p>
      <w:pPr>
        <w:spacing w:after="0" w:line="179" w:lineRule="exact"/>
        <w:rPr>
          <w:rFonts w:ascii="Times New Roman" w:cs="Times New Roman" w:eastAsia="Times New Roman" w:hAnsi="Times New Roman"/>
          <w:sz w:val="18"/>
          <w:szCs w:val="18"/>
          <w:color w:val="auto"/>
        </w:rPr>
      </w:pPr>
    </w:p>
    <w:p>
      <w:pPr>
        <w:ind w:left="-40" w:right="40" w:firstLine="436"/>
        <w:spacing w:after="0" w:line="253" w:lineRule="auto"/>
        <w:tabs>
          <w:tab w:leader="none" w:pos="7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Preparation of the Financial Statements. </w:t>
      </w:r>
      <w:r>
        <w:rPr>
          <w:rFonts w:ascii="Times New Roman" w:cs="Times New Roman" w:eastAsia="Times New Roman" w:hAnsi="Times New Roman"/>
          <w:sz w:val="18"/>
          <w:szCs w:val="18"/>
          <w:color w:val="auto"/>
        </w:rPr>
        <w:t>The financial statements, together with the related notes thereto, included or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the Registration Statement, the Time of Sale Information and the Prospectus present fairly the consolidated financial position of the Company and its subsidiaries as of and at the dates indicated and the results of their operations and cash flows for the periods specified. Such financial statements have been prepared in conformity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as applied in the United States on a consistent basis throughout the periods involved, except as may be expressly stated in the related notes thereto. The summary historical consolidated financial data included in the Registration Statement, the Time of Sale Information and the Prospectus present fairly the information shown therein and have been compiled on a basis consistent with that of the audited financial statements incorporated by reference in the Registration Statement, the Time of Sale Information and the Prospectus. There are no financial statements that are required to be included in the Registration Statement, the Time of Sale Information or the Prospectus that are not included or incorporated by reference as required. The interactive data in eXtensible Business Reporting Language included or incorporated by reference in the Registration Statement, the Time of Sale Information and the Prospectus present fairly the information called for in all material respects and have been prepared in accordance with the Commission’s rules and guidelines applicable thereto.</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68" w:right="479" w:bottom="1440" w:gutter="0" w:footer="0" w:header="0"/>
        </w:sectPr>
      </w:pPr>
    </w:p>
    <w:bookmarkStart w:id="9" w:name="page10"/>
    <w:bookmarkEnd w:id="9"/>
    <w:p>
      <w:pPr>
        <w:ind w:left="-20" w:right="40" w:firstLine="436"/>
        <w:spacing w:after="0" w:line="253"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Incorporation and Good Standing of the Company and its Subsidiaries. </w:t>
      </w:r>
      <w:r>
        <w:rPr>
          <w:rFonts w:ascii="Times New Roman" w:cs="Times New Roman" w:eastAsia="Times New Roman" w:hAnsi="Times New Roman"/>
          <w:sz w:val="18"/>
          <w:szCs w:val="18"/>
          <w:color w:val="auto"/>
        </w:rPr>
        <w:t>Each of the Company and its significant subsidiaries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1-02(w) of Regulation S-X, the “</w:t>
      </w:r>
      <w:r>
        <w:rPr>
          <w:rFonts w:ascii="Times New Roman" w:cs="Times New Roman" w:eastAsia="Times New Roman" w:hAnsi="Times New Roman"/>
          <w:sz w:val="18"/>
          <w:szCs w:val="18"/>
          <w:u w:val="single" w:color="auto"/>
          <w:color w:val="auto"/>
        </w:rPr>
        <w:t>Significant Subsidiaries</w:t>
      </w:r>
      <w:r>
        <w:rPr>
          <w:rFonts w:ascii="Times New Roman" w:cs="Times New Roman" w:eastAsia="Times New Roman" w:hAnsi="Times New Roman"/>
          <w:sz w:val="18"/>
          <w:szCs w:val="18"/>
          <w:color w:val="auto"/>
        </w:rPr>
        <w:t>”) has been duly incorporated or formed and is validly existing as a corporation, limited liability company, partnership or other legal entity, as the case may be, in good standing under the laws of the jurisdiction of its incorporation or formation, and each has the corporate, limited liability company, partnership or other power and authority to own or lease, as the case may be, and operate its properties and to conduct its business as described in the Registration Statement, the Time of Sale Information and the Prospectus and, in the case of the Company, to enter into and perform its obligations under this Agreement. Each of the Company and each Significant Subsidiary is duly qualified as a foreign corporation, limited liability company, partnership or other legal entity to transact business and is in good standing or equivalent status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reasonably be expected to result in a Material Adverse Change. All of the issued and outstanding shares of capital stock of each subsidiary of the Company have been duly authorized and validly issued, are fully paid and nonassessable and, except in the case of subsidiaries set forth on Exhibit D hereto, are owned by the Company, directly or through its subsidiaries, free and clear of any security interest, mortgage, pledge, lien, encumbrance or claim. The Company does not have any subsidiary not listed on Exhibit 21.1 to the Company’s most recent Annual Report on Form 10-K which is required to be so listed as of the date of such Annual Report on Form 10-K.</w:t>
      </w:r>
    </w:p>
    <w:p>
      <w:pPr>
        <w:spacing w:after="0" w:line="185" w:lineRule="exact"/>
        <w:rPr>
          <w:rFonts w:ascii="Times New Roman" w:cs="Times New Roman" w:eastAsia="Times New Roman" w:hAnsi="Times New Roman"/>
          <w:sz w:val="18"/>
          <w:szCs w:val="18"/>
          <w:color w:val="auto"/>
        </w:rPr>
      </w:pPr>
    </w:p>
    <w:p>
      <w:pPr>
        <w:ind w:left="-20" w:right="360" w:firstLine="436"/>
        <w:spacing w:after="0" w:line="258"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and Other Capital Stock Matters.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most recent Annual Report on Form 10-K, incorporated by reference in the Time of Sale Information and the Prospectus (other than for subsequent issuances, if any, pursuant to employee benefit plans or upon exercise of outstanding options, in each case, described in the documents incorporated by reference in the Registration Statement, the Time of Sale Information and the Prospectus, as the case may be, and other than for subsequent purchases of capital stock pursuant to publicly announced share repurchase programs).</w:t>
      </w:r>
    </w:p>
    <w:p>
      <w:pPr>
        <w:spacing w:after="0" w:line="183"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Non-Contravention of Existing Instruments; No Further Authorizations or Approvals Required. </w:t>
      </w:r>
      <w:r>
        <w:rPr>
          <w:rFonts w:ascii="Times New Roman" w:cs="Times New Roman" w:eastAsia="Times New Roman" w:hAnsi="Times New Roman"/>
          <w:sz w:val="18"/>
          <w:szCs w:val="18"/>
          <w:color w:val="auto"/>
        </w:rPr>
        <w:t>None of the Company or any of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 in violation of or in default under (or, with the giving of notice or lapse of time or both, would be in default)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its articles of incorporation, charter, by-laws, limited liability company agreement or limited partnership agreement, as applicable, (ii) in Default under any indenture, mortgage, loan or credit agreement, deed of trust, note, contract, franchise, lease or other agreement, obligation, condition, covenant or instrument to which it or any of its subsidiaries is a party or by which it or any of them may be bound or to which any of the property or assets of it or any of its subsidiaries is subject (each, an “</w:t>
      </w:r>
      <w:r>
        <w:rPr>
          <w:rFonts w:ascii="Times New Roman" w:cs="Times New Roman" w:eastAsia="Times New Roman" w:hAnsi="Times New Roman"/>
          <w:sz w:val="18"/>
          <w:szCs w:val="18"/>
          <w:u w:val="single" w:color="auto"/>
          <w:color w:val="auto"/>
        </w:rPr>
        <w:t>Existing Instrument</w:t>
      </w:r>
      <w:r>
        <w:rPr>
          <w:rFonts w:ascii="Times New Roman" w:cs="Times New Roman" w:eastAsia="Times New Roman" w:hAnsi="Times New Roman"/>
          <w:sz w:val="18"/>
          <w:szCs w:val="18"/>
          <w:color w:val="auto"/>
        </w:rPr>
        <w:t>”) or (iii) in violation of any statute, law, rule, regulation, judgment, order or decree of any court, regulatory body, administrative agency, governmental body, arbitrator or other authority having jurisdiction over the Company or any of its subsidiaries or any of their properties, as applicable, except, with respect to clauses (ii)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68" w:right="459" w:bottom="1440" w:gutter="0" w:footer="0" w:header="0"/>
        </w:sectPr>
      </w:pPr>
    </w:p>
    <w:bookmarkStart w:id="10" w:name="page11"/>
    <w:bookmarkEnd w:id="10"/>
    <w:p>
      <w:pPr>
        <w:ind w:left="4" w:hanging="4"/>
        <w:spacing w:after="0" w:line="252"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for such Defaults or violations as would not, individually or in the aggregate, reasonably be expected to result in a Material Adverse Change. The execution, delivery and performance by the Company of this Agreement and the Indenture and consummation of the transactions contemplated hereby and thereby (i) have been duly authorized by all necessary corporate action by the Company and will not result in any Default under the articles of incorporation, charter, by-laws, limited liability company or limited partnership agreement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their respective properties except, with respect to clauses (ii) and (iii) only, for such conflicts, breaches, Defaults, Debt Repayment Triggering Events or violations as would not, individually or in the aggregate, reasonably be expected to result in a Material Adverse Change or adversely affect the consummation of the transactions contemplated by this Agreement. No consent, approval, authorization or other order of, or registration or filing with, any court or other governmental or regulatory authority or agency is required for the execution, delivery and performance by the Company of this Agreement or the Indenture or consummation of the transactions contemplated hereby (including the issuance and sale of the Securities), except such as have been obtained or made by the Company and are in full force and effect under the Securities Act, and except for such consents, approvals, authorizations, orders, registrations or filings as may be required under applicable state securities or blue sky laws or foreign securities laws. As used herein, a “</w:t>
      </w:r>
      <w:r>
        <w:rPr>
          <w:rFonts w:ascii="Times New Roman" w:cs="Times New Roman" w:eastAsia="Times New Roman" w:hAnsi="Times New Roman"/>
          <w:sz w:val="18"/>
          <w:szCs w:val="18"/>
          <w:u w:val="single" w:color="auto"/>
          <w:color w:val="auto"/>
        </w:rPr>
        <w:t>Debt Repayment Triggering Event</w:t>
      </w:r>
      <w:r>
        <w:rPr>
          <w:rFonts w:ascii="Times New Roman" w:cs="Times New Roman" w:eastAsia="Times New Roman" w:hAnsi="Times New Roman"/>
          <w:sz w:val="18"/>
          <w:szCs w:val="18"/>
          <w:color w:val="auto"/>
        </w:rPr>
        <w:t>” means any event or condition which gives, or with the giving of notice or lapse of time or both would give, the holder of any note, debenture or other evidence of indebtedness (or any person acting on such holder’s behalf) issued by the Company or any of its subsidiaries, the right to require the repurchase, redemption or repayment of all or a portion of such indebtedness by the Company or any of its subsidiaries.</w:t>
      </w:r>
    </w:p>
    <w:p>
      <w:pPr>
        <w:spacing w:after="0" w:line="188" w:lineRule="exact"/>
        <w:rPr>
          <w:rFonts w:ascii="Times New Roman" w:cs="Times New Roman" w:eastAsia="Times New Roman" w:hAnsi="Times New Roman"/>
          <w:sz w:val="18"/>
          <w:szCs w:val="18"/>
          <w:color w:val="auto"/>
        </w:rPr>
      </w:pPr>
    </w:p>
    <w:p>
      <w:pPr>
        <w:ind w:left="4" w:right="20" w:firstLine="436"/>
        <w:spacing w:after="0" w:line="257"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Actions or Proceedings. </w:t>
      </w:r>
      <w:r>
        <w:rPr>
          <w:rFonts w:ascii="Times New Roman" w:cs="Times New Roman" w:eastAsia="Times New Roman" w:hAnsi="Times New Roman"/>
          <w:sz w:val="18"/>
          <w:szCs w:val="18"/>
          <w:color w:val="auto"/>
        </w:rPr>
        <w:t>Except as disclosed in the Registration Statement, the Time of Sale Information and the Prospectus,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related to the Company or any of its subsidiaries, where any such action, suit or proceeding, if determined adversely, would, individually or in the aggregate, reasonably be expected to result in a Material Adverse Change or adversely affect the consummation of the transactions contemplated by this Agreement.</w:t>
      </w:r>
    </w:p>
    <w:p>
      <w:pPr>
        <w:spacing w:after="0" w:line="182" w:lineRule="exact"/>
        <w:rPr>
          <w:rFonts w:ascii="Times New Roman" w:cs="Times New Roman" w:eastAsia="Times New Roman" w:hAnsi="Times New Roman"/>
          <w:sz w:val="18"/>
          <w:szCs w:val="18"/>
          <w:color w:val="auto"/>
        </w:rPr>
      </w:pPr>
    </w:p>
    <w:p>
      <w:pPr>
        <w:jc w:val="both"/>
        <w:ind w:left="4" w:right="20" w:firstLine="436"/>
        <w:spacing w:after="0" w:line="267" w:lineRule="auto"/>
        <w:tabs>
          <w:tab w:leader="none" w:pos="66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Matters. </w:t>
      </w:r>
      <w:r>
        <w:rPr>
          <w:rFonts w:ascii="Times New Roman" w:cs="Times New Roman" w:eastAsia="Times New Roman" w:hAnsi="Times New Roman"/>
          <w:sz w:val="18"/>
          <w:szCs w:val="18"/>
          <w:color w:val="auto"/>
        </w:rPr>
        <w:t>No material dispute with the employees of the Company or any of its subsidiaries exists, and the Company is not aware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or imminent labor disturbance by the employees of any of its or its subsidiaries’ principal suppliers, contractors or customers, that in either case would, individually or in the aggregate, reasonably be expected to result in a Material Adverse Change.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1" w:name="page12"/>
    <w:bookmarkEnd w:id="11"/>
    <w:p>
      <w:pPr>
        <w:jc w:val="both"/>
        <w:ind w:right="40" w:firstLine="436"/>
        <w:spacing w:after="0" w:line="277" w:lineRule="auto"/>
        <w:tabs>
          <w:tab w:leader="none" w:pos="6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Necessary Permits, etc. </w:t>
      </w:r>
      <w:r>
        <w:rPr>
          <w:rFonts w:ascii="Times New Roman" w:cs="Times New Roman" w:eastAsia="Times New Roman" w:hAnsi="Times New Roman"/>
          <w:sz w:val="17"/>
          <w:szCs w:val="17"/>
          <w:color w:val="auto"/>
        </w:rPr>
        <w:t>The Company and each of its subsidiaries possess such valid and current certificates, authorizations, permits,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licenses, approvals, consents and other authorizations issued by the appropriate state, federal or foreign regulatory agencies or bodies necessary to conduct their respective businesses, and none of the Company or any of its subsidiaries has received any notice of proceedings relating to the revocation or modification of or non-compliance with, any such certificate, authorization, permit, license, approval, consent or other authorization which, singly or in the aggregate, if the subject of an unfavorable decision, ruling or finding, would reasonably be expected to result in a Material Adverse Change.</w:t>
      </w:r>
    </w:p>
    <w:p>
      <w:pPr>
        <w:spacing w:after="0" w:line="167" w:lineRule="exact"/>
        <w:rPr>
          <w:rFonts w:ascii="Times New Roman" w:cs="Times New Roman" w:eastAsia="Times New Roman" w:hAnsi="Times New Roman"/>
          <w:sz w:val="17"/>
          <w:szCs w:val="17"/>
          <w:color w:val="auto"/>
        </w:rPr>
      </w:pPr>
    </w:p>
    <w:p>
      <w:pPr>
        <w:ind w:right="40" w:firstLine="436"/>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Properties. </w:t>
      </w:r>
      <w:r>
        <w:rPr>
          <w:rFonts w:ascii="Times New Roman" w:cs="Times New Roman" w:eastAsia="Times New Roman" w:hAnsi="Times New Roman"/>
          <w:sz w:val="18"/>
          <w:szCs w:val="18"/>
          <w:color w:val="auto"/>
        </w:rPr>
        <w:t>Except as otherwise disclosed in the Registration Statement, the Time of Sale Information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of its subsidiaries has good and marketable title to all the properties and assets reflected as owned in the financial statements referred to in Section 1(m) above (or elsewhere in the Registration Statement, the Time of Sale Information and the Prospectus), in each case free and clear of any security interests, mortgages, liens, encumbrances, equities, claims and other defects, except such as, individually or in the aggregate, would not reasonably be expected to result in a Material Adverse Change. The real property, improvements, equipment and personal property held under lease by the Company and any of its subsidiaries are held under valid and enforceable leases, except such as, individually or in the aggregate, would not reasonably be expected to result in a Material Adverse Change.</w:t>
      </w:r>
    </w:p>
    <w:p>
      <w:pPr>
        <w:spacing w:after="0" w:line="182"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Law Compliance. </w:t>
      </w:r>
      <w:r>
        <w:rPr>
          <w:rFonts w:ascii="Times New Roman" w:cs="Times New Roman" w:eastAsia="Times New Roman" w:hAnsi="Times New Roman"/>
          <w:sz w:val="18"/>
          <w:szCs w:val="18"/>
          <w:color w:val="auto"/>
        </w:rPr>
        <w:t>The Company and its subsidiaries have filed all necessary federal, state, local and foreign income and franchise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in a timely manner and have paid all taxes required to be paid by any of them and, if due and payable, any related or similar assessment, fine or penalty levied against any of them, except for any taxes, assessments, fines or penalties as may be being contested in good faith and by appropriate proceedings, and except where a default to make such filings or payments would not reasonably be expected to result in a Material Adverse Change. The Company and its subsidiaries have made appropriate provisions in the applicable financial statements referred to in Section 1(m) above in respect of all federal, state, local and foreign income and franchise taxes for all current or prior periods as to which the tax liability of the Company or any of its subsidiaries has not been finally determined.</w:t>
      </w:r>
    </w:p>
    <w:p>
      <w:pPr>
        <w:spacing w:after="0" w:line="182" w:lineRule="exact"/>
        <w:rPr>
          <w:rFonts w:ascii="Times New Roman" w:cs="Times New Roman" w:eastAsia="Times New Roman" w:hAnsi="Times New Roman"/>
          <w:sz w:val="18"/>
          <w:szCs w:val="18"/>
          <w:color w:val="auto"/>
        </w:rPr>
      </w:pPr>
    </w:p>
    <w:p>
      <w:pPr>
        <w:jc w:val="both"/>
        <w:ind w:right="20" w:firstLine="436"/>
        <w:spacing w:after="0" w:line="267"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 an Investment Company. </w:t>
      </w:r>
      <w:r>
        <w:rPr>
          <w:rFonts w:ascii="Times New Roman" w:cs="Times New Roman" w:eastAsia="Times New Roman" w:hAnsi="Times New Roman"/>
          <w:sz w:val="18"/>
          <w:szCs w:val="18"/>
          <w:color w:val="auto"/>
        </w:rPr>
        <w:t>The Company is not, and after receipt of payment for the Securities and the application of the proceeds thereof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under the caption “Use of Proceeds” in the Time of Sale Information and the Prospectus will not be, required to register as an “investment company” within the meaning of the Investment Company Act of 1940, as amended.</w:t>
      </w:r>
    </w:p>
    <w:p>
      <w:pPr>
        <w:spacing w:after="0" w:line="173"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each of its subsidiaries are insured by recognized, financially sound and reputable institutions with policies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amounts and with such deductibles and covering such risks as are generally deemed adequate and customary for their businesses. All policies of insurance insuring the Company or any of its subsidiaries or their respective businesses, assets, employees, officers and directors are in full force and effect.</w:t>
      </w:r>
    </w:p>
    <w:p>
      <w:pPr>
        <w:spacing w:after="0" w:line="179" w:lineRule="exact"/>
        <w:rPr>
          <w:rFonts w:ascii="Times New Roman" w:cs="Times New Roman" w:eastAsia="Times New Roman" w:hAnsi="Times New Roman"/>
          <w:sz w:val="18"/>
          <w:szCs w:val="18"/>
          <w:color w:val="auto"/>
        </w:rPr>
      </w:pPr>
    </w:p>
    <w:p>
      <w:pPr>
        <w:ind w:right="280" w:firstLine="436"/>
        <w:spacing w:after="0" w:line="267"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Price Stabilization or Manipulation. </w:t>
      </w:r>
      <w:r>
        <w:rPr>
          <w:rFonts w:ascii="Times New Roman" w:cs="Times New Roman" w:eastAsia="Times New Roman" w:hAnsi="Times New Roman"/>
          <w:sz w:val="18"/>
          <w:szCs w:val="18"/>
          <w:color w:val="auto"/>
        </w:rPr>
        <w:t>None of Company or any of its subsidiaries has taken or will take, directly or indirectly,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be reasonably expected to cause or result in stabilization or manipulation of the price of any security of the Company to facilitate the sale or resale of the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12" w:name="page13"/>
    <w:bookmarkEnd w:id="12"/>
    <w:p>
      <w:pPr>
        <w:ind w:left="-20" w:firstLine="436"/>
        <w:spacing w:after="0" w:line="267" w:lineRule="auto"/>
        <w:tabs>
          <w:tab w:leader="none" w:pos="6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Related Party Transactions. </w:t>
      </w:r>
      <w:r>
        <w:rPr>
          <w:rFonts w:ascii="Times New Roman" w:cs="Times New Roman" w:eastAsia="Times New Roman" w:hAnsi="Times New Roman"/>
          <w:sz w:val="18"/>
          <w:szCs w:val="18"/>
          <w:color w:val="auto"/>
        </w:rPr>
        <w:t>There are no business relationships or related-party transactions involving the Company or any of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other person required to be described in the Registration Statement, the Time of Sale Information and the Prospectus that have not been described as required.</w:t>
      </w:r>
    </w:p>
    <w:p>
      <w:pPr>
        <w:spacing w:after="0" w:line="173" w:lineRule="exact"/>
        <w:rPr>
          <w:rFonts w:ascii="Times New Roman" w:cs="Times New Roman" w:eastAsia="Times New Roman" w:hAnsi="Times New Roman"/>
          <w:sz w:val="18"/>
          <w:szCs w:val="18"/>
          <w:color w:val="auto"/>
        </w:rPr>
      </w:pPr>
    </w:p>
    <w:p>
      <w:pPr>
        <w:ind w:left="-20" w:right="240" w:firstLine="436"/>
        <w:spacing w:after="0" w:line="284" w:lineRule="auto"/>
        <w:tabs>
          <w:tab w:leader="none" w:pos="6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Registration Rights. </w:t>
      </w:r>
      <w:r>
        <w:rPr>
          <w:rFonts w:ascii="Times New Roman" w:cs="Times New Roman" w:eastAsia="Times New Roman" w:hAnsi="Times New Roman"/>
          <w:sz w:val="18"/>
          <w:szCs w:val="18"/>
          <w:color w:val="auto"/>
        </w:rPr>
        <w:t>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Securities.</w:t>
      </w:r>
    </w:p>
    <w:p>
      <w:pPr>
        <w:spacing w:after="0" w:line="158" w:lineRule="exact"/>
        <w:rPr>
          <w:sz w:val="20"/>
          <w:szCs w:val="20"/>
          <w:color w:val="auto"/>
        </w:rPr>
      </w:pPr>
    </w:p>
    <w:p>
      <w:pPr>
        <w:ind w:left="-20" w:right="40" w:firstLine="436"/>
        <w:spacing w:after="0" w:line="254" w:lineRule="auto"/>
        <w:tabs>
          <w:tab w:leader="none" w:pos="7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Contributions or Other Payments. </w:t>
      </w:r>
      <w:r>
        <w:rPr>
          <w:rFonts w:ascii="Times New Roman" w:cs="Times New Roman" w:eastAsia="Times New Roman" w:hAnsi="Times New Roman"/>
          <w:sz w:val="18"/>
          <w:szCs w:val="18"/>
          <w:color w:val="auto"/>
        </w:rPr>
        <w:t>None of the Company or any of its subsidiaries or, to the best of the Company’s knowledge,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(collectively,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its subsidiaries and, to the best of the Company’s knowledge, their affiliates have conducted their businesses in compliance with the FCPA and have, to the extent necessary, instituted and maintained policies and procedures designed to ensure, and which are reasonably expected to continue to ensure, continued compliance therewith.</w:t>
      </w:r>
    </w:p>
    <w:p>
      <w:pPr>
        <w:spacing w:after="0" w:line="188" w:lineRule="exact"/>
        <w:rPr>
          <w:rFonts w:ascii="Times New Roman" w:cs="Times New Roman" w:eastAsia="Times New Roman" w:hAnsi="Times New Roman"/>
          <w:sz w:val="18"/>
          <w:szCs w:val="18"/>
          <w:color w:val="auto"/>
        </w:rPr>
      </w:pPr>
    </w:p>
    <w:p>
      <w:pPr>
        <w:ind w:left="-20" w:right="40" w:firstLine="436"/>
        <w:spacing w:after="0" w:line="257" w:lineRule="auto"/>
        <w:tabs>
          <w:tab w:leader="none" w:pos="7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 with Money Laundering Laws. </w:t>
      </w:r>
      <w:r>
        <w:rPr>
          <w:rFonts w:ascii="Times New Roman" w:cs="Times New Roman" w:eastAsia="Times New Roman" w:hAnsi="Times New Roman"/>
          <w:sz w:val="18"/>
          <w:szCs w:val="18"/>
          <w:color w:val="auto"/>
        </w:rPr>
        <w:t>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in all material respects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2" w:lineRule="exact"/>
        <w:rPr>
          <w:rFonts w:ascii="Times New Roman" w:cs="Times New Roman" w:eastAsia="Times New Roman" w:hAnsi="Times New Roman"/>
          <w:sz w:val="18"/>
          <w:szCs w:val="18"/>
          <w:color w:val="auto"/>
        </w:rPr>
      </w:pPr>
    </w:p>
    <w:p>
      <w:pPr>
        <w:ind w:left="-20" w:firstLine="436"/>
        <w:spacing w:after="0" w:line="256" w:lineRule="auto"/>
        <w:tabs>
          <w:tab w:leader="none" w:pos="7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 with OFAC Laws. </w:t>
      </w:r>
      <w:r>
        <w:rPr>
          <w:rFonts w:ascii="Times New Roman" w:cs="Times New Roman" w:eastAsia="Times New Roman" w:hAnsi="Times New Roman"/>
          <w:sz w:val="18"/>
          <w:szCs w:val="18"/>
          <w:color w:val="auto"/>
        </w:rPr>
        <w:t>None of the Company or any of its subsidiaries nor, to the best knowledge of the Company, any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agent, employee or affiliate of the Company or any of its subsidiaries is currently the subject or target of any sanctions administered or enforced by the United States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Sanctions.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68" w:right="479" w:bottom="1440" w:gutter="0" w:footer="0" w:header="0"/>
        </w:sectPr>
      </w:pPr>
    </w:p>
    <w:bookmarkStart w:id="13" w:name="page14"/>
    <w:bookmarkEnd w:id="13"/>
    <w:p>
      <w:pPr>
        <w:ind w:left="-20" w:right="60" w:firstLine="436"/>
        <w:spacing w:after="0" w:line="252"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Environmental Laws. </w:t>
      </w:r>
      <w:r>
        <w:rPr>
          <w:rFonts w:ascii="Times New Roman" w:cs="Times New Roman" w:eastAsia="Times New Roman" w:hAnsi="Times New Roman"/>
          <w:sz w:val="18"/>
          <w:szCs w:val="18"/>
          <w:color w:val="auto"/>
        </w:rPr>
        <w:t>Except as otherwise disclosed in the Registration Statement, the Time of Sale Information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 none of the Company or any of its subsidiaries is in violation of any federal, state, local or foreign law, regulation, order, permit or other requirement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or otherwise relating to the manufacture, processing, distribution, use, treatment, storage, disposal, transport or handling of Materials of Environment Concern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which violation includes, but is not limited to, noncompliance with any permits or other governmental authorizations required for the operation of the business of the Company and its subsidiaries under applicable Environmental Laws, or noncompliance with the terms and conditions thereof, nor has the Company or any of its subsidiaries received any written communication that alleges that the Company or any of its subsidiaries is in violation of any Environmental Law, except in each case as would not, individually or in the aggregate, reasonably be expected to result in a Material Adverse Change; (ii) there is no claim, action or cause of action filed with a court or governmental authority, no investigation with respect to which the Company or any of its subsidiaries has received written notice, and no written notice by any person or entity to the Company or any of its subsidiaries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 w:cs="Times New Roman" w:eastAsia="Times New Roman" w:hAnsi="Times New Roman"/>
          <w:sz w:val="18"/>
          <w:szCs w:val="18"/>
          <w:u w:val="single" w:color="auto"/>
          <w:color w:val="auto"/>
        </w:rPr>
        <w:t>Environmental Claims</w:t>
      </w:r>
      <w:r>
        <w:rPr>
          <w:rFonts w:ascii="Times New Roman" w:cs="Times New Roman" w:eastAsia="Times New Roman" w:hAnsi="Times New Roman"/>
          <w:sz w:val="18"/>
          <w:szCs w:val="18"/>
          <w:color w:val="auto"/>
        </w:rPr>
        <w:t>”), pending or, to the best knowledge of the Company, threatened against the Company or any of its subsidiaries, except as would not, individually or in the aggregate, reasonably be expected to result in a Material Adverse Change; and (iii) to the best knowledge of the Company, there are no past, present or anticipated future actions, activities, circumstances, conditions, events or incidents, including, without limitation, the release, emission, discharge, presence or disposal of any Material of Environmental Concern, that reasonably would be expected to result in a violation of any Environmental Law, require expenditures to be incurred pursuant to Environmental Law, or form the basis of a potential Environmental Claim against the Company or any of its subsidiaries, except as would not individually or in the aggregate, reasonably be expect to result in a Material Adverse Change.</w:t>
      </w:r>
    </w:p>
    <w:p>
      <w:pPr>
        <w:spacing w:after="0" w:line="186" w:lineRule="exact"/>
        <w:rPr>
          <w:rFonts w:ascii="Times New Roman" w:cs="Times New Roman" w:eastAsia="Times New Roman" w:hAnsi="Times New Roman"/>
          <w:sz w:val="18"/>
          <w:szCs w:val="18"/>
          <w:color w:val="auto"/>
        </w:rPr>
      </w:pPr>
    </w:p>
    <w:p>
      <w:pPr>
        <w:ind w:left="-20" w:firstLine="436"/>
        <w:spacing w:after="0" w:line="261" w:lineRule="auto"/>
        <w:tabs>
          <w:tab w:leader="none" w:pos="7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Sarbanes-Oxley Compliance. </w:t>
      </w:r>
      <w:r>
        <w:rPr>
          <w:rFonts w:ascii="Times New Roman" w:cs="Times New Roman" w:eastAsia="Times New Roman" w:hAnsi="Times New Roman"/>
          <w:sz w:val="18"/>
          <w:szCs w:val="18"/>
          <w:color w:val="auto"/>
        </w:rPr>
        <w:t>There is and has been no failure on the part of the Company and any of the Company’s directors or officers,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capacities as such, to comply in any material respect with any applicable provision of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including Section 402 related to loans and Sections 302 and 906 related to certifications.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60" w:top="268" w:right="459" w:bottom="1440" w:gutter="0" w:footer="0" w:header="0"/>
        </w:sectPr>
      </w:pPr>
    </w:p>
    <w:bookmarkStart w:id="14" w:name="page15"/>
    <w:bookmarkEnd w:id="14"/>
    <w:p>
      <w:pPr>
        <w:ind w:right="100" w:firstLine="436"/>
        <w:spacing w:after="0" w:line="284" w:lineRule="auto"/>
        <w:tabs>
          <w:tab w:leader="none" w:pos="7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Company’s Accounting System. </w:t>
      </w:r>
      <w:r>
        <w:rPr>
          <w:rFonts w:ascii="Times New Roman" w:cs="Times New Roman" w:eastAsia="Times New Roman" w:hAnsi="Times New Roman"/>
          <w:sz w:val="18"/>
          <w:szCs w:val="18"/>
          <w:color w:val="auto"/>
        </w:rPr>
        <w:t>The Company and its subsidiaries maintain effective internal control over financial reporting,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13a-15(f) under the Exchange Act.</w:t>
      </w:r>
    </w:p>
    <w:p>
      <w:pPr>
        <w:spacing w:after="0" w:line="158" w:lineRule="exact"/>
        <w:rPr>
          <w:rFonts w:ascii="Times New Roman" w:cs="Times New Roman" w:eastAsia="Times New Roman" w:hAnsi="Times New Roman"/>
          <w:sz w:val="18"/>
          <w:szCs w:val="18"/>
          <w:color w:val="auto"/>
        </w:rPr>
      </w:pPr>
    </w:p>
    <w:p>
      <w:pPr>
        <w:ind w:right="40" w:firstLine="436"/>
        <w:spacing w:after="0" w:line="258"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Controls and Procedures. </w:t>
      </w:r>
      <w:r>
        <w:rPr>
          <w:rFonts w:ascii="Times New Roman" w:cs="Times New Roman" w:eastAsia="Times New Roman" w:hAnsi="Times New Roman"/>
          <w:sz w:val="18"/>
          <w:szCs w:val="18"/>
          <w:color w:val="auto"/>
        </w:rPr>
        <w:t>The Company maintains a system of internal accounting controls sufficient to provide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3" w:lineRule="exact"/>
        <w:rPr>
          <w:rFonts w:ascii="Times New Roman" w:cs="Times New Roman" w:eastAsia="Times New Roman" w:hAnsi="Times New Roman"/>
          <w:sz w:val="18"/>
          <w:szCs w:val="18"/>
          <w:color w:val="auto"/>
        </w:rPr>
      </w:pPr>
    </w:p>
    <w:p>
      <w:pPr>
        <w:ind w:right="180" w:firstLine="436"/>
        <w:spacing w:after="0" w:line="261"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Weakness in Internal Controls. </w:t>
      </w:r>
      <w:r>
        <w:rPr>
          <w:rFonts w:ascii="Times New Roman" w:cs="Times New Roman" w:eastAsia="Times New Roman" w:hAnsi="Times New Roman"/>
          <w:sz w:val="18"/>
          <w:szCs w:val="18"/>
          <w:color w:val="auto"/>
        </w:rPr>
        <w:t>Except as disclosed in the Registration Statement, the Time of Sale Information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79" w:lineRule="exact"/>
        <w:rPr>
          <w:rFonts w:ascii="Times New Roman" w:cs="Times New Roman" w:eastAsia="Times New Roman" w:hAnsi="Times New Roman"/>
          <w:sz w:val="18"/>
          <w:szCs w:val="18"/>
          <w:color w:val="auto"/>
        </w:rPr>
      </w:pPr>
    </w:p>
    <w:p>
      <w:pPr>
        <w:ind w:right="40" w:firstLine="436"/>
        <w:spacing w:after="0" w:line="267" w:lineRule="auto"/>
        <w:tabs>
          <w:tab w:leader="none" w:pos="7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 maintains an effective system of “disclosure controls and procedures” (as defined in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13a-15(e) under the Exchange Act). The Company has carried out evaluations of the effectiveness of its disclosure controls and procedures as required by Rule 13a-15 under the Exchange Act.</w:t>
      </w:r>
    </w:p>
    <w:p>
      <w:pPr>
        <w:spacing w:after="0" w:line="173" w:lineRule="exact"/>
        <w:rPr>
          <w:rFonts w:ascii="Times New Roman" w:cs="Times New Roman" w:eastAsia="Times New Roman" w:hAnsi="Times New Roman"/>
          <w:sz w:val="18"/>
          <w:szCs w:val="18"/>
          <w:color w:val="auto"/>
        </w:rPr>
      </w:pPr>
    </w:p>
    <w:p>
      <w:pPr>
        <w:ind w:right="20" w:firstLine="436"/>
        <w:spacing w:after="0" w:line="272" w:lineRule="auto"/>
        <w:tabs>
          <w:tab w:leader="none" w:pos="70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Except as would not, individually or in the aggregate, reasonably be expected to result in a Material Adverse Change,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are reasonably believed by the Company to be adequate for, and operate and perform as required in connection with, the operation of the business of the Company and its subsidiaries as currently conducted. The Company and its subsidiaries use the NIST Cybersecurity Framework, and consistent therewith have implemented, and continue to monitor and develop, commercially reasonable controls, policies, procedures, and safeguards to prevent, detect, and address the risk of unauthorized use, misuse, intrusion and similar events involving the IT Systems. To the knowledge of the Company, there have been no breaches or unauthorized uses of or accesses to the IT Systems, and no such incidents are under internal investigation, that individually or in the aggregate, have, or would reasonably be expected to result in, a Material Adverse Change.</w:t>
      </w:r>
    </w:p>
    <w:p>
      <w:pPr>
        <w:spacing w:after="0" w:line="17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Representatives or to counsel for the Underwriters shall be deemed to be a representation and warranty by the Company to each Underwriter as to the matters set forth therein.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68" w:right="519" w:bottom="1440" w:gutter="0" w:footer="0" w:header="0"/>
        </w:sectPr>
      </w:pPr>
    </w:p>
    <w:bookmarkStart w:id="15" w:name="page16"/>
    <w:bookmarkEnd w:id="15"/>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i w:val="1"/>
          <w:iCs w:val="1"/>
          <w:color w:val="auto"/>
        </w:rPr>
        <w:t>Purchase, Sale and Delivery of the Securities.</w:t>
      </w:r>
    </w:p>
    <w:p>
      <w:pPr>
        <w:spacing w:after="0" w:line="225" w:lineRule="exact"/>
        <w:rPr>
          <w:sz w:val="20"/>
          <w:szCs w:val="20"/>
          <w:color w:val="auto"/>
        </w:rPr>
      </w:pPr>
    </w:p>
    <w:p>
      <w:pPr>
        <w:ind w:firstLine="436"/>
        <w:spacing w:after="0" w:line="256"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Securities. </w:t>
      </w:r>
      <w:r>
        <w:rPr>
          <w:rFonts w:ascii="Times New Roman" w:cs="Times New Roman" w:eastAsia="Times New Roman" w:hAnsi="Times New Roman"/>
          <w:sz w:val="18"/>
          <w:szCs w:val="18"/>
          <w:color w:val="auto"/>
        </w:rPr>
        <w:t>The Company agrees to issue and sell to the Underwriters, severally and not jointly, all of the Securities upon the terms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On the basis of the representations, warranties and agreements herein contained, and upon the terms but subject to the conditions herein set forth, the Underwriters agree, severally and not jointly, to purchase from the Company (i) the aggregate principal amount of the 2031 Notes set forth opposite their names on Schedule A at a purchase price of 99.228% of the principal amount thereof, and (ii) the aggregate principal amount of 2036 Notes set forth opposite their names on Schedule A at a purchase price of 98.327% of the principal amount thereof plus, in each case, accrued interest, if any, from June 26, 2026, payable on the Closing Date. The Company will not be obligated to deliver any of the Securities except upon payment for all the Securities to be purchased as provided herein.</w:t>
      </w:r>
    </w:p>
    <w:p>
      <w:pPr>
        <w:spacing w:after="0" w:line="182"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Closing Date. </w:t>
      </w:r>
      <w:r>
        <w:rPr>
          <w:rFonts w:ascii="Times New Roman" w:cs="Times New Roman" w:eastAsia="Times New Roman" w:hAnsi="Times New Roman"/>
          <w:sz w:val="18"/>
          <w:szCs w:val="18"/>
          <w:color w:val="auto"/>
        </w:rPr>
        <w:t>Delivery of certificates for the Securities in global form to be purchased by the Underwriters and payment therefor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at the offices of counsel for the Representatives (or such other place as may be agreed to by the Company and the Representatives) at 9:00 a.m., New York City time, on June 26, 2026, or such other time and date as the Representatives and the Company shall mutually agree (the time and date of such closing are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460" w:firstLine="436"/>
        <w:spacing w:after="0" w:line="267" w:lineRule="auto"/>
        <w:tabs>
          <w:tab w:leader="none" w:pos="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Offering of the Securities. </w:t>
      </w:r>
      <w:r>
        <w:rPr>
          <w:rFonts w:ascii="Times New Roman" w:cs="Times New Roman" w:eastAsia="Times New Roman" w:hAnsi="Times New Roman"/>
          <w:sz w:val="18"/>
          <w:szCs w:val="18"/>
          <w:color w:val="auto"/>
        </w:rPr>
        <w:t>The Representatives hereby advise the Company that the Underwriters intend to make a public offering,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described in the Time of Sale Information and the Prospectus, of their respective portions of the Securities as soon after the execution and delivery of this Agreement as the Representatives, in their sole judgment, have determined is advisable and practicable.</w:t>
      </w:r>
    </w:p>
    <w:p>
      <w:pPr>
        <w:spacing w:after="0" w:line="173" w:lineRule="exact"/>
        <w:rPr>
          <w:rFonts w:ascii="Times New Roman" w:cs="Times New Roman" w:eastAsia="Times New Roman" w:hAnsi="Times New Roman"/>
          <w:sz w:val="18"/>
          <w:szCs w:val="18"/>
          <w:color w:val="auto"/>
        </w:rPr>
      </w:pPr>
    </w:p>
    <w:p>
      <w:pPr>
        <w:ind w:right="240" w:firstLine="436"/>
        <w:spacing w:after="0" w:line="284"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for the Securities. </w:t>
      </w:r>
      <w:r>
        <w:rPr>
          <w:rFonts w:ascii="Times New Roman" w:cs="Times New Roman" w:eastAsia="Times New Roman" w:hAnsi="Times New Roman"/>
          <w:sz w:val="18"/>
          <w:szCs w:val="18"/>
          <w:color w:val="auto"/>
        </w:rPr>
        <w:t>Payment for the Securities shall be made on the Closing Date by wire transfer of immediately available funds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order of the Company.</w:t>
      </w:r>
    </w:p>
    <w:p>
      <w:pPr>
        <w:spacing w:after="0" w:line="16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It is understood that the Representatives have been authorized, for their own accounts and for the accounts of the several Underwriters, to accept delivery of and receipt for, and make payment of the purchase price for, the Securities that the Underwriters have agreed to purchase. The Representatives may (but shall not be obligated to) make payment for any Securities to be purchased by any Underwriter whose funds shall not have been received by the Representatives by the Closing Date for the account of such Underwriter, but any such payment shall not relieve such Underwriter from any of its obligations under this Agreement.</w:t>
      </w:r>
    </w:p>
    <w:p>
      <w:pPr>
        <w:spacing w:after="0" w:line="181" w:lineRule="exact"/>
        <w:rPr>
          <w:sz w:val="20"/>
          <w:szCs w:val="20"/>
          <w:color w:val="auto"/>
        </w:rPr>
      </w:pPr>
    </w:p>
    <w:p>
      <w:pPr>
        <w:ind w:right="20" w:firstLine="436"/>
        <w:spacing w:after="0" w:line="258"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the Securities. </w:t>
      </w:r>
      <w:r>
        <w:rPr>
          <w:rFonts w:ascii="Times New Roman" w:cs="Times New Roman" w:eastAsia="Times New Roman" w:hAnsi="Times New Roman"/>
          <w:sz w:val="18"/>
          <w:szCs w:val="18"/>
          <w:color w:val="auto"/>
        </w:rPr>
        <w:t>The Company shall deliver, or cause to be delivered, the Securities through the facilities of the Depositary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for the accounts of the several Underwriters on the Closing Date, against the irrevocable release of a wire transfer of immediately available funds for the amount of the purchase price therefor. The certificates for the Securities in global form shall be registered in the name of a nominee for the Depositary and shall be made available for inspection on the business day preceding the Closing Date. Time shall be of the essence, and delivery at the time and place specified in this Agreement is a further condition to the obligations of the Underwriters.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16" w:name="page17"/>
    <w:bookmarkEnd w:id="1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i w:val="1"/>
          <w:iCs w:val="1"/>
          <w:color w:val="auto"/>
        </w:rPr>
        <w:t>Covenants of the Company.</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and agrees with each Underwriter as follows:</w:t>
      </w:r>
    </w:p>
    <w:p>
      <w:pPr>
        <w:spacing w:after="0" w:line="115" w:lineRule="exact"/>
        <w:rPr>
          <w:sz w:val="20"/>
          <w:szCs w:val="20"/>
          <w:color w:val="auto"/>
        </w:rPr>
      </w:pPr>
    </w:p>
    <w:p>
      <w:pPr>
        <w:ind w:left="680" w:hanging="244"/>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Preparation of Final Prospectus; Underwriters’ Review of Proposed Amendments and Supplements. </w:t>
      </w:r>
      <w:r>
        <w:rPr>
          <w:rFonts w:ascii="Times New Roman" w:cs="Times New Roman" w:eastAsia="Times New Roman" w:hAnsi="Times New Roman"/>
          <w:sz w:val="18"/>
          <w:szCs w:val="18"/>
          <w:color w:val="auto"/>
        </w:rPr>
        <w:t>The Company will file the final</w:t>
      </w:r>
    </w:p>
    <w:p>
      <w:pPr>
        <w:spacing w:after="0" w:line="2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Prospectus with the Commission within the time periods specified by Rule 424(b) and Rule 430A, 430B or 430C under the Securities Act, will file any Issuer Free Writing Prospectus (including the Pricing Term Sheet in the form of Exhibit B hereto) to the extent required by Rule 433 under the Securities Act, and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The Company will furnish copies of the Prospectus and each Issuer Free Writing Prospectus (to the extent not previously delivered) to the Underwriters in New York City prior to 10:00 a.m., New York City time, on the second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 Before using, authorizing, approving, referring to or filing any Issuer Free Writing Prospectus, and before filing any amendment or supplement to the Registration Statement or the Prospectus prior to the completion of the offering of the Securities, the Company will furnish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have reasonably and promptly objected;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herein shall prohibit the Company from filing any document pursuant to the Exchange Act so long as the Underwriters have been (x) provided with notice of the Company’s intention to make such filing as soon as practicable and (y) furnished with a copy of the proposed filing in advance of the filing thereof with the Commission.</w:t>
      </w:r>
    </w:p>
    <w:p>
      <w:pPr>
        <w:spacing w:after="0" w:line="188"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and Supplements to the Prospectus and Other Securities Act Matters. </w:t>
      </w:r>
      <w:r>
        <w:rPr>
          <w:rFonts w:ascii="Times New Roman" w:cs="Times New Roman" w:eastAsia="Times New Roman" w:hAnsi="Times New Roman"/>
          <w:sz w:val="18"/>
          <w:szCs w:val="18"/>
          <w:color w:val="auto"/>
        </w:rPr>
        <w:t>If, prior to the later of (x) the Closing Date and (y) the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Prospectus Delivery Period (as defined below), any event shall occur or condition exist as a result of which (i) the Time of Sale Information (prior to the Closing Date) or the Prospectus (prior to the later of the Closing Date and the end of the Prospectus Delivery Period), in both cases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(prior to the Closing Date) or the Prospectus (prior to the later of the Closing Date and the end of the Prospectus Delivery Period) to comply with law, the Company will promptly notify the Underwriters thereof and forthwith prepare and, subject to paragraph (a) above, file with the Commission (to the extent required) and furnish to the Underwriters and to such dealers as the Representatives may designate, such amendments or supplements to the Time of Sale Information (prior to the Closing Date) or the Prospectus (prior to the later of the Closing Date and the end of the Prospectus Delivery Period) as may be necessary so that the statements in the Time of Sale Information (prior to the Closing Date) or the Prospectus (prior to the later of the Closing Date and the end of the Prospectus Delivery Period), in both cases as so amended or supplemented will not, in the light of the circumstances, be misleading or so that the Time of Sale Information (prior to the Closing Date) or the Prospectus (prior to the later of the Closing Date and the end of the Prospectus Delivery Period) will comply with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7" w:name="page18"/>
    <w:bookmarkEnd w:id="17"/>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expressly acknowledges that the indemnification and contribution provisions of Sections 8 and 9 hereof are specifically applicable and relate to each registration statement, prospectus, amendment or supplement referred to in this Section 3.</w:t>
      </w:r>
    </w:p>
    <w:p>
      <w:pPr>
        <w:spacing w:after="0" w:line="160" w:lineRule="exact"/>
        <w:rPr>
          <w:sz w:val="20"/>
          <w:szCs w:val="20"/>
          <w:color w:val="auto"/>
        </w:rPr>
      </w:pPr>
    </w:p>
    <w:p>
      <w:pPr>
        <w:ind w:left="4" w:right="80" w:firstLine="436"/>
        <w:spacing w:after="0" w:line="257" w:lineRule="auto"/>
        <w:tabs>
          <w:tab w:leader="none" w:pos="6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Copies of the Registration Statement, the Time of Sale Information and the Prospectus. </w:t>
      </w:r>
      <w:r>
        <w:rPr>
          <w:rFonts w:ascii="Times New Roman" w:cs="Times New Roman" w:eastAsia="Times New Roman" w:hAnsi="Times New Roman"/>
          <w:sz w:val="18"/>
          <w:szCs w:val="18"/>
          <w:color w:val="auto"/>
        </w:rPr>
        <w:t>The Company agrees to furnish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as many copies of the Registration Statement, the Time of Sale Information and the Prospectus and any amendments and supplements thereto as they shall have reasonably requested through the later of the Closing Date and the end of the Prospectus Delivery Period.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82" w:lineRule="exact"/>
        <w:rPr>
          <w:rFonts w:ascii="Times New Roman" w:cs="Times New Roman" w:eastAsia="Times New Roman" w:hAnsi="Times New Roman"/>
          <w:sz w:val="18"/>
          <w:szCs w:val="18"/>
          <w:color w:val="auto"/>
        </w:rPr>
      </w:pPr>
    </w:p>
    <w:p>
      <w:pPr>
        <w:ind w:left="4" w:firstLine="436"/>
        <w:spacing w:after="0" w:line="267" w:lineRule="auto"/>
        <w:tabs>
          <w:tab w:leader="none" w:pos="69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to the Representatives. </w:t>
      </w:r>
      <w:r>
        <w:rPr>
          <w:rFonts w:ascii="Times New Roman" w:cs="Times New Roman" w:eastAsia="Times New Roman" w:hAnsi="Times New Roman"/>
          <w:sz w:val="17"/>
          <w:szCs w:val="17"/>
          <w:color w:val="auto"/>
        </w:rPr>
        <w:t>Prior to the end of the Prospectus Delivery Period, the Company will advise the Representatives promptly,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confirm 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w:t>
      </w:r>
    </w:p>
    <w:p>
      <w:pPr>
        <w:spacing w:after="0" w:line="2" w:lineRule="exact"/>
        <w:rPr>
          <w:rFonts w:ascii="Times New Roman" w:cs="Times New Roman" w:eastAsia="Times New Roman" w:hAnsi="Times New Roman"/>
          <w:sz w:val="17"/>
          <w:szCs w:val="17"/>
          <w:color w:val="auto"/>
        </w:rPr>
      </w:pPr>
    </w:p>
    <w:p>
      <w:pPr>
        <w:ind w:left="4" w:right="120" w:hanging="4"/>
        <w:spacing w:after="0" w:line="253" w:lineRule="auto"/>
        <w:tabs>
          <w:tab w:leader="none" w:pos="3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reasonable best efforts to obtain as soon as possible the withdrawal thereof.</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18" w:name="page19"/>
    <w:bookmarkEnd w:id="18"/>
    <w:p>
      <w:pPr>
        <w:ind w:left="-40" w:right="220" w:firstLine="436"/>
        <w:spacing w:after="0" w:line="258" w:lineRule="auto"/>
        <w:tabs>
          <w:tab w:leader="none" w:pos="6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Blue Sky Compliance. </w:t>
      </w:r>
      <w:r>
        <w:rPr>
          <w:rFonts w:ascii="Times New Roman" w:cs="Times New Roman" w:eastAsia="Times New Roman" w:hAnsi="Times New Roman"/>
          <w:sz w:val="18"/>
          <w:szCs w:val="18"/>
          <w:color w:val="auto"/>
        </w:rPr>
        <w:t>The Company shall cooperate with the Representatives and counsel for the Underwriters to qualify or register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Securities. The Company shall not be required to qualify to transact business or to take any action that would subject it to general service of process in any such jurisdiction where it is not presently qualified or where it would be subject to taxation as a foreign business.</w:t>
      </w:r>
    </w:p>
    <w:p>
      <w:pPr>
        <w:spacing w:after="0" w:line="183" w:lineRule="exact"/>
        <w:rPr>
          <w:rFonts w:ascii="Times New Roman" w:cs="Times New Roman" w:eastAsia="Times New Roman" w:hAnsi="Times New Roman"/>
          <w:sz w:val="18"/>
          <w:szCs w:val="18"/>
          <w:color w:val="auto"/>
        </w:rPr>
      </w:pPr>
    </w:p>
    <w:p>
      <w:pPr>
        <w:ind w:left="-40" w:firstLine="436"/>
        <w:spacing w:after="0" w:line="284"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shall apply the net proceeds from the sale of the Securities sold by it in the manner described under the caption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Proceeds” in the Time of Sale Information and the Prospectus.</w:t>
      </w:r>
    </w:p>
    <w:p>
      <w:pPr>
        <w:spacing w:after="0" w:line="158" w:lineRule="exact"/>
        <w:rPr>
          <w:rFonts w:ascii="Times New Roman" w:cs="Times New Roman" w:eastAsia="Times New Roman" w:hAnsi="Times New Roman"/>
          <w:sz w:val="18"/>
          <w:szCs w:val="18"/>
          <w:color w:val="auto"/>
        </w:rPr>
      </w:pPr>
    </w:p>
    <w:p>
      <w:pPr>
        <w:ind w:left="-40" w:right="40" w:firstLine="436"/>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The Company will cooperate with the Underwriters and use its best efforts to permit the Securities to be eligible for clearance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through the facilities of the Depositary.</w:t>
      </w:r>
    </w:p>
    <w:p>
      <w:pPr>
        <w:spacing w:after="0" w:line="158" w:lineRule="exact"/>
        <w:rPr>
          <w:rFonts w:ascii="Times New Roman" w:cs="Times New Roman" w:eastAsia="Times New Roman" w:hAnsi="Times New Roman"/>
          <w:sz w:val="18"/>
          <w:szCs w:val="18"/>
          <w:color w:val="auto"/>
        </w:rPr>
      </w:pPr>
    </w:p>
    <w:p>
      <w:pPr>
        <w:ind w:left="-40" w:firstLine="436"/>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Periodic Reporting Obligations. </w:t>
      </w:r>
      <w:r>
        <w:rPr>
          <w:rFonts w:ascii="Times New Roman" w:cs="Times New Roman" w:eastAsia="Times New Roman" w:hAnsi="Times New Roman"/>
          <w:sz w:val="18"/>
          <w:szCs w:val="18"/>
          <w:color w:val="auto"/>
        </w:rPr>
        <w:t>Prior to the end of the Prospectus Delivery Period, the Company shall file, on a timely basis,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all reports and documents required to be filed under Section 13 or 15 of the Exchange Act. 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3" w:lineRule="exact"/>
        <w:rPr>
          <w:rFonts w:ascii="Times New Roman" w:cs="Times New Roman" w:eastAsia="Times New Roman" w:hAnsi="Times New Roman"/>
          <w:sz w:val="18"/>
          <w:szCs w:val="18"/>
          <w:color w:val="auto"/>
        </w:rPr>
      </w:pPr>
    </w:p>
    <w:p>
      <w:pPr>
        <w:ind w:left="-40" w:right="60" w:firstLine="436"/>
        <w:spacing w:after="0" w:line="256" w:lineRule="auto"/>
        <w:tabs>
          <w:tab w:leader="none" w:pos="6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Not to Offer or Sell Additional Securities. </w:t>
      </w:r>
      <w:r>
        <w:rPr>
          <w:rFonts w:ascii="Times New Roman" w:cs="Times New Roman" w:eastAsia="Times New Roman" w:hAnsi="Times New Roman"/>
          <w:sz w:val="18"/>
          <w:szCs w:val="18"/>
          <w:color w:val="auto"/>
        </w:rPr>
        <w:t>During the period commencing on the date hereof and ending on the Closing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will not, without the prior written consent of the Representatives (which consent may be withheld at the sole discretion of the Representatives), directly or indirectly, sell, offer, contract or grant any option to sell, pledge, transfer or establish an open “put equivalent position” within the meaning of Rule 16a-1(h) under the Exchange Act, or otherwise dispose of or transfer, or announce the offering of, or file any registration statement under the Securities Act in respect of any debt securities of the Company or any of its subsidiaries similar to the Securities or securities exchangeable for or convertible into debt securities similar to the Securities (other than as contemplated by this Agreement with respect to the Securities).</w:t>
      </w:r>
    </w:p>
    <w:p>
      <w:pPr>
        <w:spacing w:after="0" w:line="182" w:lineRule="exact"/>
        <w:rPr>
          <w:rFonts w:ascii="Times New Roman" w:cs="Times New Roman" w:eastAsia="Times New Roman" w:hAnsi="Times New Roman"/>
          <w:sz w:val="18"/>
          <w:szCs w:val="18"/>
          <w:color w:val="auto"/>
        </w:rPr>
      </w:pPr>
    </w:p>
    <w:p>
      <w:pPr>
        <w:ind w:left="-40" w:right="20" w:firstLine="436"/>
        <w:spacing w:after="0" w:line="267" w:lineRule="auto"/>
        <w:tabs>
          <w:tab w:leader="none" w:pos="6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Manipulation of Price. </w:t>
      </w:r>
      <w:r>
        <w:rPr>
          <w:rFonts w:ascii="Times New Roman" w:cs="Times New Roman" w:eastAsia="Times New Roman" w:hAnsi="Times New Roman"/>
          <w:sz w:val="18"/>
          <w:szCs w:val="18"/>
          <w:color w:val="auto"/>
        </w:rPr>
        <w:t>The Company and its subsidiaries will not take, directly or indirectly, any action designed to cause or result 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has constituted or might reasonably be expected to constitute, under the Exchange Act or otherwise, the stabilization or manipulation of the price of any securities of the Company or its subsidiaries to facilitate the sale or resale of the Securities.</w:t>
      </w:r>
    </w:p>
    <w:p>
      <w:pPr>
        <w:spacing w:after="0" w:line="173" w:lineRule="exact"/>
        <w:rPr>
          <w:rFonts w:ascii="Times New Roman" w:cs="Times New Roman" w:eastAsia="Times New Roman" w:hAnsi="Times New Roman"/>
          <w:sz w:val="18"/>
          <w:szCs w:val="18"/>
          <w:color w:val="auto"/>
        </w:rPr>
      </w:pPr>
    </w:p>
    <w:p>
      <w:pPr>
        <w:ind w:left="-40" w:right="280" w:firstLine="436"/>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Record Retention. </w:t>
      </w:r>
      <w:r>
        <w:rPr>
          <w:rFonts w:ascii="Times New Roman" w:cs="Times New Roman" w:eastAsia="Times New Roman" w:hAnsi="Times New Roman"/>
          <w:sz w:val="18"/>
          <w:szCs w:val="18"/>
          <w:color w:val="auto"/>
        </w:rPr>
        <w:t>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80" w:top="268" w:right="499" w:bottom="1440" w:gutter="0" w:footer="0" w:header="0"/>
        </w:sectPr>
      </w:pPr>
    </w:p>
    <w:bookmarkStart w:id="19" w:name="page20"/>
    <w:bookmarkEnd w:id="1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Representatives, on behalf of the several Underwriters, may, in their sole discretion, waive in writing the performance by the Company of any one or more of the foregoing covenants or extend the time for their performance.</w:t>
      </w:r>
    </w:p>
    <w:p>
      <w:pPr>
        <w:spacing w:after="0" w:line="16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Securities (including all printing and engraving costs); (ii) all necessary issue, transfer and other stamp taxes in connection with the issuance and sale of the Securities; (iii) all fees and expenses of the Company’s counsel, independent public or certified public accountants and other advisors; (iv) all costs and expenses incurred in connection with the preparation, printing, filing, shipping and distribution of the Registration Statement, the Preliminary Prospectus, any Issuer Free Writing Prospectus, any Time of Sale Information and the Prospectus, and all amendments and supplements thereto, and this Agreement, the Indenture, the DTC Agreement and the Securities; (v) all reasonable filing fees, attorneys’ fees and expenses incurred by the Company or the Underwriters in connection with qualifying or registering (or obtaining exemptions from the qualification or registration of) all or any part of the Securities for offer and sale under the state securities or blue sky laws and preparing a “Blue Sky Survey” or memorandum, and any supplements thereto; (vi) the fees and expenses of the Trustee, including the fees and disbursements of counsel for the Trustee in connection with the Indenture and the Securities; (vii) any fees payable in connection with the rating of the Securities with the ratings agencies; (viii) all fees and expenses (including reasonable fees and expenses of counsel) of the Company in connection with approval of the Securities by the Depositary for “book-entry” transfer; and (ix) all other fees, costs and expenses incurred in connection with the performance of its obligations hereunder for which provision is not otherwise made in this Section. Except as provided in this Section 4 and Sections 6, 8 and 9 hereof, the Underwriters shall pay their own expenses, including the fees and disbursements of their counsel.</w:t>
      </w:r>
    </w:p>
    <w:p>
      <w:pPr>
        <w:spacing w:after="0" w:line="19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xml:space="preserve"> The obligations of the several Underwriters to purchase and pay for the Securities as provided herein on the Closing Date shall be subject to the accuracy of the representations and warranties on the part of the Company set forth in Section 1 hereof as of each Representation Date as though then made and to the timely performance by the Company of its covenants and other obligations hereunder, and to each of the following additional conditions:</w:t>
      </w:r>
    </w:p>
    <w:p>
      <w:pPr>
        <w:spacing w:after="0" w:line="72" w:lineRule="exact"/>
        <w:rPr>
          <w:sz w:val="20"/>
          <w:szCs w:val="20"/>
          <w:color w:val="auto"/>
        </w:rPr>
      </w:pPr>
    </w:p>
    <w:p>
      <w:pPr>
        <w:ind w:firstLine="436"/>
        <w:spacing w:after="0" w:line="258"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3(a) hereof. All requests by the Commission for additional information shall have been complied with to the reasonable satisfaction of the Representatives.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0" w:name="page21"/>
    <w:bookmarkEnd w:id="20"/>
    <w:p>
      <w:pPr>
        <w:ind w:right="220" w:firstLine="436"/>
        <w:spacing w:after="0" w:line="261"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Accountants’ Comfort Letter. </w:t>
      </w:r>
      <w:r>
        <w:rPr>
          <w:rFonts w:ascii="Times New Roman" w:cs="Times New Roman" w:eastAsia="Times New Roman" w:hAnsi="Times New Roman"/>
          <w:sz w:val="18"/>
          <w:szCs w:val="18"/>
          <w:color w:val="auto"/>
        </w:rPr>
        <w:t>On the date hereof, the Representatives shall have received from the Company’s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accountants a letter dated the date hereof addressed to the Underwriters, in form and substance reasonably satisfactory to the Representatives with respect to the audited and unaudited financial statements and certain financial information contained or incorporated by reference in the Registration Statement, the Time of Sale Information and the Prospectus.</w:t>
      </w:r>
    </w:p>
    <w:p>
      <w:pPr>
        <w:spacing w:after="0" w:line="179"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Bring-down Comfort Letter. </w:t>
      </w:r>
      <w:r>
        <w:rPr>
          <w:rFonts w:ascii="Times New Roman" w:cs="Times New Roman" w:eastAsia="Times New Roman" w:hAnsi="Times New Roman"/>
          <w:sz w:val="18"/>
          <w:szCs w:val="18"/>
          <w:color w:val="auto"/>
        </w:rPr>
        <w:t>On the Closing Date, the Representatives shall have received from the Company’s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accountants a letter dated such date, in form and substance reasonably satisfactory to the Representatives, to the effect that they reaffirm the statements made in the letter furnished by them pursuant to subsection (b) of this Section 5, except that the specified date referred to therein for the carrying out of procedures shall be no more than three business days prior to the Closing Date.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or Ratings Agency Change. </w:t>
      </w:r>
      <w:r>
        <w:rPr>
          <w:rFonts w:ascii="Times New Roman" w:cs="Times New Roman" w:eastAsia="Times New Roman" w:hAnsi="Times New Roman"/>
          <w:sz w:val="18"/>
          <w:szCs w:val="18"/>
          <w:color w:val="auto"/>
        </w:rPr>
        <w:t>For the period from and after the date of this Agreement and prior to the Closing</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Representatives there shall not have occurred any Material Adverse Change;</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any change or decrease specified in the letter of the Company’s independent registered public accountants referred to in paragraph (c) of this Section 5 which is, in the judgment of the Representatives, so material and adverse as to make it impractical or inadvisable to proceed with the offering or delivery of the Securities as contemplated by this Agreement, the Time of Sale Information and the Prospectus; and</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w:t>
      </w:r>
    </w:p>
    <w:p>
      <w:pPr>
        <w:spacing w:after="0" w:line="173"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Opinions of Counsel for the Company. </w:t>
      </w:r>
      <w:r>
        <w:rPr>
          <w:rFonts w:ascii="Times New Roman" w:cs="Times New Roman" w:eastAsia="Times New Roman" w:hAnsi="Times New Roman"/>
          <w:sz w:val="18"/>
          <w:szCs w:val="18"/>
          <w:color w:val="auto"/>
        </w:rPr>
        <w:t>On the Closing Date, the Representatives shall have received the favorable opinions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letter of Covington &amp; Burling LLP, counsel for the Company, dated as of such Closing Date, the form of which is attached as Exhibit A-1 and the favorable opinion of Catharine D. Ellingsen, Executive Vice President, Chief Legal Officer, and Corporate Secretary of the Company, dated as of such Closing Date, the form of which is attached as Exhibit A-2.</w:t>
      </w:r>
    </w:p>
    <w:p>
      <w:pPr>
        <w:spacing w:after="0" w:line="179" w:lineRule="exact"/>
        <w:rPr>
          <w:rFonts w:ascii="Times New Roman" w:cs="Times New Roman" w:eastAsia="Times New Roman" w:hAnsi="Times New Roman"/>
          <w:sz w:val="18"/>
          <w:szCs w:val="18"/>
          <w:color w:val="auto"/>
        </w:rPr>
      </w:pPr>
    </w:p>
    <w:p>
      <w:pPr>
        <w:ind w:right="160" w:firstLine="436"/>
        <w:spacing w:after="0" w:line="267"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Underwriters. </w:t>
      </w:r>
      <w:r>
        <w:rPr>
          <w:rFonts w:ascii="Times New Roman" w:cs="Times New Roman" w:eastAsia="Times New Roman" w:hAnsi="Times New Roman"/>
          <w:sz w:val="18"/>
          <w:szCs w:val="18"/>
          <w:color w:val="auto"/>
        </w:rPr>
        <w:t>On the Closing Date, the Representatives shall have received the favorable opinion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letter of Freshfields US LLP, counsel for the Underwriters, dated as of such Closing Date, with respect to such matters as may be reasonably requested by the Underwriters.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21" w:name="page22"/>
    <w:bookmarkEnd w:id="21"/>
    <w:p>
      <w:pPr>
        <w:ind w:right="560" w:firstLine="436"/>
        <w:spacing w:after="0" w:line="284"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Officers’ Certificate. </w:t>
      </w:r>
      <w:r>
        <w:rPr>
          <w:rFonts w:ascii="Times New Roman" w:cs="Times New Roman" w:eastAsia="Times New Roman" w:hAnsi="Times New Roman"/>
          <w:sz w:val="18"/>
          <w:szCs w:val="18"/>
          <w:color w:val="auto"/>
        </w:rPr>
        <w:t>On the Closing Date, the Representatives shall have received a written certificate executed by the Treasurer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Corporate Secretary or Assistant Corporate Secretary of the Company, dated as of such Closing Date, to the effect that:</w:t>
      </w:r>
    </w:p>
    <w:p>
      <w:pPr>
        <w:spacing w:after="0" w:line="52"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set forth in Section 1 of this Agreement are true and correct with the same force and effect as though expressly made on and as of such Closing Date; and</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Closing Date.</w:t>
      </w:r>
    </w:p>
    <w:p>
      <w:pPr>
        <w:spacing w:after="0" w:line="159" w:lineRule="exact"/>
        <w:rPr>
          <w:rFonts w:ascii="Times New Roman" w:cs="Times New Roman" w:eastAsia="Times New Roman" w:hAnsi="Times New Roman"/>
          <w:sz w:val="18"/>
          <w:szCs w:val="18"/>
          <w:color w:val="auto"/>
        </w:rPr>
      </w:pPr>
    </w:p>
    <w:p>
      <w:pPr>
        <w:ind w:right="580" w:firstLine="987"/>
        <w:spacing w:after="0" w:line="284" w:lineRule="auto"/>
        <w:tabs>
          <w:tab w:leader="none" w:pos="124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Supplemental Indenture. </w:t>
      </w:r>
      <w:r>
        <w:rPr>
          <w:rFonts w:ascii="Times New Roman" w:cs="Times New Roman" w:eastAsia="Times New Roman" w:hAnsi="Times New Roman"/>
          <w:sz w:val="18"/>
          <w:szCs w:val="18"/>
          <w:color w:val="auto"/>
        </w:rPr>
        <w:t>The Company shall have entered into the Supplemental Indenture and the Underwriters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executed counterparts thereof.</w:t>
      </w:r>
    </w:p>
    <w:p>
      <w:pPr>
        <w:spacing w:after="0" w:line="158" w:lineRule="exact"/>
        <w:rPr>
          <w:sz w:val="20"/>
          <w:szCs w:val="20"/>
          <w:color w:val="auto"/>
        </w:rPr>
      </w:pPr>
    </w:p>
    <w:p>
      <w:pPr>
        <w:ind w:right="560" w:firstLine="436"/>
        <w:spacing w:after="0" w:line="28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Objection. </w:t>
      </w:r>
      <w:r>
        <w:rPr>
          <w:rFonts w:ascii="Times New Roman" w:cs="Times New Roman" w:eastAsia="Times New Roman" w:hAnsi="Times New Roman"/>
          <w:sz w:val="18"/>
          <w:szCs w:val="18"/>
          <w:color w:val="auto"/>
        </w:rPr>
        <w:t>Either no filing with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shall be required, or FINRA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that it has not raised any objection with respect to the fairness and reasonableness of the underwriting terms and arrangements.</w:t>
      </w:r>
    </w:p>
    <w:p>
      <w:pPr>
        <w:spacing w:after="0" w:line="158" w:lineRule="exact"/>
        <w:rPr>
          <w:rFonts w:ascii="Times New Roman" w:cs="Times New Roman" w:eastAsia="Times New Roman" w:hAnsi="Times New Roman"/>
          <w:sz w:val="18"/>
          <w:szCs w:val="18"/>
          <w:color w:val="auto"/>
        </w:rPr>
      </w:pPr>
    </w:p>
    <w:p>
      <w:pPr>
        <w:ind w:right="400" w:firstLine="436"/>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before the Closing Date, the Representatives and counsel for the Underwriters shall have received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documents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8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Sections 4, 6, 8, 9 and 17 shall at all times be effective and shall survive such termination.</w:t>
      </w:r>
    </w:p>
    <w:p>
      <w:pPr>
        <w:spacing w:after="0" w:line="174"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i w:val="1"/>
          <w:iCs w:val="1"/>
          <w:color w:val="auto"/>
        </w:rPr>
        <w:t>Reimbursement of Underwriters’ Expenses.</w:t>
      </w:r>
      <w:r>
        <w:rPr>
          <w:rFonts w:ascii="Times New Roman" w:cs="Times New Roman" w:eastAsia="Times New Roman" w:hAnsi="Times New Roman"/>
          <w:sz w:val="17"/>
          <w:szCs w:val="17"/>
          <w:color w:val="auto"/>
        </w:rPr>
        <w:t xml:space="preserve"> If this Agreement is terminated by the Representatives pursuant to Section 5, 11(i) (solely as it applies to a suspension or limitation in trading or quotation in any of the Company’s securities) or 11(iv), or if the sale to the Underwriters of the Securities on the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reasonable out-of-pocket expenses that shall have been incurred by the Representatives and the Underwriters in connection with the proposed purchase and the offering and sale of the Securities, including but not limited to reasonable fees and disbursements of counsel, printing expenses, travel expenses, postage, facsimile and telephone charges.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22" w:name="page23"/>
    <w:bookmarkEnd w:id="2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i w:val="1"/>
          <w:iCs w:val="1"/>
          <w:color w:val="auto"/>
        </w:rPr>
        <w:t>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119" w:lineRule="exact"/>
        <w:rPr>
          <w:sz w:val="20"/>
          <w:szCs w:val="20"/>
          <w:color w:val="auto"/>
        </w:rPr>
      </w:pPr>
    </w:p>
    <w:p>
      <w:pPr>
        <w:ind w:left="420" w:firstLine="419"/>
        <w:spacing w:after="0" w:line="254" w:lineRule="auto"/>
        <w:tabs>
          <w:tab w:leader="none" w:pos="11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free writing prospectus listed on Exhibit C (including any electronic road show or other written communications, in each case approved in writing in advance by the Representatives), or (iii) any free writing prospectus prepared by such underwriter and approved by the Company in writing in advance. Notwithstanding the foregoing, the Underwriters may use a term sheet substantially in the form of Exhibit B hereto without the consent of the Company.</w:t>
      </w:r>
    </w:p>
    <w:p>
      <w:pPr>
        <w:spacing w:after="0" w:line="83" w:lineRule="exact"/>
        <w:rPr>
          <w:rFonts w:ascii="Times New Roman" w:cs="Times New Roman" w:eastAsia="Times New Roman" w:hAnsi="Times New Roman"/>
          <w:sz w:val="18"/>
          <w:szCs w:val="18"/>
          <w:color w:val="auto"/>
        </w:rPr>
      </w:pPr>
    </w:p>
    <w:p>
      <w:pPr>
        <w:ind w:left="420" w:right="120" w:firstLine="419"/>
        <w:spacing w:after="0" w:line="282" w:lineRule="auto"/>
        <w:tabs>
          <w:tab w:leader="none" w:pos="11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53" w:lineRule="exact"/>
        <w:rPr>
          <w:rFonts w:ascii="Times New Roman" w:cs="Times New Roman" w:eastAsia="Times New Roman" w:hAnsi="Times New Roman"/>
          <w:sz w:val="18"/>
          <w:szCs w:val="18"/>
          <w:color w:val="auto"/>
        </w:rPr>
      </w:pPr>
    </w:p>
    <w:p>
      <w:pPr>
        <w:ind w:left="1120" w:hanging="28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to the offering restrictions as set forth on Exhibit E hereto.</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Indemnification.</w:t>
      </w:r>
    </w:p>
    <w:p>
      <w:pPr>
        <w:spacing w:after="0" w:line="225" w:lineRule="exact"/>
        <w:rPr>
          <w:sz w:val="20"/>
          <w:szCs w:val="20"/>
          <w:color w:val="auto"/>
        </w:rPr>
      </w:pPr>
    </w:p>
    <w:p>
      <w:pPr>
        <w:ind w:left="-20" w:right="20" w:firstLine="436"/>
        <w:spacing w:after="0" w:line="252"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directors, officers,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agents, and each person, if any, who controls any Underwriter within the meaning of the Securities Act and the Exchange Act, against any loss, claim, damage, liability or expense, as incurred, to which such Underwriter or such director, officer, employee, agent or controlling person may become subject, under the Securities Act, the Exchange Act or other federal or state statutory law or regulation,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any omission or alleged omission to state therein a material fact necessary in order to make the statements therein, in the light of the circumstances under which they were made, not misleading; and to reimburse each Underwriter and each such director, officer, employee, agent and controlling person for any and all expenses (including the reasonable fees and disbursements of a single firm of counsel chosen by the Representatives and a single firm of local counsel in each relevant local jurisdiction) as such expenses are reasonably incurred by such Underwriters or such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indemnity agreement shall not apply to any loss, claim, damage, liability or expense to the extent, but only to the extent, arising out of or based upon any untrue statement or omission or alleged untrue statement or omission made in reliance upon and in conformity with written information furnished to the Company by or on behalf of any Underwriter through the Representatives expressly for use in the Registration Statement (or any amendment thereto), the Prospectus (or any amendment or supplement thereto), any Issuer Free Writing Prospectus or any Time of Sale Information. The indemnity agreement set forth in this Section 8(a) shall be in addition to any liabilities that the Company may otherwise have.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68" w:right="459" w:bottom="1440" w:gutter="0" w:footer="0" w:header="0"/>
        </w:sectPr>
      </w:pPr>
    </w:p>
    <w:bookmarkStart w:id="23" w:name="page24"/>
    <w:bookmarkEnd w:id="23"/>
    <w:p>
      <w:pPr>
        <w:ind w:left="-20" w:right="100" w:firstLine="436"/>
        <w:spacing w:after="0" w:line="252"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and employees and each person, if any, who controls the Company within the meaning of the Securities Act or the Exchange Act to the same extent as the indemnity set forth in paragraph (a) above, but only with respect to any losses, claims, damages, liabilities or expenses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(or any amendment thereto), the Prospectus (or any amendment or supplement thereto), any Issuer Free Writing Prospectus or any Time of Sale Information; and to reimburse the Company and each such director, officer, employee or controlling person for any and all expenses (including the reasonable fees and disbursements of their counsel) as such expenses are reasonably incurred by the Company or such director, officer, employee or controlling person in connection with investigating, defending, settling, compromising or paying any such loss, claim, damage, liability, expense or action. The Company hereby acknowledges that the only information furnished to the Company by any Underwriter through the Representatives expressly for use in the Registration Statement (or any amendment thereto), the Prospectus (or any amendment or supplement thereto), any Issuer Free Writing Prospectus or any Time of Sale Information are the following statements set forth in the Preliminary Prospectus and the Prospectus: (i) the third paragraph under the heading “Underwriting (Conflicts of Interest)”, (ii) the third sentence of the sixth paragraph under the heading “Underwriting (Conflicts of Interest)”, (iii) the seventh paragraph under the heading “Underwriting (Conflicts of Interest)”, (iv) the eighth paragraph under the heading “Underwriting (Conflicts of Interest)” and (v) the second, third and fourth sentences of the fourteenth paragraph under the heading “Underwriting (Conflicts of Interest).” The indemnity agreement set forth in this Section 8(b) shall be in addition to any liabilities that each Underwriter may otherwise have.</w:t>
      </w:r>
    </w:p>
    <w:p>
      <w:pPr>
        <w:spacing w:after="0" w:line="193"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Notifications and Other Indemnification Procedures. </w:t>
      </w:r>
      <w:r>
        <w:rPr>
          <w:rFonts w:ascii="Times New Roman" w:cs="Times New Roman" w:eastAsia="Times New Roman" w:hAnsi="Times New Roman"/>
          <w:sz w:val="18"/>
          <w:szCs w:val="18"/>
          <w:color w:val="auto"/>
        </w:rPr>
        <w:t>Promptly after receipt by an indemnified party under this Section 8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will, if a claim in respect thereof is to be made against an indemnifying party under this Section 8, notify the indemnifying party in writing of the commencement thereof, but the omission so to notify the indemnifying party will not relieve it from any liability under this Section 8 to the extent it is not prejudiced as a proximate result of such failure and will not relieve it from any liability otherwise than under this Section 8.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to assume the defense thereof with counsel reasonably satisfactory to such indemnified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such indemnified party shall have the right to employ its own counsel in any such action and to participate in the defense thereof, but the fees and expenses of such counsel shall be at the expense of such indemnified party, unless: (i) the employment of such counsel has been specifically authorized in writing 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60" w:top="268" w:right="479" w:bottom="1440" w:gutter="0" w:footer="0" w:header="0"/>
        </w:sectPr>
      </w:pPr>
    </w:p>
    <w:bookmarkStart w:id="24" w:name="page25"/>
    <w:bookmarkEnd w:id="24"/>
    <w:p>
      <w:pPr>
        <w:ind w:left="4"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indemnifying party; (ii) the indemnifying party has failed promptly to assume the defense and employ counsel reasonably satisfactory to the indemnified party; or (iii) the named parties to any such action (including any impleaded parties) include both such indemnified party and the indemnifying party or any affiliate of the indemnifying party, and such indemnified party shall have reasonably concluded, based on advice from counsel, that either (x) there may be one or more legal defenses available to it which are different from or additional to those available to the indemnifying party or such affiliate of the indemnifying party or (y) a conflict may exist between such indemnified party and the indemnifying party or such affiliate of the indemnifying party (it being understood, however, that the indemnifying party shall not, in connection with any one such action or separate but substantially similar or related actions, be liable for the fees and expenses of more than one separate firm of attorneys (in addition to a single firm of local counsel) for all such indemnified parties, which firm shall be designated in writing by the Representatives in the case of the indemnified parties referred to in Section 8(a) and by the Company in the case of the indemnified parties referred to in Section 8(b) and that all such reasonable fees and expenses shall be reimbursed as they are incurred).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the indemnified party shall have employed separate counsel in accordance with the proviso to the next preceding sentence, in which case the reasonable fees and expenses of counsel shall be at the expense of the indemnifying party.</w:t>
      </w:r>
    </w:p>
    <w:p>
      <w:pPr>
        <w:spacing w:after="0" w:line="195" w:lineRule="exact"/>
        <w:rPr>
          <w:sz w:val="20"/>
          <w:szCs w:val="20"/>
          <w:color w:val="auto"/>
        </w:rPr>
      </w:pPr>
    </w:p>
    <w:p>
      <w:pPr>
        <w:ind w:left="4" w:firstLine="436"/>
        <w:spacing w:after="0" w:line="270" w:lineRule="auto"/>
        <w:tabs>
          <w:tab w:leader="none" w:pos="699"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Settlements. </w:t>
      </w:r>
      <w:r>
        <w:rPr>
          <w:rFonts w:ascii="Times New Roman" w:cs="Times New Roman" w:eastAsia="Times New Roman" w:hAnsi="Times New Roman"/>
          <w:sz w:val="17"/>
          <w:szCs w:val="17"/>
          <w:color w:val="auto"/>
        </w:rPr>
        <w:t>The indemnifying party under this Section 8 shall not be liable for any settlement of any proceeding effected without its written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agrees that it shall be liable for any settlement of any proceeding effected without its written consent if</w:t>
      </w:r>
    </w:p>
    <w:p>
      <w:pPr>
        <w:ind w:left="4" w:right="120" w:hanging="4"/>
        <w:spacing w:after="0" w:line="251"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such indemnifying party of the aforesaid request and (ii) such indemnifying party shall not have reimbursed the indemnified party in accordance with such request or disputed in good faith the indemnified party’s entitlement to such reimbursement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25" w:name="page26"/>
    <w:bookmarkEnd w:id="25"/>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xml:space="preserve"> If the indemnification provided for in Section 8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Securities pursuant to this Agreement or (ii) if the allocation provided by clause (i) above is not permitted by applicable law, in such proportion as is appropriate to reflect not only the relative benefits referred to in clause</w:t>
      </w:r>
    </w:p>
    <w:p>
      <w:pPr>
        <w:spacing w:after="0" w:line="2" w:lineRule="exact"/>
        <w:rPr>
          <w:sz w:val="20"/>
          <w:szCs w:val="20"/>
          <w:color w:val="auto"/>
        </w:rPr>
      </w:pPr>
    </w:p>
    <w:p>
      <w:pPr>
        <w:ind w:left="4" w:hanging="4"/>
        <w:spacing w:after="0" w:line="251"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total discount received by the Underwriters, in each case as set forth in the table on the cover of the Prospectus, bear to the aggregate initial offering price of the Securities.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93"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8(c), any reasonable legal or other fees or expenses reasonably incurred by such party in connection with investigating or defending any action or claim. The provisions set forth in Section 8 hereof with respect to notice of commencement of any action shall apply if a claim for contribution is to be made under this Section 9;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additional notice shall be required with respect to any action for which notice has been given under Section 8 hereof for purposes of indemnification.</w:t>
      </w:r>
    </w:p>
    <w:p>
      <w:pPr>
        <w:spacing w:after="0" w:line="183"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76"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provisions of this Section 9, no Underwriter shall be required to contribute any amount in excess of the amount by which the total underwriting discount received by such Underwriter in connection with the Securities underwritten by it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in proportion to their respective underwriting commitments as set forth opposite their names in Schedule A, and not joint. For purposes of this Section 9, each director, officer, employee and agent of an Underwriter and each person, if any, who controls an Underwriter within the meaning of the Securities Act and the Exchange Act shall have the same rights to contribution as such Underwriter, and each director, officer and employee of the Company and each person, if any, who controls the Company within the meaning of the Securities Act and the Exchange Act shall have the same rights to contribution as the Company.</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8" w:right="459" w:bottom="1440" w:gutter="0" w:footer="0" w:header="0"/>
        </w:sectPr>
      </w:pPr>
    </w:p>
    <w:bookmarkStart w:id="26" w:name="page27"/>
    <w:bookmarkEnd w:id="26"/>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i w:val="1"/>
          <w:iCs w:val="1"/>
          <w:color w:val="auto"/>
        </w:rPr>
        <w:t>Default of One or More of the Several Underwriters.</w:t>
      </w:r>
      <w:r>
        <w:rPr>
          <w:rFonts w:ascii="Times New Roman" w:cs="Times New Roman" w:eastAsia="Times New Roman" w:hAnsi="Times New Roman"/>
          <w:sz w:val="18"/>
          <w:szCs w:val="18"/>
          <w:color w:val="auto"/>
        </w:rPr>
        <w:t xml:space="preserve"> If, on the Closing Date, any one or more of the several Underwriters shall fail or refuse to purchase Securities that it or they have agreed to purchase hereunder on such date, and the aggregate principal amount of Securities which such defaulting Underwriter or Underwriters agreed but failed or refused to purchase does not exceed 10% of the aggregate principal amount of the Securities to be purchased on such date, the other Underwriters shall be obligated, severally, in the proportion that the aggregate principal amounts of such Securities set forth opposite their respective names on Schedule A bears to the aggregate principal amount of such Securities set forth opposite the names of all such non-defaulting Underwriters, or in such other proportions as may be specified by the Representatives with the consent of the non-defaulting Underwriters, to purchase such Securities which such defaulting Underwriter or Underwriters agreed but failed or refused to purchase on such date. If, on the Closing Date, any one or more of the Underwriters shall fail or refuse to purchase such Securities and the aggregate principal amount of such Securities with respect to which such default occurs exceeds 10% of the aggregate principal amount of Securities to be purchased on such date, and arrangements satisfactory to the Representatives and the Company for the purchase of such Securities are not made within 48 hours after such default, this Agreement shall terminate without liability of any party to any other party, except that the provisions of Sections 4, 8, 9 and 17 shall at all times be effective and shall survive such termination. In any such case, either the Representatives or the Company shall have the right to postpone the Closing Date, but in no event for longer than seven days in order that the required changes, if any, to the Registration Statement or the Prospectus or any other documents or arrangements may be effected. As used in this Agreement, the term “Underwriter”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195" w:lineRule="exact"/>
        <w:rPr>
          <w:sz w:val="20"/>
          <w:szCs w:val="20"/>
          <w:color w:val="auto"/>
        </w:rPr>
      </w:pPr>
    </w:p>
    <w:p>
      <w:pPr>
        <w:ind w:left="4" w:right="80"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i w:val="1"/>
          <w:iCs w:val="1"/>
          <w:color w:val="auto"/>
        </w:rPr>
        <w:t>Termination of this Agreement.</w:t>
      </w:r>
      <w:r>
        <w:rPr>
          <w:rFonts w:ascii="Times New Roman" w:cs="Times New Roman" w:eastAsia="Times New Roman" w:hAnsi="Times New Roman"/>
          <w:sz w:val="17"/>
          <w:szCs w:val="17"/>
          <w:color w:val="auto"/>
        </w:rPr>
        <w:t xml:space="preserve"> Prior to the Closing Date, this Agreement may be terminated by the Representatives by notice given to the Company if at any time: (i) trading or quotation in any of the Company’s securities shall have been suspended or limited by the Commission or the New York Stock Exchange, or trading in securities generally on either the Nasdaq Stock Market or the New York Stock Exchange shall have been suspended or limited, or minimum or maximum prices shall have been generally established on any of such stock exchanges by the Commission or FINRA; (ii) a general banking moratorium shall have been declared by any of the federal or New York authorities; (iii) there shall have occurred any outbreak or escalation of national or international hostilities or any crisis or calamity involving the United States,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or inadvisable to offer, sell or deliver the Securities in the manner and on the terms described in the Time of Sale Information or the Prospectus or to enforce contracts for the sale of securities; (iv) in the judgment of the Representatives there shall have occurred any Material Adverse Change; or</w:t>
      </w:r>
    </w:p>
    <w:p>
      <w:pPr>
        <w:spacing w:after="0" w:line="6" w:lineRule="exact"/>
        <w:rPr>
          <w:sz w:val="20"/>
          <w:szCs w:val="20"/>
          <w:color w:val="auto"/>
        </w:rPr>
      </w:pPr>
    </w:p>
    <w:p>
      <w:pPr>
        <w:jc w:val="both"/>
        <w:ind w:left="4" w:hanging="4"/>
        <w:spacing w:after="0" w:line="255"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material disruption in commercial banking or securities settlement or clearance services. Any termination pursuant to this Section 11 shall be without liability of any party to any other party except as provided in Sections 4 and 6 hereof, and provided further that Sections 4, 6, 8, 9 and 17 shall survive such termination and remain in full force and effect.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27" w:name="page28"/>
    <w:bookmarkEnd w:id="27"/>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xml:space="preserve"> The Company acknowledges and agrees that: (i)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and the Company is capable of evaluating and understanding and understands and accepts the terms, risks and conditions of the transactions contemplated by this Agreement; (ii) in connection with each transaction contemplated hereby and the process leading to such transaction each Underwriter is and has been acting solely as a principal and is not the financial advisor, agent or fiduciary of the Company or its affiliates, stockholders, creditors or employees or any other party;</w:t>
      </w:r>
    </w:p>
    <w:p>
      <w:pPr>
        <w:spacing w:after="0" w:line="2" w:lineRule="exact"/>
        <w:rPr>
          <w:sz w:val="20"/>
          <w:szCs w:val="20"/>
          <w:color w:val="auto"/>
        </w:rPr>
      </w:pPr>
    </w:p>
    <w:p>
      <w:pPr>
        <w:ind w:left="4" w:right="20" w:hanging="4"/>
        <w:spacing w:after="0" w:line="251" w:lineRule="auto"/>
        <w:tabs>
          <w:tab w:leader="none" w:pos="3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Underwriter has assumed or will assume an advisory, agency or fiduciary responsibility in favor of the Company with respect to any of the transactions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that the several Underwriters have no obligation to disclose any of such interests by virtue of any advisory, agency or fiduciary relationship; and (v) the Underwriters have not provided any legal, accounting, regulatory or tax advice with respect to the offering contemplated hereby and the Company has consulted its legal, accounting, regulatory and tax advisors to the extent it deemed appropriate. Any review by the Representatives or any Underwriter of the Company, the transactions contemplated hereby or other matters relating to such transactions will be performed solely for the benefit of the Representatives or such Underwriter and shall not be on behalf of the Company or any other person.</w:t>
      </w:r>
    </w:p>
    <w:p>
      <w:pPr>
        <w:spacing w:after="0" w:line="193"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several Underwriters with respect to the subject matter hereof. The Company hereby waives and releases, to the fullest extent permitted by law, any claims that the Company may have against the several Underwriters with respect to any breach or alleged breach of agency or fiduciary duty with respect to the transactions contemplated hereby or the process leading thereto.</w:t>
      </w:r>
    </w:p>
    <w:p>
      <w:pPr>
        <w:spacing w:after="0" w:line="178"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Representations and Indemnities to Survive Delivery.</w:t>
      </w:r>
      <w:r>
        <w:rPr>
          <w:rFonts w:ascii="Times New Roman" w:cs="Times New Roman" w:eastAsia="Times New Roman" w:hAnsi="Times New Roman"/>
          <w:sz w:val="18"/>
          <w:szCs w:val="18"/>
          <w:color w:val="auto"/>
        </w:rPr>
        <w:t xml:space="preserve"> The respective indemnities, agreements, representations, warranties and other statements of the Company or its officers and of the several Underwriters set forth in or made pursuant to this Agreement (i) will remain operative and in full force and effect, regardless of any (A) investigation, or statement as to the results thereof, made by or on behalf of any Underwriter, the officers or employees of any Underwriters, or any person controlling the Underwriter, the Company, the officers or employees of the Company, or any person controlling the Company, as the case may be or (B) acceptance of the Securities and payment for them hereunder and (ii) will survive delivery of and payment for the Securities sold hereunder and any termination of this Agreement.</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8" w:right="479" w:bottom="1440" w:gutter="0" w:footer="0" w:header="0"/>
        </w:sectPr>
      </w:pPr>
    </w:p>
    <w:bookmarkStart w:id="28" w:name="page29"/>
    <w:bookmarkEnd w:id="28"/>
    <w:p>
      <w:pPr>
        <w:ind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communications hereunder shall be in writing and shall be mailed, hand delivered or delivered by overnight courier to the parties hereto as follows: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Representatives: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 West 47th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NY8-114-07-01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(212) 901-7881</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550 South Tryon Street, 5th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Transaction Management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tmgcapitalmarkets@wellsfargo.com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Michael A. Levitt and Jeremy Barr</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Republic Services,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5353 East City North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Phoenix, AZ 85054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Catharine D. Ellingsen, Executive Vice President,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Legal Officer, Chief Ethics and Compliance Officer and Corporate Secretary</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CityCenter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850 Tenth Street, NW</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Washington, DC 20001-4956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Kerry Shannon Burke</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40"/>
          </w:cols>
          <w:pgMar w:left="440" w:top="268" w:right="71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party hereto may change the address for receipt of communications by giving written notice to the others.</w:t>
      </w:r>
    </w:p>
    <w:p>
      <w:pPr>
        <w:spacing w:after="0" w:line="22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xml:space="preserve"> This Agreement will inure to the benefit of and be binding upon the parties hereto, including any substitute Underwriters pursuant to Section 10 hereof, and to the benefit of the directors, officers, employees, agents and controlling persons referred to in Sections 8 and 9, and in each case their respective successors, and no other person will have any right or obligation hereunder. The term “successors” shall not include any purchaser of the Securities as such from any of the Underwriters merely by reason of such purchase.</w:t>
      </w:r>
    </w:p>
    <w:p>
      <w:pPr>
        <w:spacing w:after="0" w:line="180"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Partial Unenforceability.</w:t>
      </w:r>
      <w:r>
        <w:rPr>
          <w:rFonts w:ascii="Times New Roman" w:cs="Times New Roman" w:eastAsia="Times New Roman" w:hAnsi="Times New Roman"/>
          <w:sz w:val="18"/>
          <w:szCs w:val="18"/>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Governing Law Provisions.</w:t>
      </w:r>
      <w:r>
        <w:rPr>
          <w:rFonts w:ascii="Times New Roman" w:cs="Times New Roman" w:eastAsia="Times New Roman" w:hAnsi="Times New Roman"/>
          <w:sz w:val="18"/>
          <w:szCs w:val="18"/>
          <w:color w:val="auto"/>
        </w:rPr>
        <w:t xml:space="preserve"> THIS AGREEMENT SHALL BE GOVERNED BY, AND CONSTRUED AND INTERPRETED IN ACCORDANCE WITH, THE INTERNAL LAWS OF THE STATE OF NEW YORK APPLICABLE TO AGREEMENTS MADE AND TO BE PERFORMED IN THAT STATE.</w:t>
      </w:r>
    </w:p>
    <w:p>
      <w:pPr>
        <w:spacing w:after="0" w:line="173" w:lineRule="exact"/>
        <w:rPr>
          <w:sz w:val="20"/>
          <w:szCs w:val="20"/>
          <w:color w:val="auto"/>
        </w:rPr>
      </w:pPr>
    </w:p>
    <w:p>
      <w:pPr>
        <w:ind w:right="40" w:firstLine="991"/>
        <w:spacing w:after="0" w:line="273"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i w:val="1"/>
          <w:iCs w:val="1"/>
          <w:color w:val="auto"/>
        </w:rPr>
        <w:t>General Provisions.</w:t>
      </w:r>
      <w:r>
        <w:rPr>
          <w:rFonts w:ascii="Times New Roman" w:cs="Times New Roman" w:eastAsia="Times New Roman" w:hAnsi="Times New Roman"/>
          <w:sz w:val="17"/>
          <w:szCs w:val="17"/>
          <w:color w:val="auto"/>
        </w:rPr>
        <w:t xml:space="preserve">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sz w:val="20"/>
          <w:szCs w:val="20"/>
          <w:color w:val="auto"/>
        </w:rPr>
      </w:pPr>
    </w:p>
    <w:p>
      <w:pPr>
        <w:ind w:right="60" w:firstLine="436"/>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right="20" w:firstLine="436"/>
        <w:spacing w:after="0" w:line="261" w:lineRule="auto"/>
        <w:tabs>
          <w:tab w:leader="none" w:pos="7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Section 19:</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200" w:hanging="213"/>
        <w:spacing w:after="0"/>
        <w:tabs>
          <w:tab w:leader="none" w:pos="1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440" w:right="48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54"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Contractual Acknowledgement with Respect to the Exercise of Bail-In Powers.</w:t>
      </w:r>
      <w:r>
        <w:rPr>
          <w:rFonts w:ascii="Times New Roman" w:cs="Times New Roman" w:eastAsia="Times New Roman" w:hAnsi="Times New Roman"/>
          <w:sz w:val="18"/>
          <w:szCs w:val="18"/>
          <w:color w:val="auto"/>
        </w:rPr>
        <w:t xml:space="preserve"> Notwithstanding and to the exclusion of any other term of this Agreement or any other agreements, arrangements or understandings between the Company and the Underwriters, the Company acknowledges and accepts that a BRRD Liability (as defined below) arising under this Agreement may be subject to the exercise of Bail-in Powers (as defined below) by the Relevant Resolution Authority (as defined below), and acknowledges, accepts and agrees to be bound by:</w:t>
      </w:r>
    </w:p>
    <w:p>
      <w:pPr>
        <w:spacing w:after="0" w:line="87" w:lineRule="exact"/>
        <w:rPr>
          <w:sz w:val="20"/>
          <w:szCs w:val="20"/>
          <w:color w:val="auto"/>
        </w:rPr>
      </w:pPr>
    </w:p>
    <w:p>
      <w:pPr>
        <w:ind w:left="960" w:right="300" w:hanging="532"/>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exercise of Bail-in Powers by the Relevant Resolution Authority in relation to any BRRD Liability of the Underwriters (the “Relevant BRRD Party”) to the Company under this Agreement, that (without limitation) may include and result in any of the following, or some combination thereof:</w:t>
      </w:r>
    </w:p>
    <w:p>
      <w:pPr>
        <w:spacing w:after="0" w:line="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7"/>
          <w:szCs w:val="17"/>
          <w:color w:val="auto"/>
        </w:rPr>
        <w:t>the reduction of all, or a portion, of the BRRD Liability or outstanding amounts due thereon;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left="1000" w:right="300" w:hanging="439"/>
        <w:spacing w:after="0" w:line="282"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conversion of all, or a portion, of the BRRD Liability into shares, other securities or other obligations of the Relevant BRRD Party or another person, and the issue to or conferral on the Company of such shares, securities or obligations;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BRRD Liability;</w:t>
      </w:r>
    </w:p>
    <w:p>
      <w:pPr>
        <w:spacing w:after="0" w:line="130" w:lineRule="exact"/>
        <w:rPr>
          <w:rFonts w:ascii="Times New Roman" w:cs="Times New Roman" w:eastAsia="Times New Roman" w:hAnsi="Times New Roman"/>
          <w:sz w:val="18"/>
          <w:szCs w:val="18"/>
          <w:color w:val="auto"/>
        </w:rPr>
      </w:pPr>
    </w:p>
    <w:p>
      <w:pPr>
        <w:ind w:left="1000" w:right="600" w:hanging="439"/>
        <w:spacing w:after="0" w:line="282" w:lineRule="auto"/>
        <w:tabs>
          <w:tab w:leader="none" w:pos="10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or the dates on which any payments are due, including by suspending payment for a temporary period; and</w:t>
      </w:r>
    </w:p>
    <w:p>
      <w:pPr>
        <w:spacing w:after="0" w:line="67"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this Agreement, as deemed necessary by the Relevant Resolution Authority, to give effect to the exercise of Bail-in Powers by the Relevant Resolution Authority.</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used in this Section 21:</w:t>
      </w:r>
    </w:p>
    <w:p>
      <w:pPr>
        <w:spacing w:after="0" w:line="117"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8"/>
          <w:szCs w:val="18"/>
          <w:color w:val="auto"/>
        </w:rPr>
        <w:t>“Bail-in Legislation”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68" w:lineRule="exact"/>
        <w:rPr>
          <w:sz w:val="20"/>
          <w:szCs w:val="20"/>
          <w:color w:val="auto"/>
        </w:rPr>
      </w:pPr>
    </w:p>
    <w:p>
      <w:pPr>
        <w:ind w:left="20" w:right="300"/>
        <w:spacing w:after="0" w:line="282" w:lineRule="auto"/>
        <w:rPr>
          <w:sz w:val="20"/>
          <w:szCs w:val="20"/>
          <w:color w:val="auto"/>
        </w:rPr>
      </w:pPr>
      <w:r>
        <w:rPr>
          <w:rFonts w:ascii="Times New Roman" w:cs="Times New Roman" w:eastAsia="Times New Roman" w:hAnsi="Times New Roman"/>
          <w:sz w:val="18"/>
          <w:szCs w:val="18"/>
          <w:color w:val="auto"/>
        </w:rPr>
        <w:t>“Bail-in Powers” means any Write-down and Conversion Powers as defined in the EU Bail-in Legislation Schedule, in relation to the relevant Bail-in Legislation.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“BRRD” means Directive 2014/59/EU establishing a framework for the recovery and resolution of credit institutions and investment firms.</w:t>
      </w:r>
    </w:p>
    <w:p>
      <w:pPr>
        <w:spacing w:after="0" w:line="11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“BRRD Liability” means a liability in respect of which the relevant Write Down and Conversion Powers in the applicable Bail-in Legislation may be exercised.</w:t>
      </w:r>
    </w:p>
    <w:p>
      <w:pPr>
        <w:spacing w:after="0" w:line="54"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“EU Bail-in Legislation Schedule” means the document described as such, then in effect, and published by the Loan Market Association (or any successor person) from time to time at http://www.lma.eu.com.</w:t>
      </w:r>
    </w:p>
    <w:p>
      <w:pPr>
        <w:spacing w:after="0" w:line="54"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“Relevant Resolution Authority” means the resolution authority with the ability to exercise any Bail-in Powers in relation to the Relevant BRRD Party.</w:t>
      </w:r>
    </w:p>
    <w:p>
      <w:pPr>
        <w:spacing w:after="0" w:line="9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0"/>
          </w:cols>
          <w:pgMar w:left="860" w:top="270" w:right="499" w:bottom="1440" w:gutter="0" w:footer="0" w:header="0"/>
        </w:sectPr>
      </w:pPr>
    </w:p>
    <w:bookmarkStart w:id="32" w:name="page33"/>
    <w:bookmarkEnd w:id="3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REPUBLIC SERVICES,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Calvin R.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Calvin R. Boyd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Finance &amp; Treasurer</w:t>
      </w:r>
    </w:p>
    <w:p>
      <w:pPr>
        <w:spacing w:after="0" w:line="1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[Signature Page – Underwriting Agreement]</w:t>
      </w:r>
    </w:p>
    <w:p>
      <w:pPr>
        <w:sectPr>
          <w:pgSz w:w="11900" w:h="16838" w:orient="portrait"/>
          <w:cols w:equalWidth="0" w:num="1">
            <w:col w:w="10700"/>
          </w:cols>
          <w:pgMar w:left="440" w:top="270" w:right="759" w:bottom="1440" w:gutter="0" w:footer="0" w:header="0"/>
        </w:sectPr>
      </w:pPr>
    </w:p>
    <w:bookmarkStart w:id="33" w:name="page34"/>
    <w:bookmarkEnd w:id="3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Underwriting Agreement is hereby confirmed and accepted by the Representatives as of the date first above written. It is understood that by executing this Underwriting Agreement on behalf of each of the Underwriters, each Representative represents that it is authorized to execute this Underwriting Agreement on behalf of each of the Underwriters.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Acting as Representatives of the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several Underwriters named 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attached Schedule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Cody Kiechle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Cody Kiechle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Carolyn Hurley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 Underwriting Agreement]</w:t>
      </w:r>
    </w:p>
    <w:p>
      <w:pPr>
        <w:sectPr>
          <w:pgSz w:w="11900" w:h="16838" w:orient="portrait"/>
          <w:cols w:equalWidth="0" w:num="1">
            <w:col w:w="10900"/>
          </w:cols>
          <w:pgMar w:left="440" w:top="270" w:right="5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00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2031 Notes</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99,750,000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99,750,000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99,750,000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99,750,000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99,750,000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28,000,000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16,625,000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Comerica Securities, Inc.</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16,625,000</w:t>
            </w:r>
          </w:p>
        </w:tc>
        <w:tc>
          <w:tcPr>
            <w:tcW w:w="0" w:type="dxa"/>
            <w:vAlign w:val="bottom"/>
          </w:tcPr>
          <w:p>
            <w:pPr>
              <w:spacing w:after="0"/>
              <w:rPr>
                <w:sz w:val="1"/>
                <w:szCs w:val="1"/>
                <w:color w:val="auto"/>
              </w:rPr>
            </w:pPr>
          </w:p>
        </w:tc>
      </w:tr>
      <w:tr>
        <w:trPr>
          <w:trHeight w:val="2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Sch-A</w:t>
      </w:r>
    </w:p>
    <w:p>
      <w:pPr>
        <w:sectPr>
          <w:pgSz w:w="11900" w:h="16838" w:orient="portrait"/>
          <w:cols w:equalWidth="0" w:num="1">
            <w:col w:w="11020"/>
          </w:cols>
          <w:pgMar w:left="440" w:top="266"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30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2036 Notes</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3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71,250,000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Penserra Securities LLC</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CastleOak Securities, L.P.</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7,250,000</w:t>
            </w:r>
          </w:p>
        </w:tc>
        <w:tc>
          <w:tcPr>
            <w:tcW w:w="0" w:type="dxa"/>
            <w:vAlign w:val="bottom"/>
          </w:tcPr>
          <w:p>
            <w:pPr>
              <w:spacing w:after="0"/>
              <w:rPr>
                <w:sz w:val="1"/>
                <w:szCs w:val="1"/>
                <w:color w:val="auto"/>
              </w:rPr>
            </w:pPr>
          </w:p>
        </w:tc>
      </w:tr>
      <w:tr>
        <w:trPr>
          <w:trHeight w:val="232"/>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Sch-A</w:t>
      </w:r>
    </w:p>
    <w:p>
      <w:pPr>
        <w:sectPr>
          <w:pgSz w:w="11900" w:h="16838" w:orient="portrait"/>
          <w:cols w:equalWidth="0" w:num="1">
            <w:col w:w="11020"/>
          </w:cols>
          <w:pgMar w:left="440" w:top="251" w:right="4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Opinion of Covington &amp; Burling LLP</w:t>
      </w:r>
    </w:p>
    <w:p>
      <w:pPr>
        <w:spacing w:after="0" w:line="229" w:lineRule="exact"/>
        <w:rPr>
          <w:sz w:val="20"/>
          <w:szCs w:val="20"/>
          <w:color w:val="auto"/>
        </w:rPr>
      </w:pPr>
    </w:p>
    <w:p>
      <w:pPr>
        <w:ind w:left="-40" w:right="20" w:firstLine="987"/>
        <w:spacing w:after="0" w:line="261" w:lineRule="auto"/>
        <w:tabs>
          <w:tab w:leader="none" w:pos="11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validly existing and in good standing under the law of the State of Delaware and has the corporate power and authority to enter into the Underwriting Agreement and the Seventeenth Supplemental Indenture and to issue, sell and deliver the Notes to be sold by it to the Underwriters as provided in the Underwriting Agreement and to own and lease its properties and conduct its business as described in the Pricing Disclosure Package and the Prospectus.</w:t>
      </w:r>
    </w:p>
    <w:p>
      <w:pPr>
        <w:spacing w:after="0" w:line="179" w:lineRule="exact"/>
        <w:rPr>
          <w:rFonts w:ascii="Times New Roman" w:cs="Times New Roman" w:eastAsia="Times New Roman" w:hAnsi="Times New Roman"/>
          <w:sz w:val="18"/>
          <w:szCs w:val="18"/>
          <w:color w:val="auto"/>
        </w:rPr>
      </w:pPr>
    </w:p>
    <w:p>
      <w:pPr>
        <w:ind w:left="1120" w:hanging="173"/>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duly authorized, executed and delivered the Underwriting Agreement.</w:t>
      </w:r>
    </w:p>
    <w:p>
      <w:pPr>
        <w:spacing w:after="0" w:line="225" w:lineRule="exact"/>
        <w:rPr>
          <w:rFonts w:ascii="Times New Roman" w:cs="Times New Roman" w:eastAsia="Times New Roman" w:hAnsi="Times New Roman"/>
          <w:sz w:val="18"/>
          <w:szCs w:val="18"/>
          <w:color w:val="auto"/>
        </w:rPr>
      </w:pPr>
    </w:p>
    <w:p>
      <w:pPr>
        <w:ind w:left="-40" w:right="100" w:firstLine="987"/>
        <w:spacing w:after="0" w:line="256" w:lineRule="auto"/>
        <w:tabs>
          <w:tab w:leader="none" w:pos="11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and executed by the Company, and assuming the due authorization, execution and delivery of the Indenture by the Trustee, when duly authenticated and delivered by the Trustee in accordance with the terms of the Indenture and delivered to and paid for by the Underwriters in accordance with the terms of the Underwriting Agreement, will constitute the valid and binding obligations of the Company, enforceable against the Company in accordance with their terms and entitled to the benefits of the Indenture, subject to bankruptcy, insolvency, fraudulent transfer, reorganization, moratorium and other laws of general applicability relating to or affecting creditors’ rights and to general equity principles.</w:t>
      </w:r>
    </w:p>
    <w:p>
      <w:pPr>
        <w:spacing w:after="0" w:line="187" w:lineRule="exact"/>
        <w:rPr>
          <w:rFonts w:ascii="Times New Roman" w:cs="Times New Roman" w:eastAsia="Times New Roman" w:hAnsi="Times New Roman"/>
          <w:sz w:val="18"/>
          <w:szCs w:val="18"/>
          <w:color w:val="auto"/>
        </w:rPr>
      </w:pPr>
    </w:p>
    <w:p>
      <w:pPr>
        <w:ind w:left="-40" w:right="200" w:firstLine="987"/>
        <w:spacing w:after="0" w:line="261" w:lineRule="auto"/>
        <w:tabs>
          <w:tab w:leader="none" w:pos="11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has been duly authorized, executed and delivered by the Company. Assuming due authorization, execution and delivery of the Base Indenture by the Trustee, the Base Indenture constitutes the valid and binding obligation of the Company, enforceable against the Company in accordance with its terms, subject to bankruptcy, insolvency, fraudulent transfer, reorganization, moratorium and other laws of general applicability relating to or affecting creditors’ rights and to general equity principles.</w:t>
      </w:r>
    </w:p>
    <w:p>
      <w:pPr>
        <w:spacing w:after="0" w:line="179" w:lineRule="exact"/>
        <w:rPr>
          <w:rFonts w:ascii="Times New Roman" w:cs="Times New Roman" w:eastAsia="Times New Roman" w:hAnsi="Times New Roman"/>
          <w:sz w:val="18"/>
          <w:szCs w:val="18"/>
          <w:color w:val="auto"/>
        </w:rPr>
      </w:pPr>
    </w:p>
    <w:p>
      <w:pPr>
        <w:ind w:left="-40" w:firstLine="987"/>
        <w:spacing w:after="0" w:line="258" w:lineRule="auto"/>
        <w:tabs>
          <w:tab w:leader="none" w:pos="11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Seventeenth Supplemental Indenture has been duly authorized, executed and delivered by the Company. Assuming due authorization, execution and delivery of the Seventeenth Supplemental Indenture by the Trustee, the Seventeenth Supplemental Indenture constitutes the valid and binding obligation of the Company, enforceable against the Company in accordance with its terms, subject to bankruptcy, insolvency, fraudulent transfer, reorganization, moratorium and other laws of general applicability relating to or affecting creditors’ rights and to general equity principles.</w:t>
      </w:r>
    </w:p>
    <w:p>
      <w:pPr>
        <w:spacing w:after="0" w:line="183" w:lineRule="exact"/>
        <w:rPr>
          <w:rFonts w:ascii="Times New Roman" w:cs="Times New Roman" w:eastAsia="Times New Roman" w:hAnsi="Times New Roman"/>
          <w:sz w:val="18"/>
          <w:szCs w:val="18"/>
          <w:color w:val="auto"/>
        </w:rPr>
      </w:pPr>
    </w:p>
    <w:p>
      <w:pPr>
        <w:ind w:left="1120" w:hanging="173"/>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qualified under the Trust Indenture Act of 1939, as amended.</w:t>
      </w:r>
    </w:p>
    <w:p>
      <w:pPr>
        <w:spacing w:after="0" w:line="225"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1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to (i) the financial statements, including the notes thereto, and the schedules and other financial data and the statistical data derived therefrom in the Registration Statement, the Pricing Disclosure Package and the Prospectus, and (ii) the statement of eligibility and qualification of the Trustee under the Indenture filed as Exhibit 25.1 to the Registration Statement, as to each of which we express no opinion, each of the Registration Statement, as of the 430B Effective Time, the Pricing Prospectus, as of the Applicable Time (as defined below), and the Prospectus, as of its date, complied as to form in all material respects with the requirements of the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40"/>
          </w:cols>
          <w:pgMar w:left="480" w:top="266" w:right="479" w:bottom="1440" w:gutter="0" w:footer="0" w:header="0"/>
        </w:sectPr>
      </w:pPr>
    </w:p>
    <w:bookmarkStart w:id="37" w:name="page38"/>
    <w:bookmarkEnd w:id="37"/>
    <w:p>
      <w:pPr>
        <w:ind w:left="4" w:right="120" w:firstLine="987"/>
        <w:spacing w:after="0" w:line="266" w:lineRule="auto"/>
        <w:tabs>
          <w:tab w:leader="none" w:pos="11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statements in the Pricing Disclosure Package and the Prospectus under the captions “Description of Notes” and, insofar as applicable to the Notes, “Description of Debt Securities,” insofar as such statements constitute a summary of the legal matters or documents referred to therein, are accurate in all material respects.</w:t>
      </w:r>
    </w:p>
    <w:p>
      <w:pPr>
        <w:spacing w:after="0" w:line="175" w:lineRule="exact"/>
        <w:rPr>
          <w:rFonts w:ascii="Times New Roman" w:cs="Times New Roman" w:eastAsia="Times New Roman" w:hAnsi="Times New Roman"/>
          <w:sz w:val="18"/>
          <w:szCs w:val="18"/>
          <w:color w:val="auto"/>
        </w:rPr>
      </w:pPr>
    </w:p>
    <w:p>
      <w:pPr>
        <w:ind w:left="4" w:right="220" w:firstLine="987"/>
        <w:spacing w:after="0" w:line="261" w:lineRule="auto"/>
        <w:tabs>
          <w:tab w:leader="none" w:pos="11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upon filing with the Commission pursuant to Rule 462 under the Act, and, to our knowledge, no stop order suspending the effectiveness of the Registration Statement has been issued and no proceedings for that purpose have been instituted or threatened under the Act. The Prospectus has been filed with the Commission pursuant to, and in accordance with, Rule 424(b) under the Act.</w:t>
      </w:r>
    </w:p>
    <w:p>
      <w:pPr>
        <w:spacing w:after="0" w:line="179" w:lineRule="exact"/>
        <w:rPr>
          <w:rFonts w:ascii="Times New Roman" w:cs="Times New Roman" w:eastAsia="Times New Roman" w:hAnsi="Times New Roman"/>
          <w:sz w:val="18"/>
          <w:szCs w:val="18"/>
          <w:color w:val="auto"/>
        </w:rPr>
      </w:pPr>
    </w:p>
    <w:p>
      <w:pPr>
        <w:ind w:left="4" w:right="40" w:firstLine="987"/>
        <w:spacing w:after="0" w:line="312" w:lineRule="auto"/>
        <w:tabs>
          <w:tab w:leader="none" w:pos="126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statements made under the caption “Material United States Federal Tax Considerations” in the Pricing Disclosure Package and the Prospectus, insofar as such statements constitute a summary of the legal matters or documents referred to therein, are accurate in all material respects.</w:t>
      </w:r>
    </w:p>
    <w:p>
      <w:pPr>
        <w:spacing w:after="0" w:line="139" w:lineRule="exact"/>
        <w:rPr>
          <w:rFonts w:ascii="Times New Roman" w:cs="Times New Roman" w:eastAsia="Times New Roman" w:hAnsi="Times New Roman"/>
          <w:sz w:val="17"/>
          <w:szCs w:val="17"/>
          <w:color w:val="auto"/>
        </w:rPr>
      </w:pPr>
    </w:p>
    <w:p>
      <w:pPr>
        <w:ind w:left="4" w:right="160" w:firstLine="987"/>
        <w:spacing w:after="0" w:line="266" w:lineRule="auto"/>
        <w:tabs>
          <w:tab w:leader="none" w:pos="125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immediately after giving effect to the offering and sale of the Notes and the application of the proceeds thereof as described in the Pricing Disclosure Package and the Prospectus, will not be, required to register as an “investment company” as such term is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2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other action by or filing with any governmental agency or instrumentality of the State of New York or the United States of America or under the DGCL is required on the part of the Company for the execution and delivery of the Underwriting Agreement, the Seventeenth Supplemental Indenture or the Notes, or the consummation of the transactions contemplated thereby and by the Indenture in accordance with the terms thereof, except those required under Federal and State securities laws.</w:t>
      </w:r>
    </w:p>
    <w:p>
      <w:pPr>
        <w:spacing w:after="0" w:line="179" w:lineRule="exact"/>
        <w:rPr>
          <w:rFonts w:ascii="Times New Roman" w:cs="Times New Roman" w:eastAsia="Times New Roman" w:hAnsi="Times New Roman"/>
          <w:sz w:val="18"/>
          <w:szCs w:val="18"/>
          <w:color w:val="auto"/>
        </w:rPr>
      </w:pPr>
    </w:p>
    <w:p>
      <w:pPr>
        <w:ind w:left="4" w:right="180" w:firstLine="987"/>
        <w:spacing w:after="0" w:line="276" w:lineRule="auto"/>
        <w:tabs>
          <w:tab w:leader="none" w:pos="126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the Underwriting Agreement, the Seventeenth Supplemental Indenture and the Notes by the Company and the consummation by the Company of the transactions contemplated thereby and by the Indenture in accordance with the terms thereof do not</w:t>
      </w:r>
    </w:p>
    <w:p>
      <w:pPr>
        <w:jc w:val="both"/>
        <w:ind w:left="4" w:right="40" w:hanging="4"/>
        <w:spacing w:after="0" w:line="255" w:lineRule="auto"/>
        <w:tabs>
          <w:tab w:leader="none" w:pos="2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the DGCL or any New York or Federal statute, law, rule or regulation known to us to which the Company is subject, (ii) breach the provisions of the Company’s Charter or Bylaws, (iii) breach the provisions of, or cause a default under, any contract listed on Schedule A hereto or (iv) contravene any judgment, order or decree listed on Schedule B hereto.</w:t>
      </w:r>
    </w:p>
    <w:p>
      <w:pPr>
        <w:spacing w:after="0" w:line="186"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In addition, in accordance with our understanding with the Company as to the scope of our services in connection with the offering of the Notes, as special counsel to the Company, we reviewed the Registration Statement, the Pricing Disclosure Package and the Prospectus and participated in discussions with your representatives and those of the Company, your counsel and the Company’s independent public accountants. On the basis of the information reviewed by us in the course of the performance of the services referred to above, considered in the light of our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4"/>
          </w:cols>
          <w:pgMar w:left="436" w:top="270" w:right="45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understanding of the applicable law and the experience we have gained through our practice under the Federal securities laws, we confirm to you that nothing that came to our attention in the course of such review has caused us to believe (i) that the Registration Statement, insofar as it relates to the offering of the Notes, at the 430B Effective Time, contained any untrue statement of a material fact or omitted to state any material fact required to be stated therein or necessary in order to make the statements therein not misleading, (ii) that the Pricing Disclosure Package, at the Applicable Time (as defined below), contained any untrue statement of a material fact or omitted to state any material fact necessary in order to make the statements therein, in the light of the circumstances under which they were made, not misleading, or (iii) that the Prospectus, as of its date or as of the date hereof, contained or contains any untrue statement of a material fact or omitted or omits to state any material fact necessary in order to make the statements therein, in the light of the circumstances under which they were made, not misleading.</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920"/>
          </w:cols>
          <w:pgMar w:left="440" w:top="270" w:right="539" w:bottom="1440" w:gutter="0" w:footer="0" w:header="0"/>
        </w:sectPr>
      </w:pPr>
    </w:p>
    <w:bookmarkStart w:id="39" w:name="page40"/>
    <w:bookmarkEnd w:id="39"/>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117"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Form of opinion of Executive Vice President, Chief Legal Officer, and Corporate Secretary</w:t>
      </w:r>
    </w:p>
    <w:p>
      <w:pPr>
        <w:spacing w:after="0" w:line="256" w:lineRule="exact"/>
        <w:rPr>
          <w:sz w:val="20"/>
          <w:szCs w:val="20"/>
          <w:color w:val="auto"/>
        </w:rPr>
      </w:pPr>
    </w:p>
    <w:p>
      <w:pPr>
        <w:jc w:val="both"/>
        <w:ind w:left="424"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Information and the Prospectus, there are no legal or governmental actions, suits or proceedings pending or, to the best of my knowledge, threatened against or affecting the Company or any of its subsidiaries where any such action, suit or proceeding, if determined adversely, would, individually or in the aggregate, reasonably be expected to result in a Material Adverse Change or adversely affect the consummation of the transactions contemplated by the Agreement.</w:t>
      </w:r>
    </w:p>
    <w:p>
      <w:pPr>
        <w:spacing w:after="0" w:line="112"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0724"/>
          </w:cols>
          <w:pgMar w:left="436" w:top="266" w:right="7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ectPr>
          <w:pgSz w:w="11900" w:h="16838" w:orient="portrait"/>
          <w:cols w:equalWidth="0" w:num="1">
            <w:col w:w="9019"/>
          </w:cols>
          <w:pgMar w:left="1440" w:top="266"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Pursuant to Rule 433</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333-286741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22, 2026</w:t>
      </w:r>
    </w:p>
    <w:p>
      <w:pPr>
        <w:spacing w:after="0" w:line="9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4.750% Notes due July 15, 2031 (the “2031 Notes”)</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5.000% Notes due July 15, 2036 (the “2036 Notes”)</w:t>
      </w:r>
    </w:p>
    <w:p>
      <w:pPr>
        <w:sectPr>
          <w:pgSz w:w="11900" w:h="16838" w:orient="portrait"/>
          <w:cols w:equalWidth="0" w:num="1">
            <w:col w:w="11020"/>
          </w:cols>
          <w:pgMar w:left="440" w:top="266" w:right="439" w:bottom="1440" w:gutter="0" w:footer="0" w:header="0"/>
        </w:sect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Republic Services, Inc.</w:t>
      </w:r>
    </w:p>
    <w:p>
      <w:pPr>
        <w:spacing w:after="0" w:line="128"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 / S&amp;P / 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22, 2026</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26, 2026 (T+4)</w:t>
      </w:r>
    </w:p>
    <w:p>
      <w:pPr>
        <w:spacing w:after="0" w:line="120"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9"/>
          <w:szCs w:val="19"/>
          <w:b w:val="1"/>
          <w:bCs w:val="1"/>
          <w:color w:val="auto"/>
        </w:rPr>
        <w:t>Terms of the 2031 Notes</w:t>
      </w:r>
    </w:p>
    <w:p>
      <w:pPr>
        <w:sectPr>
          <w:pgSz w:w="11900" w:h="16838" w:orient="portrait"/>
          <w:cols w:equalWidth="0" w:num="1">
            <w:col w:w="11020"/>
          </w:cols>
          <w:pgMar w:left="440" w:top="266" w:right="43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$700,000,000</w:t>
      </w:r>
    </w:p>
    <w:p>
      <w:pPr>
        <w:spacing w:after="0" w:line="128"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July 15, 2031</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UST 4.125% due May 31, 2031</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99-09 and 4.288%</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T+50 basis points</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4.788%</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99.828% of the principal amount</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4.750%</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15 and July 15, beginning January 15, 2027</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0.600%</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Prior to June 15, 2031 (one month before the maturity date), T +10 basis points</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 or after June 15, 2031 (one month before the maturity date)</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760759 BN9 / US760759BN95</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112"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153"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66" w:right="439" w:bottom="1440" w:gutter="0" w:footer="0" w:header="0"/>
          <w:type w:val="continuous"/>
        </w:sectPr>
      </w:pPr>
    </w:p>
    <w:bookmarkStart w:id="42" w:name="page43"/>
    <w:bookmarkEnd w:id="42"/>
    <w:p>
      <w:pPr>
        <w:jc w:val="center"/>
        <w:ind w:right="-23"/>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the 2036 Notes</w:t>
      </w:r>
    </w:p>
    <w:p>
      <w:pPr>
        <w:sectPr>
          <w:pgSz w:w="11900" w:h="16838" w:orient="portrait"/>
          <w:cols w:equalWidth="0" w:num="1">
            <w:col w:w="10984"/>
          </w:cols>
          <w:pgMar w:left="436" w:top="266" w:right="479" w:bottom="1440" w:gutter="0" w:footer="0" w:header="0"/>
        </w:sectPr>
      </w:pP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Amount: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$500,000,000</w:t>
      </w:r>
    </w:p>
    <w:p>
      <w:pPr>
        <w:spacing w:after="0" w:line="128"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July 15, 2036</w:t>
      </w:r>
    </w:p>
    <w:p>
      <w:pPr>
        <w:spacing w:after="0" w:line="117"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UST 4.375% due May 15, 2036</w:t>
      </w:r>
    </w:p>
    <w:p>
      <w:pPr>
        <w:spacing w:after="0" w:line="117"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98-29+ and 4.511%</w:t>
      </w:r>
    </w:p>
    <w:p>
      <w:pPr>
        <w:spacing w:after="0" w:line="129"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T+62 basis points</w:t>
      </w:r>
    </w:p>
    <w:p>
      <w:pPr>
        <w:spacing w:after="0" w:line="129"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5.131%</w:t>
      </w:r>
    </w:p>
    <w:p>
      <w:pPr>
        <w:spacing w:after="0" w:line="117"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98.977% of the principal amount</w:t>
      </w:r>
    </w:p>
    <w:p>
      <w:pPr>
        <w:spacing w:after="0" w:line="117"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5.000%</w:t>
      </w:r>
    </w:p>
    <w:p>
      <w:pPr>
        <w:spacing w:after="0" w:line="117"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15 and July 15, beginning January 15, 2027</w:t>
      </w:r>
    </w:p>
    <w:p>
      <w:pPr>
        <w:spacing w:after="0" w:line="129"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0.650%</w:t>
      </w:r>
    </w:p>
    <w:p>
      <w:pPr>
        <w:spacing w:after="0" w:line="117"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Make-Whole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Prior to April 15, 2036 (three months before the maturity date), T+10 basis points</w:t>
      </w:r>
    </w:p>
    <w:p>
      <w:pPr>
        <w:spacing w:after="0" w:line="129"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On or after April 15, 2036 (three months before the maturity date)</w:t>
      </w:r>
    </w:p>
    <w:p>
      <w:pPr>
        <w:spacing w:after="0" w:line="117"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760759 BP4 / US760759BP44</w:t>
      </w:r>
    </w:p>
    <w:p>
      <w:pPr>
        <w:spacing w:after="0" w:line="129"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BNP Paribas Securities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112"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Penserra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CastleOak Securities, L.P.</w:t>
      </w:r>
    </w:p>
    <w:p>
      <w:pPr>
        <w:spacing w:after="0" w:line="200" w:lineRule="exact"/>
        <w:rPr>
          <w:sz w:val="20"/>
          <w:szCs w:val="20"/>
          <w:color w:val="auto"/>
        </w:rPr>
      </w:pPr>
    </w:p>
    <w:p>
      <w:pPr>
        <w:sectPr>
          <w:pgSz w:w="11900" w:h="16838" w:orient="portrait"/>
          <w:cols w:equalWidth="0" w:num="2">
            <w:col w:w="3144" w:space="720"/>
            <w:col w:w="7120"/>
          </w:cols>
          <w:pgMar w:left="436" w:top="266" w:right="479" w:bottom="1440" w:gutter="0" w:footer="0" w:header="0"/>
          <w:type w:val="continuous"/>
        </w:sectPr>
      </w:pPr>
    </w:p>
    <w:p>
      <w:pPr>
        <w:spacing w:after="0" w:line="47"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rating is not a recommendation to buy, sell or hold securities and may be subject to revision or withdrawal at any time.</w:t>
      </w:r>
    </w:p>
    <w:p>
      <w:pPr>
        <w:spacing w:after="0" w:line="27" w:lineRule="exact"/>
        <w:rPr>
          <w:sz w:val="20"/>
          <w:szCs w:val="20"/>
          <w:color w:val="auto"/>
        </w:rPr>
      </w:pPr>
    </w:p>
    <w:p>
      <w:pPr>
        <w:ind w:left="424" w:hanging="424"/>
        <w:spacing w:after="0" w:line="252"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to deliver the notes against payment for them on or about June 26, 2026, which will be the fourth business day following the date of the pricing of the notes. Under Rule 15c6-1 under the Exchange Act, trades in the secondary market generally must settle in one business day, unless the parties to any such trade expressly agree otherwise. Accordingly, purchasers who wish to trade the notes on any date prior to the business day immediately preceding delivery will be required, by virtue of the fact that the notes initially will settle in T+4 business days, to specify an alternate settlement cycle at the time of any such trade to prevent a failed settlement. Purchasers who wish to trade the notes prior to the business day immediately preceding delivery should consult their own advisers.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0984"/>
          </w:cols>
          <w:pgMar w:left="436" w:top="266" w:right="479" w:bottom="1440" w:gutter="0" w:footer="0" w:header="0"/>
          <w:type w:val="continuous"/>
        </w:sectPr>
      </w:pPr>
    </w:p>
    <w:bookmarkStart w:id="43" w:name="page44"/>
    <w:bookmarkEnd w:id="43"/>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has filed a registration statement (including a prospectus and preliminary prospectus supplement)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calling, with respect to the 2031 Notes, BofA Securities, Inc. at (800) 294-1322 or Wells Fargo Securities, LLC at (800) 645-3751 and, with respect to the 2036 Notes, BofA Securities, Inc. at (800) 294-1322 or Wells Fargo Securities, LLC at (800) 645-3751.</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This pricing term sheet supplements the preliminary prospectus supplement issued by Republic Services, Inc. on June 22, 2026 relating to its Prospectus dated April 25, 2025.</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000"/>
          </w:cols>
          <w:pgMar w:left="440" w:top="266" w:right="459" w:bottom="1440" w:gutter="0" w:footer="0" w:header="0"/>
        </w:sectPr>
      </w:pPr>
    </w:p>
    <w:bookmarkStart w:id="44" w:name="page45"/>
    <w:bookmarkEnd w:id="44"/>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Free Writing Prospectuses Constituting Part of the Time of Sale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Term Sheet dated June 22, 2026.</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019"/>
          </w:cols>
          <w:pgMar w:left="440" w:top="266" w:right="1440" w:bottom="1440" w:gutter="0" w:footer="0" w:header="0"/>
        </w:sectPr>
      </w:pPr>
    </w:p>
    <w:bookmarkStart w:id="45" w:name="page46"/>
    <w:bookmarkEnd w:id="45"/>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11456091 Canada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12963 Main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16037721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 Knapp Road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 Knapp Solar 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Ashdown Road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3G&amp;L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8439117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Accabonac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Belleville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Broadalbin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CE RS XVI,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CE RS XXII,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CE RS XXIII,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VI,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VII,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VIII,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XI,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XII,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XIV,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DE RS XV,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ES Westwing,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Gabreski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Greece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Holland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Johnsville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Kekaha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Kuihelani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Lawa’i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Monroe Solar 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Monroe Solar 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Monroe Solar 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Monroe Solar 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Monroe Solar 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Orphan Farm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RH RS XIX,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RH RS XVII,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RH RS XVIII, LLC</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019"/>
          </w:cols>
          <w:pgMar w:left="440" w:top="26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AES RH RS XXI,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Rochester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Tonawanda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Waikoloa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Warwarsing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AES West Oahu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Agromin OC,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 Medina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Amaterasu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Ameresco Roxana RNG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 Walden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Assonet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Bakersfield Industrial PV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Bakersfield PV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Beals Medina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Blackhorse Farm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Bloomington Haulers,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Polymers Buckeye,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Polymers Riverside,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Polymers,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Brookwood Drive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Bullock Freetown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BWC Lake Lashaway,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BWC Lake Ripple,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BWC Muddy 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BWC Stony 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Line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Champlin Refuse,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CMS RNG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Waste Industries – Gary,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Cronin Road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Delano PV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Dunstable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Dusenberry Lane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Brookfield Main Street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Evergreen National Indemnity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Finchville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Foothill Sanitary Landfill,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Founder’s Homestead Farm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Glenmere Lake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Johnstown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Lane Ave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Lewiston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Lightning Renewables,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Manteca PV 1, LLC</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0019"/>
          </w:cols>
          <w:pgMar w:left="440" w:top="27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Maple Solar,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Marion Investment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Marion Recycling Center,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Marion Resource Recovery Facility,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Maui 17-2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Middletown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NRC (Asia Pacific)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RNM Project1,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RNM Project1A,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RNM Project2,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RNM Project3,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 RNM Project4,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Oahu SPE 101-14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Oahu SPE 101-19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Oahu SPE 101-2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Oahu SPE 101-33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Oahu SPE 101-4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Oahu SPE 101-9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Particle Wave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Portville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Ransomville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Redman Solar 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Redman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Solar Power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Rincon Solar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 Street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Roosevelt Associates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RT52 Walden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Road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Simmons &amp; Eastern,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 Peak Energy,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Skipjack Solar Center,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Goshen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 Energy of Indiana,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Townline Batavia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Trash Butler,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VHG,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Orange RD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Warner Hill Development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Repurposing International,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Brookfield Boston Post Road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Street Solar 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Wilbur Woods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Williamsburg East Street Solar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Winchendon Ash Street Solar 1 LLC</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0019"/>
          </w:cols>
          <w:pgMar w:left="440" w:top="27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Winchendon Lincoln Avenue Solar 1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Winchendon Lincoln Avenue Solar 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2017-001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2017-003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2017-006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2017-007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2017-008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2017-011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2017-014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2017-017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2017-021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2017-023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2017-024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2017-038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ZPD-PT Solar Project 2017-044 LLC</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0019"/>
          </w:cols>
          <w:pgMar w:left="440" w:top="270" w:right="1440" w:bottom="1440" w:gutter="0" w:footer="0" w:header="0"/>
        </w:sectPr>
      </w:pPr>
    </w:p>
    <w:bookmarkStart w:id="49" w:name="page50"/>
    <w:bookmarkEnd w:id="4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Offering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 purposes of this provision:</w:t>
      </w:r>
    </w:p>
    <w:p>
      <w:pPr>
        <w:spacing w:after="0" w:line="54" w:lineRule="exact"/>
        <w:rPr>
          <w:sz w:val="20"/>
          <w:szCs w:val="20"/>
          <w:color w:val="auto"/>
        </w:rPr>
      </w:pPr>
    </w:p>
    <w:p>
      <w:pPr>
        <w:ind w:left="680" w:hanging="24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 or</w:t>
      </w:r>
    </w:p>
    <w:p>
      <w:pPr>
        <w:spacing w:after="0" w:line="117" w:lineRule="exact"/>
        <w:rPr>
          <w:rFonts w:ascii="Times New Roman" w:cs="Times New Roman" w:eastAsia="Times New Roman" w:hAnsi="Times New Roman"/>
          <w:sz w:val="18"/>
          <w:szCs w:val="18"/>
          <w:color w:val="auto"/>
        </w:rPr>
      </w:pPr>
    </w:p>
    <w:p>
      <w:pPr>
        <w:ind w:left="980" w:right="20" w:firstLine="7"/>
        <w:spacing w:after="0" w:line="282" w:lineRule="auto"/>
        <w:tabs>
          <w:tab w:leader="none" w:pos="12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the “Prospectus Regulation”); and</w:t>
      </w:r>
    </w:p>
    <w:p>
      <w:pPr>
        <w:spacing w:after="0" w:line="117" w:lineRule="exact"/>
        <w:rPr>
          <w:rFonts w:ascii="Times New Roman" w:cs="Times New Roman" w:eastAsia="Times New Roman" w:hAnsi="Times New Roman"/>
          <w:sz w:val="18"/>
          <w:szCs w:val="18"/>
          <w:color w:val="auto"/>
        </w:rPr>
      </w:pPr>
    </w:p>
    <w:p>
      <w:pPr>
        <w:ind w:left="440" w:right="100" w:hanging="4"/>
        <w:spacing w:after="0" w:line="282"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For the purposes of this provision:</w:t>
      </w:r>
    </w:p>
    <w:p>
      <w:pPr>
        <w:spacing w:after="0" w:line="54" w:lineRule="exact"/>
        <w:rPr>
          <w:sz w:val="20"/>
          <w:szCs w:val="20"/>
          <w:color w:val="auto"/>
        </w:rPr>
      </w:pPr>
    </w:p>
    <w:p>
      <w:pPr>
        <w:ind w:left="680" w:hanging="24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17" w:lineRule="exact"/>
        <w:rPr>
          <w:rFonts w:ascii="Times New Roman" w:cs="Times New Roman" w:eastAsia="Times New Roman" w:hAnsi="Times New Roman"/>
          <w:sz w:val="18"/>
          <w:szCs w:val="18"/>
          <w:color w:val="auto"/>
        </w:rPr>
      </w:pPr>
    </w:p>
    <w:p>
      <w:pPr>
        <w:ind w:left="980" w:firstLine="7"/>
        <w:spacing w:after="0" w:line="282" w:lineRule="auto"/>
        <w:tabs>
          <w:tab w:leader="none" w:pos="11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United Kingdom law by virtue of the European Union (Withdrawal) Act 2018 (“EUWA”);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0840"/>
          </w:cols>
          <w:pgMar w:left="440" w:top="266" w:right="619" w:bottom="1440" w:gutter="0" w:footer="0" w:header="0"/>
        </w:sectPr>
      </w:pPr>
    </w:p>
    <w:bookmarkStart w:id="50" w:name="page51"/>
    <w:bookmarkEnd w:id="50"/>
    <w:p>
      <w:pPr>
        <w:ind w:left="984" w:right="80" w:firstLine="7"/>
        <w:spacing w:after="0" w:line="261" w:lineRule="auto"/>
        <w:tabs>
          <w:tab w:leader="none" w:pos="124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United Kingdom law by virtue of the EUWA; or</w:t>
      </w:r>
    </w:p>
    <w:p>
      <w:pPr>
        <w:spacing w:after="0" w:line="71" w:lineRule="exact"/>
        <w:rPr>
          <w:rFonts w:ascii="Times New Roman" w:cs="Times New Roman" w:eastAsia="Times New Roman" w:hAnsi="Times New Roman"/>
          <w:sz w:val="18"/>
          <w:szCs w:val="18"/>
          <w:color w:val="auto"/>
        </w:rPr>
      </w:pPr>
    </w:p>
    <w:p>
      <w:pPr>
        <w:ind w:left="984" w:right="20" w:firstLine="7"/>
        <w:spacing w:after="0" w:line="282" w:lineRule="auto"/>
        <w:tabs>
          <w:tab w:leader="none" w:pos="12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paragraph 15 of Schedule 1 of the United Kingdom’s Public Offers and Admissions to Trading Regulations 2024 (“POATR”); and</w:t>
      </w:r>
    </w:p>
    <w:p>
      <w:pPr>
        <w:spacing w:after="0" w:line="53" w:lineRule="exact"/>
        <w:rPr>
          <w:rFonts w:ascii="Times New Roman" w:cs="Times New Roman" w:eastAsia="Times New Roman" w:hAnsi="Times New Roman"/>
          <w:sz w:val="18"/>
          <w:szCs w:val="18"/>
          <w:color w:val="auto"/>
        </w:rPr>
      </w:pPr>
    </w:p>
    <w:p>
      <w:pPr>
        <w:ind w:left="444" w:right="240" w:hanging="4"/>
        <w:spacing w:after="0" w:line="282" w:lineRule="auto"/>
        <w:tabs>
          <w:tab w:leader="none" w:pos="6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Consequently no key information document required by assimilated Regulation (EU) No 1286/2014 as it forms part of United Kingdom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180"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other documents or material relating to the issue of the Notes have not been made or approved by an authorised persons for the purposes of section 21 of the United Kingdom’s Financial Services and Markets Act 2000, as amended. Accordingly, this prospectus supplement, the accompanying prospectus and any other materials relating to the issue of the Notes are not being distributed to, and must not be passed on to, the general public in the United Kingdom. This prospectus supplement, the accompanying prospectus and any other related documents or materials are only being distributed to, and are directed only at, persons (A) located outside the United Kingdom or</w:t>
      </w:r>
    </w:p>
    <w:p>
      <w:pPr>
        <w:spacing w:after="0" w:line="3" w:lineRule="exact"/>
        <w:rPr>
          <w:sz w:val="20"/>
          <w:szCs w:val="20"/>
          <w:color w:val="auto"/>
        </w:rPr>
      </w:pPr>
    </w:p>
    <w:p>
      <w:pPr>
        <w:ind w:left="4" w:right="40" w:hanging="4"/>
        <w:spacing w:after="0" w:line="251" w:lineRule="auto"/>
        <w:tabs>
          <w:tab w:leader="none" w:pos="2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who are “qualified investors” (as defined in paragraph 15 of Schedule 1 of the POATR) who are also (i) investment professionals falling within Article 19(5) of the Financial Services and Markets Act 2000 (Financial Promotion) Order 2005 (as amended, the “Order”), being persons who have professional experience in matters relating to investments, or (ii) high net worth entities or other persons falling within Articles 49(2)(a) to (d) of the Order, or (iii) persons to whom it would otherwise be lawful to distribute the aforementioned materials, all such persons together being referred to as “Relevant Persons”. The Notes are only available to, and any invitation, offer or agreement to subscribe, purchase or otherwise acquire such Notes will be engaged in only with, Relevant Persons. This prospectus supplement, the accompanying prospectus and any documents or materials relating to the Notes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0984"/>
          </w:cols>
          <w:pgMar w:left="436" w:top="270"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in the United Kingdom, each underwriter has represented and agreed the Notes may not be offered other than by an underwriter that:</w:t>
      </w:r>
    </w:p>
    <w:p>
      <w:pPr>
        <w:spacing w:after="0" w:line="131" w:lineRule="exact"/>
        <w:rPr>
          <w:sz w:val="20"/>
          <w:szCs w:val="20"/>
          <w:color w:val="auto"/>
        </w:rPr>
      </w:pPr>
    </w:p>
    <w:p>
      <w:pPr>
        <w:ind w:left="960" w:hanging="424"/>
        <w:spacing w:after="0" w:line="266"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81"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and will comply with all applicable provisions of the FSMA with respect to anything done by it in relation to the Notes in, from or otherwise involving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(including any amendment to it)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960" w:right="920" w:hanging="532"/>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product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Chapter 6D.2 of the Corporations Act;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0980"/>
          </w:cols>
          <w:pgMar w:left="440" w:top="270" w:right="479" w:bottom="1440" w:gutter="0" w:footer="0" w:header="0"/>
        </w:sectPr>
      </w:pPr>
    </w:p>
    <w:bookmarkStart w:id="52" w:name="page53"/>
    <w:bookmarkEnd w:id="52"/>
    <w:p>
      <w:pPr>
        <w:ind w:left="960" w:right="400" w:hanging="532"/>
        <w:spacing w:after="0" w:line="266"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81"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They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or therein and has no responsibility for the prospectus supplement or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000"/>
          </w:cols>
          <w:pgMar w:left="440" w:top="270" w:right="459" w:bottom="1440" w:gutter="0" w:footer="0" w:header="0"/>
        </w:sectPr>
      </w:pPr>
    </w:p>
    <w:bookmarkStart w:id="53" w:name="page54"/>
    <w:bookmarkEnd w:id="5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(“MAS”).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South Korea</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000"/>
          </w:cols>
          <w:pgMar w:left="440" w:top="270" w:right="459" w:bottom="144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the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the prospectus supplement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000"/>
          </w:cols>
          <w:pgMar w:left="440" w:top="270" w:right="459" w:bottom="1440" w:gutter="0" w:footer="0" w:header="0"/>
        </w:sectPr>
      </w:pPr>
    </w:p>
    <w:bookmarkStart w:id="55" w:name="page56"/>
    <w:bookmarkEnd w:id="55"/>
    <w:p>
      <w:pPr>
        <w:jc w:val="both"/>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Emirates Securities and Commodities Authority or the Dubai Financial Services Authority.</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0900"/>
          </w:cols>
          <w:pgMar w:left="440" w:top="270" w:right="5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REPUBLIC SERVICES,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SEVENTEENTH SUPPLEMENTAL 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$700,000,000</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4.750% Notes due 2031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$500,000,000</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5.000%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Supplement to Indenture dated as of November 25, 2009</w:t>
      </w:r>
    </w:p>
    <w:p>
      <w:pPr>
        <w:sectPr>
          <w:pgSz w:w="11900" w:h="16838" w:orient="portrait"/>
          <w:cols w:equalWidth="0" w:num="1">
            <w:col w:w="10020"/>
          </w:cols>
          <w:pgMar w:left="1440" w:top="117" w:right="439" w:bottom="1440" w:gutter="0" w:footer="0" w:header="0"/>
        </w:sectPr>
      </w:pPr>
    </w:p>
    <w:bookmarkStart w:id="57" w:name="page58"/>
    <w:bookmarkEnd w:id="57"/>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SEVENTEENTH SUPPLEMENTAL INDENTURE, dated as of June 26, 2026 (the “Seventeenth Supplemental Indenture”), between REPUBLIC SERVICES, INC., a Delaware corporation (hereinafter called the “Company”), and U.S. BANK TRUST COMPANY, NATIONAL ASSOCIATION (as successor in interest to U.S. Bank National Association), as trustee under the Base Indenture referred to below (hereinafter called the “Trustee”).</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WHEREAS, the Company entered into an Indenture dated as of November 25, 2009 (the “Base Indenture,” all capitalized terms used in this Seventeenth Supplemental Indenture and not otherwise defined being used as defined in the Base Indenture) (the Base Indenture, as supplemented, including as supplemented by this Seventeenth Supplemental Indenture is hereinafter collectively called the “Indenture”) with the Trustee, providing for the issuance of senior debt securities, unlimited as to principal amount, to bear such rates of interest, to mature at such time or times, to be issued in one or more series and to have such other provisions as authorized by or pursuant to the authority granted in one or more resolutions of the Board of Directors of the Company; and</w:t>
      </w:r>
    </w:p>
    <w:p>
      <w:pPr>
        <w:spacing w:after="0" w:line="187"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WHEREAS, the Company proposes to issue (i) $700,000,000 aggregate principal amount of its 4.750% Notes due 2031 (the “2031 Notes”) and (ii) $500,000,000 aggregate principal amount of its 5.000% Notes due 2036 (the “2036 Notes”) (such notes in (i) and (ii) together being referred to herein as the “Notes” and all references to Securities in the Base Indenture shall be deemed to refer also to the Notes unless the context otherwise provides); and</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WHEREAS, Section 9.01 of the Base Indenture provides that without the consent of the Holders of the Securities of any series issued under the Base Indenture, the Company, when authorized by a Board Resolution, and the Trustee may enter into one or more indentures supplemental to the Base Indenture to, among other things, establish the form or terms of securities of any series as permitted by Sections 2.01 and 3.01 thereof; and</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WHEREAS, the entry into this Seventeenth Supplemental Indenture by the parties hereto is in all respects authorized by the provisions of the Base Indenture; and</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WHEREAS, all things necessary have been done to make this Seventeenth Supplemental Indenture, when executed and delivered by the Company, the legal, valid and binding agreement of the Company, in accordance with its terms; and</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WHEREAS, all things necessary have been done to make the Notes, when executed and delivered by the Company and authenticated by the Trustee as provided for in the Indenture, the legal, valid and binding agreements of the Company, in accordance with their terms;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70" w:right="49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THIS SEVENTEENTH SUPPLEMENTAL INDENTURE WITNESSETH:</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parties hereto mutually covenant and agree as follows: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 The Base Indenture is hereby amended solely with respect to the Notes, except as otherwise expressly provided herein,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firstLine="1428"/>
        <w:spacing w:after="0" w:line="282" w:lineRule="auto"/>
        <w:tabs>
          <w:tab w:leader="none" w:pos="17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Section 1.01 to replace in whole the following definitions thereto in lieu of the corresponding existing definitions, so that in the event of a conflict with the definition of terms in the Base Indenture, the following definitions shall control:</w:t>
      </w:r>
    </w:p>
    <w:p>
      <w:pPr>
        <w:spacing w:after="0" w:line="54" w:lineRule="exact"/>
        <w:rPr>
          <w:sz w:val="20"/>
          <w:szCs w:val="20"/>
          <w:color w:val="auto"/>
        </w:rPr>
      </w:pPr>
    </w:p>
    <w:p>
      <w:pPr>
        <w:ind w:left="980" w:right="300"/>
        <w:spacing w:after="0" w:line="258"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 maturity comparable to the remaining term of the Notes to be redeemed (assuming that such Notes matured on the applicable Par Call Date) that would be utilized, at the time of selection and in accordance with customary financial practice, in pricing new issues of corporate debt securities of a comparable maturity to the remaining term of such Notes (assuming that such Notes matured on the applicable Par Call Date).</w:t>
      </w:r>
    </w:p>
    <w:p>
      <w:pPr>
        <w:spacing w:after="0" w:line="75" w:lineRule="exact"/>
        <w:rPr>
          <w:sz w:val="20"/>
          <w:szCs w:val="20"/>
          <w:color w:val="auto"/>
        </w:rPr>
      </w:pPr>
    </w:p>
    <w:p>
      <w:pPr>
        <w:ind w:left="980" w:right="60"/>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(A) the average of six Reference Treasury Dealer Quotations for such Redemption Date, after excluding the highest and lowest Reference Treasury Dealer Quotations; or (B) if the Independent Investment Banker obtains fewer than six such Reference Treasury Dealer Quotations, the average of all such quotations.</w:t>
      </w:r>
    </w:p>
    <w:p>
      <w:pPr>
        <w:spacing w:after="0" w:line="68" w:lineRule="exact"/>
        <w:rPr>
          <w:sz w:val="20"/>
          <w:szCs w:val="20"/>
          <w:color w:val="auto"/>
        </w:rPr>
      </w:pPr>
    </w:p>
    <w:p>
      <w:pPr>
        <w:ind w:left="980" w:right="220"/>
        <w:spacing w:after="0" w:line="266" w:lineRule="auto"/>
        <w:rPr>
          <w:sz w:val="20"/>
          <w:szCs w:val="20"/>
          <w:color w:val="auto"/>
        </w:rPr>
      </w:pPr>
      <w:r>
        <w:rPr>
          <w:rFonts w:ascii="Times New Roman" w:cs="Times New Roman" w:eastAsia="Times New Roman" w:hAnsi="Times New Roman"/>
          <w:sz w:val="18"/>
          <w:szCs w:val="18"/>
          <w:color w:val="auto"/>
        </w:rPr>
        <w:t>“Independent Investment Banker” means one of BofA Securities, Inc. or Wells Fargo Securities, LLC as selected by the Company, and their respective successors, or if each of such firms is unwilling or unable to select the Comparable Treasury Issue, an independent investment banking institution of national standing appointed by the Company.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“Moody’s” means Moody’s Investors Service, Inc., a subsidiary of Moody’s Corporation, and its successors.</w:t>
      </w:r>
    </w:p>
    <w:p>
      <w:pPr>
        <w:spacing w:after="0" w:line="117" w:lineRule="exact"/>
        <w:rPr>
          <w:sz w:val="20"/>
          <w:szCs w:val="20"/>
          <w:color w:val="auto"/>
        </w:rPr>
      </w:pPr>
    </w:p>
    <w:p>
      <w:pPr>
        <w:ind w:left="980" w:right="240"/>
        <w:spacing w:after="0" w:line="261" w:lineRule="auto"/>
        <w:rPr>
          <w:sz w:val="20"/>
          <w:szCs w:val="20"/>
          <w:color w:val="auto"/>
        </w:rPr>
      </w:pPr>
      <w:r>
        <w:rPr>
          <w:rFonts w:ascii="Times New Roman" w:cs="Times New Roman" w:eastAsia="Times New Roman" w:hAnsi="Times New Roman"/>
          <w:sz w:val="18"/>
          <w:szCs w:val="18"/>
          <w:color w:val="auto"/>
        </w:rPr>
        <w:t>“Reference Treasury Dealer” means (1) each of BofA Securities, Inc. and Wells Fargo Securities, LLC and their respective successors, provided, however, that if either of the foregoing shall cease to be a primary U.S. Government securities dealer in New York City (a “Primary Treasury Dealer”), the Company will substitute for such firm another Primary Treasury Dealer, and (2) up to four additional Primary Treasury Dealers selected by the Independent Investment Banker after consultation with the Company.</w:t>
      </w:r>
    </w:p>
    <w:p>
      <w:pPr>
        <w:spacing w:after="0" w:line="72" w:lineRule="exact"/>
        <w:rPr>
          <w:sz w:val="20"/>
          <w:szCs w:val="20"/>
          <w:color w:val="auto"/>
        </w:rPr>
      </w:pPr>
    </w:p>
    <w:p>
      <w:pPr>
        <w:ind w:left="980" w:right="420"/>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Company which, at the time of determination, owns or is a lessee pursuant to a capital lease of any Principal Property.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59" w:name="page60"/>
    <w:bookmarkEnd w:id="5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“Treasury Rate” means, with respect to any Redemption Date, (1) 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that establishes yields on actively traded U.S. Treasury securities adjusted to constant maturity under the caption “Treasury Constant Maturities,” for the maturity corresponding to the Comparable Treasury Issue (if no maturity is within three months before or after the applicable Par Call Date, yields for the two published maturities most closely corresponding to the Comparable Treasury Issue will be determined and the Treasury Rate will be interpolated or extrapolated from such yields on a straight line basis, rounding to the nearest month; provided, that if the period from the Redemption Date to the Par Call Date is less than one year, the weekly average yield on actually traded United States Treasury securities adjusted to a constant maturity of one year shall be used); or (2) 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on the third Business Day preceding the Redemption Date.</w:t>
      </w:r>
    </w:p>
    <w:p>
      <w:pPr>
        <w:spacing w:after="0" w:line="187" w:lineRule="exact"/>
        <w:rPr>
          <w:sz w:val="20"/>
          <w:szCs w:val="20"/>
          <w:color w:val="auto"/>
        </w:rPr>
      </w:pPr>
    </w:p>
    <w:p>
      <w:pPr>
        <w:ind w:right="2620" w:firstLine="448"/>
        <w:spacing w:after="0" w:line="375" w:lineRule="auto"/>
        <w:tabs>
          <w:tab w:leader="none" w:pos="7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Section 1.01 to add the following new definitions in correct alphabetical order: “2031 Notes” has the meaning set forth in the Recitals.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“2036 Notes” has the meaning set forth in the Recitals.</w:t>
      </w:r>
    </w:p>
    <w:p>
      <w:pPr>
        <w:spacing w:after="0" w:line="117" w:lineRule="exact"/>
        <w:rPr>
          <w:rFonts w:ascii="Times New Roman" w:cs="Times New Roman" w:eastAsia="Times New Roman" w:hAnsi="Times New Roman"/>
          <w:sz w:val="18"/>
          <w:szCs w:val="18"/>
          <w:color w:val="auto"/>
        </w:rPr>
      </w:pPr>
    </w:p>
    <w:p>
      <w:pPr>
        <w:jc w:val="both"/>
        <w:ind w:right="538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“2031 Par Call Date” has the meaning set forth in Section 11.01. “2036 Par Call Date” has the meaning set forth in Section 11.01.</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the occurrence of any of the following after the date of issuance of the Notes:</w:t>
      </w:r>
    </w:p>
    <w:p>
      <w:pPr>
        <w:spacing w:after="0" w:line="117" w:lineRule="exact"/>
        <w:rPr>
          <w:rFonts w:ascii="Times New Roman" w:cs="Times New Roman" w:eastAsia="Times New Roman" w:hAnsi="Times New Roman"/>
          <w:sz w:val="18"/>
          <w:szCs w:val="18"/>
          <w:color w:val="auto"/>
        </w:rPr>
      </w:pPr>
    </w:p>
    <w:p>
      <w:pPr>
        <w:ind w:right="160" w:firstLine="7"/>
        <w:spacing w:after="0" w:line="266"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(other than by way of merger or consolidation), in one or a series of related transactions, of all or substantially all of the assets of the Company and its Subsidiaries taken as a whole to any “person” or “group” (as those terms are used in Section 13(d)(3) of the Exchange Act) other than to the Company or one of its Subsidiaries;</w:t>
      </w:r>
    </w:p>
    <w:p>
      <w:pPr>
        <w:spacing w:after="0" w:line="67" w:lineRule="exact"/>
        <w:rPr>
          <w:rFonts w:ascii="Times New Roman" w:cs="Times New Roman" w:eastAsia="Times New Roman" w:hAnsi="Times New Roman"/>
          <w:sz w:val="18"/>
          <w:szCs w:val="18"/>
          <w:color w:val="auto"/>
        </w:rPr>
      </w:pPr>
    </w:p>
    <w:p>
      <w:pPr>
        <w:ind w:right="40" w:firstLine="7"/>
        <w:spacing w:after="0" w:line="261"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it being agreed that an employee of the Company or any of its Subsidiaries for whom shares are held under an employee stock ownership, employee retirement, employee savings or similar plan and whose shares are voted in accordance with the instructions of such employee shall not be a member of a “group” (as that term is</w:t>
      </w:r>
    </w:p>
    <w:p>
      <w:pPr>
        <w:spacing w:after="0" w:line="1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40"/>
          </w:cols>
          <w:pgMar w:left="1420" w:top="270" w:right="439" w:bottom="1440" w:gutter="0" w:footer="0" w:header="0"/>
        </w:sectPr>
      </w:pPr>
    </w:p>
    <w:bookmarkStart w:id="60" w:name="page61"/>
    <w:bookmarkEnd w:id="60"/>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used in Section 13(d)(3) of the Exchange Act) solely because such employee’s shares are held by a trustee under said plan) becomes the “beneficial owner” (as defined in Rules 13d-3 and 13d-5 under the Exchange Act), directly or indirectly, of the Company’s Voting Stock representing more than 50% of the voting power of its outstanding Voting Stock;</w:t>
      </w:r>
    </w:p>
    <w:p>
      <w:pPr>
        <w:spacing w:after="0" w:line="68" w:lineRule="exact"/>
        <w:rPr>
          <w:sz w:val="20"/>
          <w:szCs w:val="20"/>
          <w:color w:val="auto"/>
        </w:rPr>
      </w:pPr>
    </w:p>
    <w:p>
      <w:pPr>
        <w:ind w:right="300" w:firstLine="7"/>
        <w:spacing w:after="0" w:line="256"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or into, any Person, or any Person consolidates with, or merges with or into, the Company, in any such event pursuant to a transaction in which any of the Company’s outstanding Voting Stock or Voting Stock of such other Person is converted into or exchanged for cash, securities or other property, other than any such transaction where the Company’s Voting Stock outstanding immediately prior to such transaction constitutes, or is converted into or exchanged for, Voting Stock representing more than 50% of the voting power of the Voting Stock of the surviving Person immediately after giving effect to such transaction;</w:t>
      </w:r>
    </w:p>
    <w:p>
      <w:pPr>
        <w:spacing w:after="0" w:line="79" w:lineRule="exact"/>
        <w:rPr>
          <w:rFonts w:ascii="Times New Roman" w:cs="Times New Roman" w:eastAsia="Times New Roman" w:hAnsi="Times New Roman"/>
          <w:sz w:val="18"/>
          <w:szCs w:val="18"/>
          <w:color w:val="auto"/>
        </w:rPr>
      </w:pPr>
    </w:p>
    <w:p>
      <w:pPr>
        <w:ind w:firstLine="7"/>
        <w:spacing w:after="0" w:line="258" w:lineRule="auto"/>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calendar months, the majority of the members of the Company’s Board of Directors shall no longer be composed of individuals (a) who were members of the Company’s Board of Directors on the first day of such period or (b) whose election or nomination to the Company’s Board of Directors was approved by individuals referred to in clause (a) above constituting, at the time of such election or nomination, at least a majority of the Company’s Board of Directors or, if directors are nominated by a committee of the Company’s Board of Directors, constituting at the time of such nomination, at least a majority of such committee; or</w:t>
      </w:r>
    </w:p>
    <w:p>
      <w:pPr>
        <w:spacing w:after="0" w:line="75"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Company’s liquidation or dissolution.</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“Change of Control Triggering Event” means, with respect to the relevant series of Notes, such Notes cease to be rated Investment Grade by each of the Rating Agencies on any date during the period (the “Trigger Period”) commencing 60 days prior to the first public announcement by the Company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If a Rating Agency is not providing a rating for the relevant series of Notes at the commencement of any Trigger Period, such Notes will be deemed to have ceased to be rated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40"/>
          </w:cols>
          <w:pgMar w:left="1420" w:top="270" w:right="43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Grade” means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the Company under the circumstances permitting the Company to select a replacement agency and in the manner for selecting a replacement agency, in each case as set forth in the definition of “Rating Agency.”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has the meaning set forth in the 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Call Date” means either the 2031 Par Call Date or the 2036 Par Call Date, as the case may be.</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“Rating Agency” means each of Moody’s and S&amp;P; provided, that if either of Moody’s or S&amp;P ceases to rate the 2031 Notes or the 2036 Notes, as applicable, or fails to make a rating of the relevant series of Notes publicly available for reasons outside the Company’s control, the Company may appoint another “nationally recognized statistical rating organization” within the meaning of Section 3(a)(62) of the Exchange Act as a replacement for such Rating Agency for the relevant series of Notes; provided, that the Company shall give notice of such appointment to the Trustee.</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“Voting Stock” of any specified Person as of any date means the capital stock of such Person that is at the time entitled to vote generally in the election of the board of directors of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By amending Section 4.01 by adding the following sentence at the end of thereof:</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“Both Section 4.02 (defeasance and discharge) and Section 4.03 (covenant defeasance) shall apply to each of the 2031 Notes and the 2036 Notes.”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By replacing Section 4.03 in its entirety with the following:</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“Upon the Company’s exercise of the option applicable to this Section 4.03 with respect to any series of Notes, the Company shall be released from its obligations under any covenant or provision contained or referred to in Sections 10.05, 10.06, 10.07 and 14.01, with respect to the Defeased Securities, on and after the date the conditions set forth in Section 4.04 below are satisfied (hereinafter, “covenant defeasance”), and the Defeased Securities shall thereafter be deemed to be not “Outstanding” for the purposes of any direction, waiver, consent or declaration or Act of Holders (and the consequences of any thereof) in connection with such covenants, but shall continue to be deemed “Outstanding” for all other purposes hereunder, and the Events of Default under Section 5.01(c), (d) and (e) shall cease to be in full force and effect with respect to such Notes. For this purpose, such</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20"/>
          </w:cols>
          <w:pgMar w:left="1420" w:top="270" w:right="459" w:bottom="1440" w:gutter="0" w:footer="0" w:header="0"/>
        </w:sectPr>
      </w:pPr>
    </w:p>
    <w:bookmarkStart w:id="62" w:name="page63"/>
    <w:bookmarkEnd w:id="6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 defeasance means that, with respect to the Defeased Securities, the Company may omit to comply with and shall have no liability in respect of any term, condition or limitation set forth in any such Section, whether directly or indirectly, by reason of any reference elsewhere herein to any such Section or by reason of reference in any such Section to any other provision herein or in any other document and such omission to comply shall not constitute a Default or an Event of Default under Section 5.01(c), (d) and (e) but, except as specified above, the remainder of this Indenture and such Defeased Securities shall be unaffected thereby.”</w:t>
      </w:r>
    </w:p>
    <w:p>
      <w:pPr>
        <w:spacing w:after="0" w:line="183" w:lineRule="exact"/>
        <w:rPr>
          <w:sz w:val="20"/>
          <w:szCs w:val="20"/>
          <w:color w:val="auto"/>
        </w:rPr>
      </w:pPr>
    </w:p>
    <w:p>
      <w:pPr>
        <w:ind w:left="720" w:hanging="272"/>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Section 9.01 by:</w:t>
      </w:r>
    </w:p>
    <w:p>
      <w:pPr>
        <w:spacing w:after="0" w:line="130" w:lineRule="exact"/>
        <w:rPr>
          <w:rFonts w:ascii="Times New Roman" w:cs="Times New Roman" w:eastAsia="Times New Roman" w:hAnsi="Times New Roman"/>
          <w:sz w:val="18"/>
          <w:szCs w:val="18"/>
          <w:color w:val="auto"/>
        </w:rPr>
      </w:pPr>
    </w:p>
    <w:p>
      <w:pPr>
        <w:ind w:left="1420" w:hanging="649"/>
        <w:spacing w:after="0"/>
        <w:tabs>
          <w:tab w:leader="none" w:pos="14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period at the end of clause (m) and inserting the following: “; and”; and</w:t>
      </w:r>
    </w:p>
    <w:p>
      <w:pPr>
        <w:spacing w:after="0" w:line="130" w:lineRule="exact"/>
        <w:rPr>
          <w:rFonts w:ascii="Times New Roman" w:cs="Times New Roman" w:eastAsia="Times New Roman" w:hAnsi="Times New Roman"/>
          <w:sz w:val="18"/>
          <w:szCs w:val="18"/>
          <w:color w:val="auto"/>
        </w:rPr>
      </w:pPr>
    </w:p>
    <w:p>
      <w:pPr>
        <w:ind w:left="1420" w:hanging="649"/>
        <w:spacing w:after="0"/>
        <w:tabs>
          <w:tab w:leader="none" w:pos="14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inserting the following clause after clause (m):</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 to add additional Securities of the same class and series in one or more tranches from time to time.”</w:t>
      </w:r>
    </w:p>
    <w:p>
      <w:pPr>
        <w:spacing w:after="0" w:line="225" w:lineRule="exact"/>
        <w:rPr>
          <w:sz w:val="20"/>
          <w:szCs w:val="20"/>
          <w:color w:val="auto"/>
        </w:rPr>
      </w:pPr>
    </w:p>
    <w:p>
      <w:pPr>
        <w:ind w:left="720" w:hanging="272"/>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Section 9.02 by:</w:t>
      </w:r>
    </w:p>
    <w:p>
      <w:pPr>
        <w:spacing w:after="0" w:line="130" w:lineRule="exact"/>
        <w:rPr>
          <w:rFonts w:ascii="Times New Roman" w:cs="Times New Roman" w:eastAsia="Times New Roman" w:hAnsi="Times New Roman"/>
          <w:sz w:val="18"/>
          <w:szCs w:val="18"/>
          <w:color w:val="auto"/>
        </w:rPr>
      </w:pPr>
    </w:p>
    <w:p>
      <w:pPr>
        <w:ind w:left="1420" w:hanging="649"/>
        <w:spacing w:after="0"/>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word “or” at the end of clause (j);</w:t>
      </w:r>
    </w:p>
    <w:p>
      <w:pPr>
        <w:spacing w:after="0" w:line="130" w:lineRule="exact"/>
        <w:rPr>
          <w:rFonts w:ascii="Times New Roman" w:cs="Times New Roman" w:eastAsia="Times New Roman" w:hAnsi="Times New Roman"/>
          <w:sz w:val="18"/>
          <w:szCs w:val="18"/>
          <w:color w:val="auto"/>
        </w:rPr>
      </w:pPr>
    </w:p>
    <w:p>
      <w:pPr>
        <w:ind w:left="1420" w:hanging="649"/>
        <w:spacing w:after="0"/>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period at the end of clause (k) and inserting the following: “; or”; and</w:t>
      </w:r>
    </w:p>
    <w:p>
      <w:pPr>
        <w:spacing w:after="0" w:line="130" w:lineRule="exact"/>
        <w:rPr>
          <w:rFonts w:ascii="Times New Roman" w:cs="Times New Roman" w:eastAsia="Times New Roman" w:hAnsi="Times New Roman"/>
          <w:sz w:val="18"/>
          <w:szCs w:val="18"/>
          <w:color w:val="auto"/>
        </w:rPr>
      </w:pPr>
    </w:p>
    <w:p>
      <w:pPr>
        <w:ind w:left="1420" w:hanging="649"/>
        <w:spacing w:after="0"/>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inserting the following clause after clause (k):</w:t>
      </w:r>
    </w:p>
    <w:p>
      <w:pPr>
        <w:spacing w:after="0" w:line="117" w:lineRule="exact"/>
        <w:rPr>
          <w:sz w:val="20"/>
          <w:szCs w:val="20"/>
          <w:color w:val="auto"/>
        </w:rPr>
      </w:pPr>
    </w:p>
    <w:p>
      <w:pPr>
        <w:ind w:left="1440" w:right="280"/>
        <w:spacing w:after="0" w:line="266" w:lineRule="auto"/>
        <w:rPr>
          <w:sz w:val="20"/>
          <w:szCs w:val="20"/>
          <w:color w:val="auto"/>
        </w:rPr>
      </w:pPr>
      <w:r>
        <w:rPr>
          <w:rFonts w:ascii="Times New Roman" w:cs="Times New Roman" w:eastAsia="Times New Roman" w:hAnsi="Times New Roman"/>
          <w:sz w:val="18"/>
          <w:szCs w:val="18"/>
          <w:color w:val="auto"/>
        </w:rPr>
        <w:t>“(l) amend, change or modify the Company’s obligation to make and consummate a Change of Control Offer in the event of a Change of Control Triggering Event in accordance with Section 14.01 after such Change of Control Triggering Event has occurred, including amending, changing or modifying any definition related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 By inserting after the first sentence in Section 3.01 the following:</w:t>
      </w:r>
    </w:p>
    <w:p>
      <w:pPr>
        <w:spacing w:after="0" w:line="1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aggregate principal amount of Notes which may be issued under this Indenture shall be unlimited and the Company may issue additional notes of the same class and series as any of the Notes (the “Additional Notes”) in one or more tranches from time to time, without notice to or the consent of existing Holders of the Securities of any series, including the Notes. The Additional Notes shall have the same terms as all other Notes of the same class and series and all references to the Notes in the Indenture shall be deemed to also refer to the Additional Notes. The Additional Notes shall vote as a class with all other Notes of such same class and series as to matters as to which such Notes have a vote.”</w:t>
      </w:r>
    </w:p>
    <w:p>
      <w:pPr>
        <w:spacing w:after="0" w:line="1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1420" w:top="270" w:right="45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By replacing Section 11.01 in its entirety with the following:</w:t>
      </w:r>
    </w:p>
    <w:p>
      <w:pPr>
        <w:spacing w:after="0" w:line="117" w:lineRule="exact"/>
        <w:rPr>
          <w:sz w:val="20"/>
          <w:szCs w:val="20"/>
          <w:color w:val="auto"/>
        </w:rPr>
      </w:pPr>
    </w:p>
    <w:p>
      <w:pPr>
        <w:ind w:left="980" w:right="160"/>
        <w:spacing w:after="0" w:line="266" w:lineRule="auto"/>
        <w:rPr>
          <w:sz w:val="20"/>
          <w:szCs w:val="20"/>
          <w:color w:val="auto"/>
        </w:rPr>
      </w:pPr>
      <w:r>
        <w:rPr>
          <w:rFonts w:ascii="Times New Roman" w:cs="Times New Roman" w:eastAsia="Times New Roman" w:hAnsi="Times New Roman"/>
          <w:sz w:val="18"/>
          <w:szCs w:val="18"/>
          <w:color w:val="auto"/>
        </w:rPr>
        <w:t>“(a) Prior to June 15, 2031 (one month prior to the Stated Maturity of the 2031 Notes) (the “2031 Par Call Date”), the 2031 Notes will be redeemable, in whole or in part, at the option of the Company, at any time or from time to time, at a Redemption Price equal to the greater of:</w:t>
      </w:r>
    </w:p>
    <w:p>
      <w:pPr>
        <w:spacing w:after="0" w:line="68" w:lineRule="exact"/>
        <w:rPr>
          <w:sz w:val="20"/>
          <w:szCs w:val="20"/>
          <w:color w:val="auto"/>
        </w:rPr>
      </w:pPr>
    </w:p>
    <w:p>
      <w:pPr>
        <w:ind w:left="1240" w:hanging="261"/>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2031 Notes to be redeemed, and</w:t>
      </w:r>
    </w:p>
    <w:p>
      <w:pPr>
        <w:spacing w:after="0" w:line="117" w:lineRule="exact"/>
        <w:rPr>
          <w:rFonts w:ascii="Times New Roman" w:cs="Times New Roman" w:eastAsia="Times New Roman" w:hAnsi="Times New Roman"/>
          <w:sz w:val="18"/>
          <w:szCs w:val="18"/>
          <w:color w:val="auto"/>
        </w:rPr>
      </w:pPr>
    </w:p>
    <w:p>
      <w:pPr>
        <w:ind w:left="980" w:hanging="1"/>
        <w:spacing w:after="0" w:line="261" w:lineRule="auto"/>
        <w:tabs>
          <w:tab w:leader="none" w:pos="12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on the 2031 Notes to be redeemed (assuming that such 2031 Notes matured on the 2031 Par Call Date) discounted to the Redemption Date on a semi-annual basis (assuming a 360-day year consisting of twelve 30-day months) at the applicable Treasury Rate, plus 10 basis points.</w:t>
      </w:r>
    </w:p>
    <w:p>
      <w:pPr>
        <w:spacing w:after="0" w:line="72" w:lineRule="exact"/>
        <w:rPr>
          <w:sz w:val="20"/>
          <w:szCs w:val="20"/>
          <w:color w:val="auto"/>
        </w:rPr>
      </w:pPr>
    </w:p>
    <w:p>
      <w:pPr>
        <w:ind w:left="420" w:right="60"/>
        <w:spacing w:after="0" w:line="266" w:lineRule="auto"/>
        <w:rPr>
          <w:sz w:val="20"/>
          <w:szCs w:val="20"/>
          <w:color w:val="auto"/>
        </w:rPr>
      </w:pPr>
      <w:r>
        <w:rPr>
          <w:rFonts w:ascii="Times New Roman" w:cs="Times New Roman" w:eastAsia="Times New Roman" w:hAnsi="Times New Roman"/>
          <w:sz w:val="18"/>
          <w:szCs w:val="18"/>
          <w:color w:val="auto"/>
        </w:rPr>
        <w:t>In the case of each of clauses (1) and (2), accrued and unpaid interest will be payable to, but excluding, the Redemption Date, if any (subject to the right of holders of record of such 2031 Notes on the relevant record date to receive interest due on an Interest Payment Date).</w:t>
      </w:r>
    </w:p>
    <w:p>
      <w:pPr>
        <w:spacing w:after="0" w:line="68" w:lineRule="exact"/>
        <w:rPr>
          <w:sz w:val="20"/>
          <w:szCs w:val="20"/>
          <w:color w:val="auto"/>
        </w:rPr>
      </w:pPr>
    </w:p>
    <w:p>
      <w:pPr>
        <w:ind w:left="980" w:right="60" w:hanging="1"/>
        <w:spacing w:after="0" w:line="261" w:lineRule="auto"/>
        <w:tabs>
          <w:tab w:leader="none" w:pos="12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2031 Par Call Date, the 2031 Notes will be redeemable, in whole or in part, at the option of the Company, at any time or from time to time, at a Redemption Price equal to 100% of the principal amount of the 2031 Notes to be redeemed plus accrued and unpaid interest thereon to, but excluding, the Redemption Date, if any (subject to the right of holders of record of such 2031 Notes on the relevant record date to receive interest due on an Interest Payment Date).”</w:t>
      </w:r>
    </w:p>
    <w:p>
      <w:pPr>
        <w:spacing w:after="0" w:line="71" w:lineRule="exact"/>
        <w:rPr>
          <w:rFonts w:ascii="Times New Roman" w:cs="Times New Roman" w:eastAsia="Times New Roman" w:hAnsi="Times New Roman"/>
          <w:sz w:val="18"/>
          <w:szCs w:val="18"/>
          <w:color w:val="auto"/>
        </w:rPr>
      </w:pPr>
    </w:p>
    <w:p>
      <w:pPr>
        <w:ind w:left="980" w:right="20" w:hanging="1"/>
        <w:spacing w:after="0" w:line="266" w:lineRule="auto"/>
        <w:tabs>
          <w:tab w:leader="none" w:pos="12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April 15, 2036 (three months prior to the Stated Maturity of the 2036 Notes) (the “2036 Par Call Date”), the 2036 Notes will be redeemable, in whole or in part, at the option of the Company, at any time or from time to time, at a Redemption Price equal to the greater of:</w:t>
      </w:r>
    </w:p>
    <w:p>
      <w:pPr>
        <w:spacing w:after="0" w:line="68" w:lineRule="exact"/>
        <w:rPr>
          <w:sz w:val="20"/>
          <w:szCs w:val="20"/>
          <w:color w:val="auto"/>
        </w:rPr>
      </w:pPr>
    </w:p>
    <w:p>
      <w:pPr>
        <w:ind w:left="1240" w:hanging="261"/>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2036 Notes to be redeemed, and</w:t>
      </w:r>
    </w:p>
    <w:p>
      <w:pPr>
        <w:spacing w:after="0" w:line="117" w:lineRule="exact"/>
        <w:rPr>
          <w:rFonts w:ascii="Times New Roman" w:cs="Times New Roman" w:eastAsia="Times New Roman" w:hAnsi="Times New Roman"/>
          <w:sz w:val="18"/>
          <w:szCs w:val="18"/>
          <w:color w:val="auto"/>
        </w:rPr>
      </w:pPr>
    </w:p>
    <w:p>
      <w:pPr>
        <w:ind w:left="980" w:hanging="1"/>
        <w:spacing w:after="0" w:line="261" w:lineRule="auto"/>
        <w:tabs>
          <w:tab w:leader="none" w:pos="12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on the 2036 Notes to be redeemed (assuming that such 2036 Notes matured on the 2036 Par Call Date) discounted to the Redemption Date on a semi-annual basis (assuming a 360-day year consisting of twelve 30-day months) at the applicable Treasury Rate, plus 10 basis points.</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64" w:name="page65"/>
    <w:bookmarkEnd w:id="64"/>
    <w:p>
      <w:pPr>
        <w:ind w:left="4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each of clauses (1) and (2), accrued and unpaid interest will be payable to, but excluding, the Redemption Date, if any (subject to the right of holders of record of such 2036 Notes on the relevant record date to receive interest due on an Interest Payment Date).</w:t>
      </w:r>
    </w:p>
    <w:p>
      <w:pPr>
        <w:spacing w:after="0" w:line="68" w:lineRule="exact"/>
        <w:rPr>
          <w:sz w:val="20"/>
          <w:szCs w:val="20"/>
          <w:color w:val="auto"/>
        </w:rPr>
      </w:pPr>
    </w:p>
    <w:p>
      <w:pPr>
        <w:ind w:left="980" w:hanging="1"/>
        <w:spacing w:after="0" w:line="261" w:lineRule="auto"/>
        <w:tabs>
          <w:tab w:leader="none" w:pos="12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2036 Par Call Date, the 2036 Notes will be redeemable, in whole or in part, at the option of the Company, at any time or from time to time, at a Redemption Price equal to 100% of the principal amount of the 2036 Notes to be redeemed plus accrued and unpaid interest thereon to, but excluding, the Redemption Date, if any (subject to the right of holders of record of such 2036 Notes on the relevant record date to receive interest due on an Interest Payment Date).”</w:t>
      </w:r>
    </w:p>
    <w:p>
      <w:pPr>
        <w:spacing w:after="0" w:line="179" w:lineRule="exact"/>
        <w:rPr>
          <w:rFonts w:ascii="Times New Roman" w:cs="Times New Roman" w:eastAsia="Times New Roman" w:hAnsi="Times New Roman"/>
          <w:sz w:val="18"/>
          <w:szCs w:val="18"/>
          <w:color w:val="auto"/>
        </w:rPr>
      </w:pPr>
    </w:p>
    <w:p>
      <w:pPr>
        <w:ind w:left="660" w:hanging="23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Section 11.04 by deleting the number 30 and inserting “10”.</w:t>
      </w:r>
    </w:p>
    <w:p>
      <w:pPr>
        <w:spacing w:after="0" w:line="225" w:lineRule="exact"/>
        <w:rPr>
          <w:rFonts w:ascii="Times New Roman" w:cs="Times New Roman" w:eastAsia="Times New Roman" w:hAnsi="Times New Roman"/>
          <w:sz w:val="18"/>
          <w:szCs w:val="18"/>
          <w:color w:val="auto"/>
        </w:rPr>
      </w:pPr>
    </w:p>
    <w:p>
      <w:pPr>
        <w:ind w:left="660" w:hanging="23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amending Section 11.05 by deleting the number 30 and inserting “10”.</w:t>
      </w:r>
    </w:p>
    <w:p>
      <w:pPr>
        <w:spacing w:after="0" w:line="225"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replacing the first sentence in Section 11.06 with the following:</w:t>
      </w:r>
    </w:p>
    <w:p>
      <w:pPr>
        <w:spacing w:after="0" w:line="117" w:lineRule="exact"/>
        <w:rPr>
          <w:sz w:val="20"/>
          <w:szCs w:val="20"/>
          <w:color w:val="auto"/>
        </w:rPr>
      </w:pPr>
    </w:p>
    <w:p>
      <w:pPr>
        <w:ind w:left="420" w:right="300"/>
        <w:spacing w:after="0" w:line="258" w:lineRule="auto"/>
        <w:rPr>
          <w:sz w:val="20"/>
          <w:szCs w:val="20"/>
          <w:color w:val="auto"/>
        </w:rPr>
      </w:pPr>
      <w:r>
        <w:rPr>
          <w:rFonts w:ascii="Times New Roman" w:cs="Times New Roman" w:eastAsia="Times New Roman" w:hAnsi="Times New Roman"/>
          <w:sz w:val="18"/>
          <w:szCs w:val="18"/>
          <w:color w:val="auto"/>
        </w:rPr>
        <w:t>“On or prior to 10:00 a.m., New York City time, on any Redemption Date, the Company shall deposit with the Trustee or with a Paying Agent (or, if the Company or any of its Affiliates is acting as Paying Agent, segregate and hold in trust as provided in Section 10.03) an amount of money in same day funds sufficient to pay the Redemption Price of, and (except if the Redemption Date shall be an Interest Payment Date or Special Payment Date) accrued and unpaid interest on, all the applicable series of Securities or portions thereof which are to be redeemed.”</w:t>
      </w:r>
    </w:p>
    <w:p>
      <w:pPr>
        <w:spacing w:after="0" w:line="183" w:lineRule="exact"/>
        <w:rPr>
          <w:sz w:val="20"/>
          <w:szCs w:val="20"/>
          <w:color w:val="auto"/>
        </w:rPr>
      </w:pPr>
    </w:p>
    <w:p>
      <w:pPr>
        <w:ind w:left="980" w:right="5160" w:hanging="552"/>
        <w:spacing w:after="0" w:line="375" w:lineRule="auto"/>
        <w:tabs>
          <w:tab w:leader="none" w:pos="7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as a new “Article XIV” thereto the following: “Article XIV</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Notes at the Option of the Holders</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40"/>
          </w:cols>
          <w:pgMar w:left="1440" w:top="270" w:right="519"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14.01. REPURCHASE AT OPTION OF HOLDERS UPON A CHANGE OF CONTROL</w:t>
      </w:r>
    </w:p>
    <w:p>
      <w:pPr>
        <w:spacing w:after="0" w:line="117" w:lineRule="exact"/>
        <w:rPr>
          <w:sz w:val="20"/>
          <w:szCs w:val="20"/>
          <w:color w:val="auto"/>
        </w:rPr>
      </w:pPr>
    </w:p>
    <w:p>
      <w:pPr>
        <w:ind w:left="980" w:right="80" w:hanging="1"/>
        <w:spacing w:after="0" w:line="255" w:lineRule="auto"/>
        <w:tabs>
          <w:tab w:leader="none" w:pos="12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Triggering Event with respect to the 2031 Notes or the 2036 Notes, as the case may be, unless the Company has exercised its right to redeem such Notes pursuant to Article XI of the Indenture, each Holder of the relevant series of Notes shall have the right to require the Company to purchase all or a portion (equal to $2,000 or an integral multiple of $1,000 in excess thereof) of such Holder’s Notes pursuant to the offer described below (the “Change of Control Offer”), at a purchase price equal to 101% of the principal amount thereof plus accrued and unpaid interest, if any, to, but excluding, the date of purchase (the “Change of Control Payment”), subject to the rights of such Holders on the relevant Regular Record Date to receive interest due on the relevant Interest Payment Date.</w:t>
      </w:r>
    </w:p>
    <w:p>
      <w:pPr>
        <w:spacing w:after="0" w:line="80" w:lineRule="exact"/>
        <w:rPr>
          <w:rFonts w:ascii="Times New Roman" w:cs="Times New Roman" w:eastAsia="Times New Roman" w:hAnsi="Times New Roman"/>
          <w:sz w:val="18"/>
          <w:szCs w:val="18"/>
          <w:color w:val="auto"/>
        </w:rPr>
      </w:pPr>
    </w:p>
    <w:p>
      <w:pPr>
        <w:ind w:left="980" w:hanging="1"/>
        <w:spacing w:after="0" w:line="261" w:lineRule="auto"/>
        <w:tabs>
          <w:tab w:leader="none" w:pos="12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the date upon which the Change of Control Triggering Event occurred with respect to the relevant series of Notes, or at the Company’s option, prior to any Change of Control but after the public announcement of the pending Change of Control, the Company shall send, by first class mail, a notice to each Holder of such Notes, with a copy to the Trustee, which notice shall govern the terms of the Change of Control Offer.</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Such notice shall state:</w:t>
      </w:r>
    </w:p>
    <w:p>
      <w:pPr>
        <w:spacing w:after="0" w:line="117" w:lineRule="exact"/>
        <w:rPr>
          <w:sz w:val="20"/>
          <w:szCs w:val="20"/>
          <w:color w:val="auto"/>
        </w:rPr>
      </w:pPr>
    </w:p>
    <w:p>
      <w:pPr>
        <w:ind w:left="1200" w:hanging="221"/>
        <w:spacing w:after="0"/>
        <w:tabs>
          <w:tab w:leader="none" w:pos="1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Change of Control;</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Change of Control;</w:t>
      </w:r>
    </w:p>
    <w:p>
      <w:pPr>
        <w:spacing w:after="0" w:line="117" w:lineRule="exact"/>
        <w:rPr>
          <w:rFonts w:ascii="Times New Roman" w:cs="Times New Roman" w:eastAsia="Times New Roman" w:hAnsi="Times New Roman"/>
          <w:sz w:val="18"/>
          <w:szCs w:val="18"/>
          <w:color w:val="auto"/>
        </w:rPr>
      </w:pPr>
    </w:p>
    <w:p>
      <w:pPr>
        <w:ind w:left="1300" w:hanging="321"/>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Change of Control Payment;</w:t>
      </w:r>
    </w:p>
    <w:p>
      <w:pPr>
        <w:spacing w:after="0" w:line="117" w:lineRule="exact"/>
        <w:rPr>
          <w:rFonts w:ascii="Times New Roman" w:cs="Times New Roman" w:eastAsia="Times New Roman" w:hAnsi="Times New Roman"/>
          <w:sz w:val="18"/>
          <w:szCs w:val="18"/>
          <w:color w:val="auto"/>
        </w:rPr>
      </w:pPr>
    </w:p>
    <w:p>
      <w:pPr>
        <w:ind w:left="980" w:right="140" w:hanging="1"/>
        <w:spacing w:after="0" w:line="266" w:lineRule="auto"/>
        <w:tabs>
          <w:tab w:leader="none" w:pos="12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must exercise the repurchase right prior to the close of business on the purchase date, which must be no earlier than 30 days nor later than 60 days from the date such notice is mailed, other than as may be required by law (the “Change of Control Payment Date”);</w:t>
      </w:r>
    </w:p>
    <w:p>
      <w:pPr>
        <w:spacing w:after="0" w:line="67" w:lineRule="exact"/>
        <w:rPr>
          <w:rFonts w:ascii="Times New Roman" w:cs="Times New Roman" w:eastAsia="Times New Roman" w:hAnsi="Times New Roman"/>
          <w:sz w:val="18"/>
          <w:szCs w:val="18"/>
          <w:color w:val="auto"/>
        </w:rPr>
      </w:pPr>
    </w:p>
    <w:p>
      <w:pPr>
        <w:ind w:left="980" w:right="380" w:hanging="1"/>
        <w:spacing w:after="0" w:line="266" w:lineRule="auto"/>
        <w:tabs>
          <w:tab w:leader="none" w:pos="12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is mailed prior to any Change of Control but after the public announcement of the pending Change of Control, that the offer is conditioned on the Change of Control being consummated on or prior to the Change of Control Payment Date;</w:t>
      </w:r>
    </w:p>
    <w:p>
      <w:pPr>
        <w:spacing w:after="0" w:line="6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left="980" w:right="20" w:hanging="1"/>
        <w:spacing w:after="0" w:line="282" w:lineRule="auto"/>
        <w:tabs>
          <w:tab w:leader="none" w:pos="13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must complete the Change of Control Repurchase Notice (as defined below) to participate in the Change of Control Offer; and</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procedures that Holders must follow to require the Company to repurchase the relevant series of Notes.</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00"/>
          </w:cols>
          <w:pgMar w:left="1440" w:top="270" w:right="459" w:bottom="1440" w:gutter="0" w:footer="0" w:header="0"/>
        </w:sectPr>
      </w:pPr>
    </w:p>
    <w:bookmarkStart w:id="66" w:name="page67"/>
    <w:bookmarkEnd w:id="66"/>
    <w:p>
      <w:pPr>
        <w:ind w:left="980" w:right="240" w:hanging="1"/>
        <w:spacing w:after="0" w:line="282" w:lineRule="auto"/>
        <w:tabs>
          <w:tab w:leader="none" w:pos="1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Repurchases of the relevant series of Notes under this Section 14.01 shall be made, at the option of the Holder thereof, upon</w:t>
      </w:r>
    </w:p>
    <w:p>
      <w:pPr>
        <w:spacing w:after="0" w:line="54" w:lineRule="exact"/>
        <w:rPr>
          <w:sz w:val="20"/>
          <w:szCs w:val="20"/>
          <w:color w:val="auto"/>
        </w:rPr>
      </w:pPr>
    </w:p>
    <w:p>
      <w:pPr>
        <w:jc w:val="both"/>
        <w:ind w:left="980" w:right="240" w:hanging="1"/>
        <w:spacing w:after="0" w:line="266" w:lineRule="auto"/>
        <w:tabs>
          <w:tab w:leader="none" w:pos="11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Trustee (or other Paying Agent appointed by the Company) by a Holder of a duly completed notice (the “Change of Control Repurchase Notice”) in the form set forth on the reverse of the relevant Note at any time prior to 5:00 p.m., New York City Time, on the Change of Control Payment Date; or</w:t>
      </w:r>
    </w:p>
    <w:p>
      <w:pPr>
        <w:spacing w:after="0" w:line="67" w:lineRule="exact"/>
        <w:rPr>
          <w:rFonts w:ascii="Times New Roman" w:cs="Times New Roman" w:eastAsia="Times New Roman" w:hAnsi="Times New Roman"/>
          <w:sz w:val="18"/>
          <w:szCs w:val="18"/>
          <w:color w:val="auto"/>
        </w:rPr>
      </w:pPr>
    </w:p>
    <w:p>
      <w:pPr>
        <w:ind w:left="980" w:hanging="1"/>
        <w:spacing w:after="0" w:line="255" w:lineRule="auto"/>
        <w:tabs>
          <w:tab w:leader="none" w:pos="12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or book-entry transfer of the Notes of the relevant series to the Trustee (or other Paying Agent appointed by the Company) at any time after delivery of the Change of Control Repurchase Notice (together with all necessary endorsements) at the Corporate Trust Office of the Trustee or the corporate trust office of its Affiliate (or other Paying Agent appointed by the Company) in the Borough of Manhattan, such delivery being a condition to receipt by the Holder of the Change of Control Payment therefor; provided that such Change of Control Payment shall be so paid pursuant to this Section 14.01 only if such Note so delivered to the Trustee (or other Paying Agent appointed by the Company) shall conform in all respects to the description thereof in the related Change of Control Repurchase Notice.</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Change of Control Repurchase Notice shall state:</w:t>
      </w:r>
    </w:p>
    <w:p>
      <w:pPr>
        <w:spacing w:after="0" w:line="117" w:lineRule="exact"/>
        <w:rPr>
          <w:sz w:val="20"/>
          <w:szCs w:val="20"/>
          <w:color w:val="auto"/>
        </w:rPr>
      </w:pPr>
    </w:p>
    <w:p>
      <w:pPr>
        <w:ind w:left="1200" w:hanging="221"/>
        <w:spacing w:after="0"/>
        <w:tabs>
          <w:tab w:leader="none" w:pos="1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certificated, the certificate numbers of Notes to be delivered for repurchase;</w:t>
      </w:r>
    </w:p>
    <w:p>
      <w:pPr>
        <w:spacing w:after="0" w:line="117" w:lineRule="exact"/>
        <w:rPr>
          <w:rFonts w:ascii="Times New Roman" w:cs="Times New Roman" w:eastAsia="Times New Roman" w:hAnsi="Times New Roman"/>
          <w:sz w:val="18"/>
          <w:szCs w:val="18"/>
          <w:color w:val="auto"/>
        </w:rPr>
      </w:pPr>
    </w:p>
    <w:p>
      <w:pPr>
        <w:ind w:left="980" w:right="20" w:hanging="1"/>
        <w:spacing w:after="0" w:line="282" w:lineRule="auto"/>
        <w:tabs>
          <w:tab w:leader="none" w:pos="12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$2,000 or an integral multiple of $1,000 in excess thereof;</w:t>
      </w:r>
    </w:p>
    <w:p>
      <w:pPr>
        <w:spacing w:after="0" w:line="53" w:lineRule="exact"/>
        <w:rPr>
          <w:rFonts w:ascii="Times New Roman" w:cs="Times New Roman" w:eastAsia="Times New Roman" w:hAnsi="Times New Roman"/>
          <w:sz w:val="18"/>
          <w:szCs w:val="18"/>
          <w:color w:val="auto"/>
        </w:rPr>
      </w:pPr>
    </w:p>
    <w:p>
      <w:pPr>
        <w:ind w:left="980" w:right="700" w:hanging="1"/>
        <w:spacing w:after="0" w:line="282" w:lineRule="auto"/>
        <w:tabs>
          <w:tab w:leader="none" w:pos="12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the Indenture; and</w:t>
      </w:r>
    </w:p>
    <w:p>
      <w:pPr>
        <w:spacing w:after="0" w:line="53" w:lineRule="exact"/>
        <w:rPr>
          <w:rFonts w:ascii="Times New Roman" w:cs="Times New Roman" w:eastAsia="Times New Roman" w:hAnsi="Times New Roman"/>
          <w:sz w:val="18"/>
          <w:szCs w:val="18"/>
          <w:color w:val="auto"/>
        </w:rPr>
      </w:pPr>
    </w:p>
    <w:p>
      <w:pPr>
        <w:ind w:left="980" w:right="200" w:hanging="1"/>
        <w:spacing w:after="0" w:line="266" w:lineRule="auto"/>
        <w:tabs>
          <w:tab w:leader="none" w:pos="12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Repurchase Notice is delivered prior to the occurrence of a Change of Control pursuant to a definitive agreement giving rise to a Change of Control, that the Holder acknowledges that the Company’s offer is conditioned on the consummation of such Change of Control.</w:t>
      </w:r>
    </w:p>
    <w:p>
      <w:pPr>
        <w:spacing w:after="0" w:line="6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provided, however, that if the Notes are not in certificated form, the Change of Control Repurchase Notice must comply with appropriate procedures of the Depositary.</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00"/>
          </w:cols>
          <w:pgMar w:left="1440" w:top="270" w:right="459" w:bottom="1440" w:gutter="0" w:footer="0" w:header="0"/>
        </w:sectPr>
      </w:pPr>
    </w:p>
    <w:bookmarkStart w:id="67" w:name="page68"/>
    <w:bookmarkEnd w:id="67"/>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On the Change of Control Payment Date, the Company shall, to the extent lawful:</w:t>
      </w:r>
    </w:p>
    <w:p>
      <w:pPr>
        <w:spacing w:after="0" w:line="117" w:lineRule="exact"/>
        <w:rPr>
          <w:sz w:val="20"/>
          <w:szCs w:val="20"/>
          <w:color w:val="auto"/>
        </w:rPr>
      </w:pPr>
    </w:p>
    <w:p>
      <w:pPr>
        <w:ind w:left="1980" w:right="240" w:hanging="1"/>
        <w:spacing w:after="0" w:line="282" w:lineRule="auto"/>
        <w:tabs>
          <w:tab w:leader="none" w:pos="21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or cause a third party to accept for payment all of the relevant series of Notes or portions of such Notes properly tendered pursuant to the Change of Control Offer,</w:t>
      </w:r>
    </w:p>
    <w:p>
      <w:pPr>
        <w:spacing w:after="0" w:line="53" w:lineRule="exact"/>
        <w:rPr>
          <w:rFonts w:ascii="Times New Roman" w:cs="Times New Roman" w:eastAsia="Times New Roman" w:hAnsi="Times New Roman"/>
          <w:sz w:val="18"/>
          <w:szCs w:val="18"/>
          <w:color w:val="auto"/>
        </w:rPr>
      </w:pPr>
    </w:p>
    <w:p>
      <w:pPr>
        <w:ind w:left="1980" w:right="340" w:hanging="1"/>
        <w:spacing w:after="0" w:line="282" w:lineRule="auto"/>
        <w:tabs>
          <w:tab w:leader="none" w:pos="22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cause a third party to deposit with the Paying Agent an amount equal to the Change of Control Payment in respect of all of the relevant series of Notes or portions of such Notes properly tendered, and</w:t>
      </w:r>
    </w:p>
    <w:p>
      <w:pPr>
        <w:spacing w:after="0" w:line="53" w:lineRule="exact"/>
        <w:rPr>
          <w:rFonts w:ascii="Times New Roman" w:cs="Times New Roman" w:eastAsia="Times New Roman" w:hAnsi="Times New Roman"/>
          <w:sz w:val="18"/>
          <w:szCs w:val="18"/>
          <w:color w:val="auto"/>
        </w:rPr>
      </w:pPr>
    </w:p>
    <w:p>
      <w:pPr>
        <w:ind w:left="1980" w:right="620" w:hanging="1"/>
        <w:spacing w:after="0" w:line="312" w:lineRule="auto"/>
        <w:tabs>
          <w:tab w:leader="none" w:pos="229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Trustee the Notes of the relevant series properly accepted together with an Officers’ Certificate stating the aggregate principal amount of such Notes or portions of Notes being repurchased.</w:t>
      </w:r>
    </w:p>
    <w:p>
      <w:pPr>
        <w:spacing w:after="0" w:line="32" w:lineRule="exact"/>
        <w:rPr>
          <w:sz w:val="20"/>
          <w:szCs w:val="20"/>
          <w:color w:val="auto"/>
        </w:rPr>
      </w:pPr>
    </w:p>
    <w:p>
      <w:pPr>
        <w:jc w:val="both"/>
        <w:ind w:left="1980" w:hanging="1"/>
        <w:spacing w:after="0" w:line="289" w:lineRule="auto"/>
        <w:tabs>
          <w:tab w:leader="none" w:pos="222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required to make a Change of Control Offer with respect to the relevant series of Notes if a third party makes such an offer in the manner, at the times and otherwise in compliance with the requirements for such an offer made by the Company and such third party purchases all the Notes properly tendered and not withdrawn under its offer.</w:t>
      </w:r>
    </w:p>
    <w:p>
      <w:pPr>
        <w:spacing w:after="0" w:line="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Section 14.02. COMPLIANCE WITH TENDER OFFER RULES</w:t>
      </w:r>
    </w:p>
    <w:p>
      <w:pPr>
        <w:spacing w:after="0" w:line="117" w:lineRule="exact"/>
        <w:rPr>
          <w:sz w:val="20"/>
          <w:szCs w:val="20"/>
          <w:color w:val="auto"/>
        </w:rPr>
      </w:pPr>
    </w:p>
    <w:p>
      <w:pPr>
        <w:ind w:left="1980"/>
        <w:spacing w:after="0" w:line="256" w:lineRule="auto"/>
        <w:rPr>
          <w:sz w:val="20"/>
          <w:szCs w:val="20"/>
          <w:color w:val="auto"/>
        </w:rPr>
      </w:pPr>
      <w:r>
        <w:rPr>
          <w:rFonts w:ascii="Times New Roman" w:cs="Times New Roman" w:eastAsia="Times New Roman" w:hAnsi="Times New Roman"/>
          <w:sz w:val="18"/>
          <w:szCs w:val="18"/>
          <w:color w:val="auto"/>
        </w:rPr>
        <w:t>The Company shall comply in all material respects with the requirements of Rule 14e-1 under the Exchange Act and any other securities laws and regulations thereunder to the extent those laws and regulations are applicable in connection with the repurchase of the relevant series of Notes as a result of a Change of Control Triggering Event. To the extent that the provisions of any such securities laws or regulations conflict with the Change of Control Offer provisions of the Notes, the Company shall comply with those securities laws and regulations and shall not be deemed to have breached the Company’s obligations under the Change of Control Offer provisions of the Notes by virtue of any such conflict.”</w:t>
      </w:r>
    </w:p>
    <w:p>
      <w:pPr>
        <w:spacing w:after="0" w:line="187" w:lineRule="exact"/>
        <w:rPr>
          <w:sz w:val="20"/>
          <w:szCs w:val="20"/>
          <w:color w:val="auto"/>
        </w:rPr>
      </w:pPr>
    </w:p>
    <w:p>
      <w:pPr>
        <w:ind w:right="20" w:firstLine="1428"/>
        <w:spacing w:after="0" w:line="261" w:lineRule="auto"/>
        <w:tabs>
          <w:tab w:leader="none" w:pos="17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Security attached as Exhibit A-1 hereto shall be the form of Note for the series of 2031 Notes established by this Seventeenth Supplemental Indenture and the terms therein shall be incorporated by reference into this Seventeenth Supplemental Indenture. The form of Security attached as Exhibit A-2 hereto shall be the form of Note for the series of 2036 Notes established by this Seventeenth Supplemental Indenture and the terms therein shall be incorporated by reference into this Seventeenth Supplemental Indenture.</w:t>
      </w:r>
    </w:p>
    <w:p>
      <w:pPr>
        <w:spacing w:after="0" w:line="180" w:lineRule="exact"/>
        <w:rPr>
          <w:sz w:val="20"/>
          <w:szCs w:val="20"/>
          <w:color w:val="auto"/>
        </w:rPr>
      </w:pPr>
    </w:p>
    <w:p>
      <w:pPr>
        <w:ind w:right="240" w:firstLine="1432"/>
        <w:spacing w:after="0" w:line="258" w:lineRule="auto"/>
        <w:rPr>
          <w:sz w:val="20"/>
          <w:szCs w:val="20"/>
          <w:color w:val="auto"/>
        </w:rPr>
      </w:pPr>
      <w:r>
        <w:rPr>
          <w:rFonts w:ascii="Times New Roman" w:cs="Times New Roman" w:eastAsia="Times New Roman" w:hAnsi="Times New Roman"/>
          <w:sz w:val="18"/>
          <w:szCs w:val="18"/>
          <w:color w:val="auto"/>
        </w:rPr>
        <w:t>SECTION 2. Unless otherwise supplemented or amended by this Seventeenth Supplemental Indenture, the Base Indenture is incorporated by reference in full into this Seventeenth Supplemental Indenture, and all parties to this Seventeenth Supplemental Indenture agree to be bound by the terms and provisions of the Base Indenture as supplemented and amended by this Seventeenth Supplemental Indenture. The Base Indenture and this Seventeenth Supplemental Indenture shall be read, taken and construed as one and the same instrument. All provisions included in this Seventeenth Supplemental Indenture supersede any similar provisions included in the Base Indenture unless not permitted by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8" w:name="page69"/>
    <w:bookmarkEnd w:id="68"/>
    <w:p>
      <w:pPr>
        <w:ind w:right="14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If any provision hereof limits, qualifies or conflicts with another provision hereof which is required to be included in this Seventeenth Supplemental Indenture by any of the provisions of the Trust Indenture Act, such required provision shall control.</w:t>
      </w:r>
    </w:p>
    <w:p>
      <w:pPr>
        <w:spacing w:after="0" w:line="162" w:lineRule="exact"/>
        <w:rPr>
          <w:sz w:val="20"/>
          <w:szCs w:val="20"/>
          <w:color w:val="auto"/>
        </w:rPr>
      </w:pPr>
    </w:p>
    <w:p>
      <w:pPr>
        <w:ind w:right="200" w:firstLine="1432"/>
        <w:spacing w:after="0" w:line="282" w:lineRule="auto"/>
        <w:rPr>
          <w:sz w:val="20"/>
          <w:szCs w:val="20"/>
          <w:color w:val="auto"/>
        </w:rPr>
      </w:pPr>
      <w:r>
        <w:rPr>
          <w:rFonts w:ascii="Times New Roman" w:cs="Times New Roman" w:eastAsia="Times New Roman" w:hAnsi="Times New Roman"/>
          <w:sz w:val="18"/>
          <w:szCs w:val="18"/>
          <w:color w:val="auto"/>
        </w:rPr>
        <w:t>SECTION 4. All covenants and agreements in this Seventeenth Supplemental Indenture by the Company shall bind its successors and assigns, whether so expressed or not.</w:t>
      </w:r>
    </w:p>
    <w:p>
      <w:pPr>
        <w:spacing w:after="0" w:line="162" w:lineRule="exact"/>
        <w:rPr>
          <w:sz w:val="20"/>
          <w:szCs w:val="20"/>
          <w:color w:val="auto"/>
        </w:rPr>
      </w:pPr>
    </w:p>
    <w:p>
      <w:pPr>
        <w:ind w:right="500" w:firstLine="1432"/>
        <w:spacing w:after="0" w:line="266" w:lineRule="auto"/>
        <w:rPr>
          <w:sz w:val="20"/>
          <w:szCs w:val="20"/>
          <w:color w:val="auto"/>
        </w:rPr>
      </w:pPr>
      <w:r>
        <w:rPr>
          <w:rFonts w:ascii="Times New Roman" w:cs="Times New Roman" w:eastAsia="Times New Roman" w:hAnsi="Times New Roman"/>
          <w:sz w:val="18"/>
          <w:szCs w:val="18"/>
          <w:color w:val="auto"/>
        </w:rPr>
        <w:t>SECTION 5. In case any provision in this Seventeenth Supplemental Indenture or in the Notes shall be invalid, illegal or unenforceable, the validity, legality and enforceability of the remaining provisions herein and therein shall not in any way be affected or impaired thereby.</w:t>
      </w:r>
    </w:p>
    <w:p>
      <w:pPr>
        <w:spacing w:after="0" w:line="176" w:lineRule="exact"/>
        <w:rPr>
          <w:sz w:val="20"/>
          <w:szCs w:val="20"/>
          <w:color w:val="auto"/>
        </w:rPr>
      </w:pPr>
    </w:p>
    <w:p>
      <w:pPr>
        <w:ind w:right="300" w:firstLine="1432"/>
        <w:spacing w:after="0" w:line="266" w:lineRule="auto"/>
        <w:rPr>
          <w:sz w:val="20"/>
          <w:szCs w:val="20"/>
          <w:color w:val="auto"/>
        </w:rPr>
      </w:pPr>
      <w:r>
        <w:rPr>
          <w:rFonts w:ascii="Times New Roman" w:cs="Times New Roman" w:eastAsia="Times New Roman" w:hAnsi="Times New Roman"/>
          <w:sz w:val="18"/>
          <w:szCs w:val="18"/>
          <w:color w:val="auto"/>
        </w:rPr>
        <w:t>SECTION 6. Nothing in this Seventeenth Supplemental Indenture, expressed or implied, shall give to any Person, other than the parties hereto and their successors hereunder, and the Holders of the Notes any benefit or any legal or equitable right, remedy or claim under this Seventeenth Supplemental Indenture.</w:t>
      </w:r>
    </w:p>
    <w:p>
      <w:pPr>
        <w:spacing w:after="0" w:line="176" w:lineRule="exact"/>
        <w:rPr>
          <w:sz w:val="20"/>
          <w:szCs w:val="20"/>
          <w:color w:val="auto"/>
        </w:rPr>
      </w:pPr>
    </w:p>
    <w:p>
      <w:pPr>
        <w:jc w:val="both"/>
        <w:ind w:right="60" w:firstLine="1432"/>
        <w:spacing w:after="0" w:line="266" w:lineRule="auto"/>
        <w:rPr>
          <w:sz w:val="20"/>
          <w:szCs w:val="20"/>
          <w:color w:val="auto"/>
        </w:rPr>
      </w:pPr>
      <w:r>
        <w:rPr>
          <w:rFonts w:ascii="Times New Roman" w:cs="Times New Roman" w:eastAsia="Times New Roman" w:hAnsi="Times New Roman"/>
          <w:sz w:val="18"/>
          <w:szCs w:val="18"/>
          <w:color w:val="auto"/>
        </w:rPr>
        <w:t>SECTION 7. This Seventeenth Supplemental Indenture and each Note shall be deemed to be a contract made under the laws of the State of New York and this Seventeenth Supplemental Indenture and each such Note shall be governed by and construed in accordance with the laws of the State of New York.</w:t>
      </w:r>
    </w:p>
    <w:p>
      <w:pPr>
        <w:spacing w:after="0" w:line="176" w:lineRule="exact"/>
        <w:rPr>
          <w:sz w:val="20"/>
          <w:szCs w:val="20"/>
          <w:color w:val="auto"/>
        </w:rPr>
      </w:pPr>
    </w:p>
    <w:p>
      <w:pPr>
        <w:ind w:right="200" w:firstLine="1432"/>
        <w:spacing w:after="0" w:line="282" w:lineRule="auto"/>
        <w:rPr>
          <w:sz w:val="20"/>
          <w:szCs w:val="20"/>
          <w:color w:val="auto"/>
        </w:rPr>
      </w:pPr>
      <w:r>
        <w:rPr>
          <w:rFonts w:ascii="Times New Roman" w:cs="Times New Roman" w:eastAsia="Times New Roman" w:hAnsi="Times New Roman"/>
          <w:sz w:val="18"/>
          <w:szCs w:val="18"/>
          <w:color w:val="auto"/>
        </w:rPr>
        <w:t>SECTION 8. All terms used in this Seventeenth Supplemental Indenture not otherwise defined herein that are defined in the Base Indenture shall have the meanings set forth therein.</w:t>
      </w:r>
    </w:p>
    <w:p>
      <w:pPr>
        <w:spacing w:after="0" w:line="162" w:lineRule="exact"/>
        <w:rPr>
          <w:sz w:val="20"/>
          <w:szCs w:val="20"/>
          <w:color w:val="auto"/>
        </w:rPr>
      </w:pPr>
    </w:p>
    <w:p>
      <w:pPr>
        <w:ind w:right="40" w:firstLine="1432"/>
        <w:spacing w:after="0" w:line="289" w:lineRule="auto"/>
        <w:rPr>
          <w:sz w:val="20"/>
          <w:szCs w:val="20"/>
          <w:color w:val="auto"/>
        </w:rPr>
      </w:pPr>
      <w:r>
        <w:rPr>
          <w:rFonts w:ascii="Times New Roman" w:cs="Times New Roman" w:eastAsia="Times New Roman" w:hAnsi="Times New Roman"/>
          <w:sz w:val="17"/>
          <w:szCs w:val="17"/>
          <w:color w:val="auto"/>
        </w:rPr>
        <w:t>SECTION 9. This Seventeenth Supplemental Indenture may be executed in any number of counterparts, each of which shall be an original; but such counterparts shall together constitute but one and the same instrument. Delivery of an executed counterpart of a signature page hereto by facsimile or electronic transmission shall be as effective as delivery of a manually executed counterpart of this Seventeenth Supplemental Indenture.</w:t>
      </w:r>
    </w:p>
    <w:p>
      <w:pPr>
        <w:spacing w:after="0" w:line="158"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SECTION 10. The recitals contained herein and in the Notes, except the Trustee’s certificates of authentication, shall be taken as the statements of the Company, and the Trustee assumes no responsibility for their correctness. The Trustee makes no representations as to the validity or sufficiency of this Seventeenth Supplemental Indenture or the Notes. The Trustee shall not be accountable for the use or application by the Company of Notes or the proceeds thereof.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69" w:name="page70"/>
    <w:bookmarkEnd w:id="69"/>
    <w:p>
      <w:pPr>
        <w:ind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Seventeenth Supplemental Indenture to be duly executed all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REPUBLIC SERVICES, INC., as Issuer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Calvin R. Boyd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Finance and Treasurer</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Seventeenth Supplemental Indenture</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70" w:name="page71"/>
    <w:bookmarkEnd w:id="7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Seventeenth Supplemental Indenture</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71" w:name="page72"/>
    <w:bookmarkEnd w:id="7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[FORM OF FACE OF SECURITY]</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OF A DEPOSITARY OR A SUCCESSOR DEPOSITARY. TRANSFERS OF THIS GLOBAL SECURITY SHALL BE LIMITED TO TRANSFERS IN WHOLE, BUT NOT IN PART, TO NOMINEES OF CEDE &amp; CO. OR TO A SUCCESSOR THEREOF OR SUCH SUCCESSOR’S NOMINEE AND TRANSFERS OF PORTIONS OF THIS GLOBAL SECURITY SHALL BE LIMITED TO TRANSFERS MADE IN ACCORDANCE WITH THE RESTRICTIONS SET FORTH IN SECTION 3.06 OF THE INDENTURE.</w:t>
      </w:r>
    </w:p>
    <w:p>
      <w:pPr>
        <w:spacing w:after="0" w:line="183" w:lineRule="exact"/>
        <w:rPr>
          <w:sz w:val="20"/>
          <w:szCs w:val="20"/>
          <w:color w:val="auto"/>
        </w:rPr>
      </w:pPr>
    </w:p>
    <w:p>
      <w:pPr>
        <w:ind w:left="4" w:right="40"/>
        <w:spacing w:after="0" w:line="260"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SUCH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284" w:right="4920" w:hanging="5284"/>
        <w:spacing w:after="0" w:line="334" w:lineRule="auto"/>
        <w:tabs>
          <w:tab w:leader="none" w:pos="423" w:val="left"/>
        </w:tabs>
        <w:numPr>
          <w:ilvl w:val="0"/>
          <w:numId w:val="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These paragraphs should be included only if the Note is issued in global form. A-1-1</w:t>
      </w:r>
    </w:p>
    <w:p>
      <w:pPr>
        <w:sectPr>
          <w:pgSz w:w="11900" w:h="16838" w:orient="portrait"/>
          <w:cols w:equalWidth="0" w:num="1">
            <w:col w:w="10984"/>
          </w:cols>
          <w:pgMar w:left="436" w:top="266" w:right="479" w:bottom="1440" w:gutter="0" w:footer="0" w:header="0"/>
        </w:sectPr>
      </w:pPr>
    </w:p>
    <w:bookmarkStart w:id="72" w:name="page73"/>
    <w:bookmarkEnd w:id="72"/>
    <w:p>
      <w:pPr>
        <w:jc w:val="center"/>
        <w:ind w:right="16"/>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REPUBLIC SERVICES, INC.</w:t>
      </w:r>
    </w:p>
    <w:p>
      <w:pPr>
        <w:spacing w:after="0" w:line="12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4.750% NOTES DUE 2031</w:t>
      </w:r>
    </w:p>
    <w:p>
      <w:pPr>
        <w:sectPr>
          <w:pgSz w:w="11900" w:h="16838" w:orient="portrait"/>
          <w:cols w:equalWidth="0" w:num="1">
            <w:col w:w="11024"/>
          </w:cols>
          <w:pgMar w:left="436"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NO. 760759 BN9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 US760759BN95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0" w:lineRule="exact"/>
        <w:rPr>
          <w:sz w:val="20"/>
          <w:szCs w:val="20"/>
          <w:color w:val="auto"/>
        </w:rPr>
      </w:pPr>
    </w:p>
    <w:p>
      <w:pPr>
        <w:sectPr>
          <w:pgSz w:w="11900" w:h="16838" w:orient="portrait"/>
          <w:cols w:equalWidth="0" w:num="2">
            <w:col w:w="8344" w:space="720"/>
            <w:col w:w="1960"/>
          </w:cols>
          <w:pgMar w:left="436" w:top="270" w:right="439" w:bottom="1440" w:gutter="0" w:footer="0" w:header="0"/>
          <w:type w:val="continuous"/>
        </w:sectPr>
      </w:pPr>
    </w:p>
    <w:p>
      <w:pPr>
        <w:spacing w:after="0" w:line="7" w:lineRule="exact"/>
        <w:rPr>
          <w:sz w:val="20"/>
          <w:szCs w:val="20"/>
          <w:color w:val="auto"/>
        </w:rPr>
      </w:pPr>
    </w:p>
    <w:p>
      <w:pPr>
        <w:ind w:left="4" w:right="820"/>
        <w:spacing w:after="0" w:line="276" w:lineRule="auto"/>
        <w:rPr>
          <w:sz w:val="20"/>
          <w:szCs w:val="20"/>
          <w:color w:val="auto"/>
        </w:rPr>
      </w:pPr>
      <w:r>
        <w:rPr>
          <w:rFonts w:ascii="Times New Roman" w:cs="Times New Roman" w:eastAsia="Times New Roman" w:hAnsi="Times New Roman"/>
          <w:sz w:val="17"/>
          <w:szCs w:val="17"/>
          <w:color w:val="auto"/>
        </w:rPr>
        <w:t>Republic Services, Inc., a Delaware corporation (herein called the “Company,” which term includes any successor Person under the Indenture hereinafter referred to), for value received, hereby promises to pay to ____________________ or its registered assigns, the principal sum of</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 ($___________________) United States dollars[, or such greater or lesser amount as may from time to time be endorsed on</w:t>
      </w:r>
    </w:p>
    <w:p>
      <w:pPr>
        <w:spacing w:after="0" w:line="9" w:lineRule="exact"/>
        <w:rPr>
          <w:sz w:val="20"/>
          <w:szCs w:val="20"/>
          <w:color w:val="auto"/>
        </w:rPr>
      </w:pPr>
    </w:p>
    <w:p>
      <w:pPr>
        <w:ind w:left="4" w:right="20"/>
        <w:spacing w:after="0" w:line="218" w:lineRule="auto"/>
        <w:rPr>
          <w:sz w:val="20"/>
          <w:szCs w:val="20"/>
          <w:color w:val="auto"/>
        </w:rPr>
      </w:pPr>
      <w:r>
        <w:rPr>
          <w:rFonts w:ascii="Times New Roman" w:cs="Times New Roman" w:eastAsia="Times New Roman" w:hAnsi="Times New Roman"/>
          <w:sz w:val="18"/>
          <w:szCs w:val="18"/>
          <w:color w:val="auto"/>
        </w:rPr>
        <w:t>the Schedule of Increases and Decreases of Interests in the Global Note attached hereto (but in no event may such amount exceed the aggregate principal amount of Notes authenticated pursuant to Section 3.03 of the Indenture referred to below and then Outstanding pursuant to the terms of the Indenture)]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on July 15, 2031, at the office or agency of the Company referred to below, and to pay interest thereon from ____________________ or</w:t>
      </w:r>
    </w:p>
    <w:p>
      <w:pPr>
        <w:spacing w:after="0" w:line="2" w:lineRule="exact"/>
        <w:rPr>
          <w:sz w:val="20"/>
          <w:szCs w:val="20"/>
          <w:color w:val="auto"/>
        </w:rPr>
      </w:pPr>
    </w:p>
    <w:p>
      <w:pPr>
        <w:jc w:val="both"/>
        <w:ind w:left="4" w:right="140"/>
        <w:spacing w:after="0" w:line="254" w:lineRule="auto"/>
        <w:rPr>
          <w:sz w:val="20"/>
          <w:szCs w:val="20"/>
          <w:color w:val="auto"/>
        </w:rPr>
      </w:pPr>
      <w:r>
        <w:rPr>
          <w:rFonts w:ascii="Times New Roman" w:cs="Times New Roman" w:eastAsia="Times New Roman" w:hAnsi="Times New Roman"/>
          <w:sz w:val="18"/>
          <w:szCs w:val="18"/>
          <w:color w:val="auto"/>
        </w:rPr>
        <w:t>from the most recent Interest Payment Date to which interest has been paid or duly provided for, semi-annually on January 15 and July 15 in each year, commencing January 15, 2027 at the rate of 4.750% per annum, in United States dollars, until the principal hereof is paid or duly provided for. Interest shall be computed on the basis of a 360-day year comprised of twelve 30-day months.</w:t>
      </w:r>
    </w:p>
    <w:p>
      <w:pPr>
        <w:spacing w:after="0" w:line="187"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January 1 or July 1 (whether or not a Business Day), as the case may be, next preceding such Interest Payment Date. Any such interest not so punctually paid, or duly provided for, and interest on such defaulted interest at the interest rate borne by the Securities, to the extent lawful, shall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thereof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the Indenture.</w:t>
      </w:r>
    </w:p>
    <w:p>
      <w:pPr>
        <w:spacing w:after="0" w:line="188"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Payment of the principal of, premium, if any, and interest on, this Security, and exchange or transfer of this Security, will be made at the office or agency of the Company in The City of New York maintained for such purpose (which initially will be a corporate trust office of the Trustee or its affiliate located at 100 Wall Street, Suite 600, New York, NY 10005), or at such other office or agency as may be maintained for such purpose, in such coin or currency of the United States of America as at the time of payment is legal tender for payment of public and private debts; provided, however, that payment of interest may be made at the option of the Company by check mailed to the address of the Person entitled thereto as such address shall appear on the Security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7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Use if Global Security</w:t>
      </w:r>
    </w:p>
    <w:p>
      <w:pPr>
        <w:spacing w:after="0" w:line="13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24"/>
          </w:cols>
          <w:pgMar w:left="436" w:top="270" w:right="439" w:bottom="1440" w:gutter="0" w:footer="0" w:header="0"/>
          <w:type w:val="continuous"/>
        </w:sectPr>
      </w:pPr>
    </w:p>
    <w:bookmarkStart w:id="73" w:name="page74"/>
    <w:bookmarkEnd w:id="73"/>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duly executed by the Trustee referred to on the reverse hereof or by the authenticating agent appointed as provided in the Indenture by manual signature of an authorized signer, this Security shall not be entitled to any benefit under the Indenture, or be valid or obligatory for any purpose.</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by the manual or facsimile signature of one of its authorized officers.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REPUBLIC SERVICES, INC., as Issuer</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______________________________</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960"/>
          </w:cols>
          <w:pgMar w:left="440" w:top="270" w:right="499" w:bottom="1440" w:gutter="0" w:footer="0" w:header="0"/>
        </w:sectPr>
      </w:pPr>
    </w:p>
    <w:bookmarkStart w:id="74" w:name="page75"/>
    <w:bookmarkEnd w:id="74"/>
    <w:p>
      <w:pPr>
        <w:ind w:left="3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TRUSTEE’S 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4.750% Notes due 2031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__________________________________</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160"/>
          </w:cols>
          <w:pgMar w:left="440" w:top="270" w:right="129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SIDE OF SECURITY]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REPUBLIC SERVICES,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4.750% Notes due 2031</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designated as its 4.750% Notes due 2031 (herein called the “Securities”), limited (except as otherwise provided in the Indenture referred to below) in aggregate principal amount to $700,000,000, issued under and subject to the terms of an indenture (herein called the “Indenture”) dated as of November 25, 2009, between the Company and U.S. Bank Trust Company, National Association (as successor in interest to U.S. Bank National Association), as trustee (herein called the “Trustee,” which term includes any successor trustee under the Indenture), as supplemented by a Seventeenth Supplemental Indenture, dated as of June 26, 2026, between the Company and the Trustee to which the Indenture and all indentures supplemental thereto reference is hereby made for a statement of the respective rights, limitations of rights, duties, obligations and immunities thereunder of the Company, the Trustee and the Holders of the Securities, and of the terms upon which the Securities are, and are to be, authenticated and delivered.</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Prior to June 15, 2031 (one month prior to their Stated Maturity) (the “2031 Par Call Date”), the Securities may be redeemed, as a whole or in part, at the option of the Company, at any time or from time to time at a Redemption Price equal to the greater of (1) 100% of the principal amount of the Securities to be redeemed and (2) the sum of the present values of the remaining scheduled payments of principal and interest thereon (assuming such Securities matured on the 2031 Par Call Date), discounted to the Redemption Date on a semi-annual basis (assuming a 360-day year consisting of twelve 30-day months) at the applicable Treasury Rate, plus 10 basis points, plus, in each case, accrued and unpaid interest to, but excluding, the Redemption Date, if any (subject to the right of holders of record of such Securities on the relevant record date to receive interest due on an Interest Payment Date). On or after the 2031 Par Call Date, the Securities may be redeemed in whole or in part, at the option of the Company, at any time or from time to time at a Redemption Price equal to 100% of the principal amount of the Securities to be redeemed plus accrued and unpaid interest thereon to, but excluding, the Redemption Date, if any (subject to the right of holders of record of such Securities on the relevant record date to receive interest due on an Interest Payment Date).</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redemption may be made upon not less than 10 and not more than 60 days’ notice to the Holders thereof as provided in the Indenture.</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less than all of the Securities are to be redeemed, the Trustee shall select, not more than 60 nor less than 10 days before the Redemption Date, the Securities or portions thereof to be redeemed, by such method the Trustee shall deem fair and appropriate.</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In the case of any redemption of Securities in accordance with the Indenture, interest installments whose Stated Maturity is on or prior to the Redemption Date will be payable to the Holders of such Securities of record as of the close of business on the relevant Regular Record Date or Special Record Date referred to on the face hereof. Securities (or portions thereof) for whose redemption and payment provision is made in accordance with the Indenture shall cease to bear interest from and after the Redemption Date.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980"/>
          </w:cols>
          <w:pgMar w:left="440" w:top="270" w:right="479" w:bottom="1440" w:gutter="0" w:footer="0" w:header="0"/>
        </w:sectPr>
      </w:pPr>
    </w:p>
    <w:bookmarkStart w:id="76" w:name="page77"/>
    <w:bookmarkEnd w:id="76"/>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redemption or repurchase of this Security in accordance with the Indenture in part only, a new Security or Securities for the unredeemed portion hereof shall be issued in the name of the Holder hereof upon the cancellation hereof.</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with respect to the Securities, unless the Company has exercised its right to redeem the Securities pursuant to Article XI of the Indenture, each Holder of the Securities shall have the right to require the Company to purchase all or a portion (equal to $2,000 or an integral multiple of $1,000 in excess thereof) of such Holder’s Security pursuant to Article XIV of the Indenture.</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If an Event of Default shall occur and be continuing, the principal amount of all the Securities may be declared due and payable in the manner and with the effect provided in the Indenture.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the Securities and (b) certain covenants and Defaults and Events of Default, in each case upon compliance with certain conditions set forth therein.</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Indenture permits, with certain exceptions (including certain amendments permitted without the consent of any Holders and certain amendments which require the consent of all of the Holders) as therein provided, the amendment thereof and the modification of the rights and obligations of the Company and the rights of the Holders under the Indenture and the Securities at any time by the Company and the Trustee with the consent of the Holders of at least a majority in aggregate principal amount of the Securities at the time Outstanding that are affected. The Indenture also contains provisions permitting the Holders of at least a majority in aggregate principal amount of the Securities (100% of the Holders in certain circumstances) at the time Outstanding that are affected, on behalf of the Holders of all the Securities, to waive compliance by the Company with certain provisions of the Indenture and the Securities of such series and certain past Defaults and Events of Default under the Indenture and the Securities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4"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or any other obligor on the Securities (in the event such other obligor is obligated to make payments in respect of the Securities), which is absolute and unconditional, to pay the principal of, and premium, if any, and interest on, this Security at the times, place, and rate, and in the coin or currency, herein prescribed.</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its attorney duly authorized in writing, and thereupon one or more new Securities, of authorized denominations and for the same aggregate principal amount, will be issued to the designated transferee or transferees.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00"/>
          </w:cols>
          <w:pgMar w:left="440" w:top="270" w:right="459" w:bottom="1440" w:gutter="0" w:footer="0" w:header="0"/>
        </w:sectPr>
      </w:pPr>
    </w:p>
    <w:bookmarkStart w:id="77" w:name="page78"/>
    <w:bookmarkEnd w:id="77"/>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in certificated form are issuable only in registered form without coupons in denominations of $2,000 and any integral multiple of $1,000 in excess thereof. As provided in the Indenture and subject to certain limitations therein set forth, the Securities are exchangeable for a like aggregate principal amount of Securities of a differing authorized denomination, as requested by the Holder surrendering the same.</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Except as indicated in the Indenture, no service charge shall be made for any registration of transfer or exchange of Securities, but the Company may require payment of a sum sufficient to cover any tax or other governmental charge payable in connection therewith.</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as such, of the Company shall not have any liability for any obligations under the Securities or the Indenture or for any claim based on, in respect of or by reason of such obligations or their creation. By accepting a Security, each Holder waives and releases all such liability. The waiver and release are part of the consideration for the issue of the Securities.</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 YORK, WITHOUT GIVING EFFECT TO THE CONFLICT OF LAWS PRINCIPLES THEREOF.</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All terms used in this Security which are defined in the Indenture and not otherwise defined herein shall have the meanings assigned to them in the Indenture.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20"/>
          </w:cols>
          <w:pgMar w:left="440" w:top="270" w:right="539" w:bottom="1440" w:gutter="0" w:footer="0" w:header="0"/>
        </w:sectPr>
      </w:pPr>
    </w:p>
    <w:bookmarkStart w:id="78" w:name="page79"/>
    <w:bookmarkEnd w:id="78"/>
    <w:p>
      <w:pPr>
        <w:ind w:left="35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 REPURCHASE NOTICE</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Security purchased by the Company pursuant to Section 14.01 of the Indenture, state the amount you elect to have purchased:</w:t>
      </w:r>
    </w:p>
    <w:p>
      <w:pPr>
        <w:spacing w:after="0" w:line="18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Date:___________________</w:t>
      </w:r>
    </w:p>
    <w:p>
      <w:pPr>
        <w:spacing w:after="0" w:line="225"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Your Signature:_____________________________</w:t>
      </w:r>
    </w:p>
    <w:p>
      <w:pPr>
        <w:spacing w:after="0" w:line="2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(Sign exactly as your name appears on the face of this Security)</w:t>
      </w:r>
    </w:p>
    <w:p>
      <w:pPr>
        <w:spacing w:after="0" w:line="207"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Tax Identification No: _______________________</w:t>
      </w:r>
    </w:p>
    <w:p>
      <w:pPr>
        <w:spacing w:after="0" w:line="225"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Signature Guarantee*:_______________________</w:t>
      </w:r>
    </w:p>
    <w:p>
      <w:pPr>
        <w:spacing w:after="0" w:line="252" w:lineRule="exact"/>
        <w:rPr>
          <w:sz w:val="20"/>
          <w:szCs w:val="20"/>
          <w:color w:val="auto"/>
        </w:rPr>
      </w:pPr>
    </w:p>
    <w:p>
      <w:pPr>
        <w:ind w:left="5284" w:right="1380" w:hanging="5284"/>
        <w:spacing w:after="0" w:line="454" w:lineRule="auto"/>
        <w:tabs>
          <w:tab w:leader="none" w:pos="20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A-1-8</w:t>
      </w:r>
    </w:p>
    <w:p>
      <w:pPr>
        <w:sectPr>
          <w:pgSz w:w="11900" w:h="16838" w:orient="portrait"/>
          <w:cols w:equalWidth="0" w:num="1">
            <w:col w:w="10524"/>
          </w:cols>
          <w:pgMar w:left="436" w:top="270" w:right="939" w:bottom="1440" w:gutter="0" w:footer="0" w:header="0"/>
        </w:sectPr>
      </w:pPr>
    </w:p>
    <w:bookmarkStart w:id="79" w:name="page80"/>
    <w:bookmarkEnd w:id="79"/>
    <w:p>
      <w:pPr>
        <w:jc w:val="center"/>
        <w:ind w:right="-6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AND DECREASES OF INTERESTS</w:t>
      </w:r>
    </w:p>
    <w:p>
      <w:pPr>
        <w:spacing w:after="0" w:line="27" w:lineRule="exact"/>
        <w:rPr>
          <w:sz w:val="20"/>
          <w:szCs w:val="20"/>
          <w:color w:val="auto"/>
        </w:rPr>
      </w:pPr>
    </w:p>
    <w:p>
      <w:pPr>
        <w:jc w:val="center"/>
        <w:ind w:right="-643"/>
        <w:spacing w:after="0"/>
        <w:rPr>
          <w:sz w:val="20"/>
          <w:szCs w:val="20"/>
          <w:color w:val="auto"/>
        </w:rPr>
      </w:pPr>
      <w:r>
        <w:rPr>
          <w:rFonts w:ascii="Times New Roman" w:cs="Times New Roman" w:eastAsia="Times New Roman" w:hAnsi="Times New Roman"/>
          <w:sz w:val="18"/>
          <w:szCs w:val="18"/>
          <w:color w:val="auto"/>
        </w:rPr>
        <w:t>IN THE GLOBAL SECURITY</w:t>
      </w:r>
      <w:r>
        <w:rPr>
          <w:rFonts w:ascii="Times New Roman" w:cs="Times New Roman" w:eastAsia="Times New Roman" w:hAnsi="Times New Roman"/>
          <w:sz w:val="26"/>
          <w:szCs w:val="26"/>
          <w:color w:val="auto"/>
          <w:vertAlign w:val="superscript"/>
        </w:rPr>
        <w:t>3</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increases or decreases in this Global Security have been made:</w:t>
            </w:r>
          </w:p>
        </w:tc>
        <w:tc>
          <w:tcPr>
            <w:tcW w:w="20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2020" w:type="dxa"/>
            <w:vAlign w:val="bottom"/>
          </w:tcPr>
          <w:p>
            <w:pPr>
              <w:spacing w:after="0"/>
              <w:rPr>
                <w:sz w:val="24"/>
                <w:szCs w:val="24"/>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Amount of</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Amount of increase</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Principal Amount</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2020" w:type="dxa"/>
            <w:vAlign w:val="bottom"/>
          </w:tcPr>
          <w:p>
            <w:pPr>
              <w:spacing w:after="0"/>
              <w:rPr>
                <w:sz w:val="18"/>
                <w:szCs w:val="18"/>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in</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Principal</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this Global</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of Exchange</w:t>
            </w: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Amount</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Amount of this</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Security following</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of Trustee or Note</w:t>
            </w:r>
          </w:p>
        </w:tc>
      </w:tr>
      <w:tr>
        <w:trPr>
          <w:trHeight w:val="216"/>
        </w:trPr>
        <w:tc>
          <w:tcPr>
            <w:tcW w:w="2020" w:type="dxa"/>
            <w:vAlign w:val="bottom"/>
          </w:tcPr>
          <w:p>
            <w:pPr>
              <w:spacing w:after="0"/>
              <w:rPr>
                <w:sz w:val="18"/>
                <w:szCs w:val="18"/>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this Global</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 Security</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such decrease (or</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Custodian</w:t>
            </w:r>
          </w:p>
        </w:tc>
      </w:tr>
      <w:tr>
        <w:trPr>
          <w:trHeight w:val="234"/>
        </w:trPr>
        <w:tc>
          <w:tcPr>
            <w:tcW w:w="2020" w:type="dxa"/>
            <w:vAlign w:val="bottom"/>
          </w:tcPr>
          <w:p>
            <w:pPr>
              <w:spacing w:after="0"/>
              <w:rPr>
                <w:sz w:val="20"/>
                <w:szCs w:val="20"/>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Security</w:t>
            </w:r>
          </w:p>
        </w:tc>
        <w:tc>
          <w:tcPr>
            <w:tcW w:w="2400" w:type="dxa"/>
            <w:vAlign w:val="bottom"/>
          </w:tcPr>
          <w:p>
            <w:pPr>
              <w:spacing w:after="0"/>
              <w:rPr>
                <w:sz w:val="20"/>
                <w:szCs w:val="20"/>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w:t>
            </w: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424" w:hanging="424"/>
        <w:spacing w:after="0"/>
        <w:tabs>
          <w:tab w:leader="none" w:pos="424" w:val="left"/>
        </w:tabs>
        <w:numPr>
          <w:ilvl w:val="0"/>
          <w:numId w:val="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should be included only if the Security is a Global Security.</w:t>
      </w:r>
    </w:p>
    <w:p>
      <w:pPr>
        <w:spacing w:after="0" w:line="130"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0364"/>
          </w:cols>
          <w:pgMar w:left="436" w:top="270" w:right="1099" w:bottom="1440" w:gutter="0" w:footer="0" w:header="0"/>
        </w:sectPr>
      </w:pPr>
    </w:p>
    <w:bookmarkStart w:id="80" w:name="page81"/>
    <w:bookmarkEnd w:id="8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[FORM OF FACE OF SECURITY]</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A DEPOSITARY OR A NOMINEE OF A DEPOSITARY OR A SUCCESSOR DEPOSITARY. TRANSFERS OF THIS GLOBAL SECURITY SHALL BE LIMITED TO TRANSFERS IN WHOLE, BUT NOT IN PART, TO NOMINEES OF CEDE &amp; CO. OR TO A SUCCESSOR THEREOF OR SUCH SUCCESSOR’S NOMINEE AND TRANSFERS OF PORTIONS OF THIS GLOBAL SECURITY SHALL BE LIMITED TO TRANSFERS MADE IN ACCORDANCE WITH THE RESTRICTIONS SET FORTH IN SECTION 3.06 OF THE INDENTURE.</w:t>
      </w:r>
    </w:p>
    <w:p>
      <w:pPr>
        <w:spacing w:after="0" w:line="183" w:lineRule="exact"/>
        <w:rPr>
          <w:sz w:val="20"/>
          <w:szCs w:val="20"/>
          <w:color w:val="auto"/>
        </w:rPr>
      </w:pPr>
    </w:p>
    <w:p>
      <w:pPr>
        <w:ind w:left="4" w:right="40"/>
        <w:spacing w:after="0" w:line="260"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SUCH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715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284" w:right="4920" w:hanging="5284"/>
        <w:spacing w:after="0" w:line="334" w:lineRule="auto"/>
        <w:tabs>
          <w:tab w:leader="none" w:pos="423" w:val="left"/>
        </w:tabs>
        <w:numPr>
          <w:ilvl w:val="0"/>
          <w:numId w:val="7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These paragraphs should be included only if the Note is issued in global form. A-2-1</w:t>
      </w:r>
    </w:p>
    <w:p>
      <w:pPr>
        <w:sectPr>
          <w:pgSz w:w="11900" w:h="16838" w:orient="portrait"/>
          <w:cols w:equalWidth="0" w:num="1">
            <w:col w:w="10984"/>
          </w:cols>
          <w:pgMar w:left="436" w:top="266" w:right="479" w:bottom="1440" w:gutter="0" w:footer="0" w:header="0"/>
        </w:sectPr>
      </w:pPr>
    </w:p>
    <w:bookmarkStart w:id="81" w:name="page82"/>
    <w:bookmarkEnd w:id="81"/>
    <w:p>
      <w:pPr>
        <w:jc w:val="center"/>
        <w:ind w:right="16"/>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REPUBLIC SERVICES, INC.</w:t>
      </w:r>
    </w:p>
    <w:p>
      <w:pPr>
        <w:spacing w:after="0" w:line="12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5.000% NOTES DUE 2036</w:t>
      </w:r>
    </w:p>
    <w:p>
      <w:pPr>
        <w:spacing w:after="0" w:line="225" w:lineRule="exact"/>
        <w:rPr>
          <w:sz w:val="20"/>
          <w:szCs w:val="20"/>
          <w:color w:val="auto"/>
        </w:rPr>
      </w:pPr>
    </w:p>
    <w:p>
      <w:pPr>
        <w:ind w:left="9224"/>
        <w:spacing w:after="0"/>
        <w:rPr>
          <w:sz w:val="20"/>
          <w:szCs w:val="20"/>
          <w:color w:val="auto"/>
        </w:rPr>
      </w:pPr>
      <w:r>
        <w:rPr>
          <w:rFonts w:ascii="Times New Roman" w:cs="Times New Roman" w:eastAsia="Times New Roman" w:hAnsi="Times New Roman"/>
          <w:sz w:val="17"/>
          <w:szCs w:val="17"/>
          <w:color w:val="auto"/>
        </w:rPr>
        <w:t>CUSIP NO. 760759 BP4</w:t>
      </w:r>
    </w:p>
    <w:p>
      <w:pPr>
        <w:spacing w:after="0" w:line="129" w:lineRule="exact"/>
        <w:rPr>
          <w:sz w:val="20"/>
          <w:szCs w:val="20"/>
          <w:color w:val="auto"/>
        </w:rPr>
      </w:pPr>
    </w:p>
    <w:p>
      <w:pPr>
        <w:ind w:left="9104"/>
        <w:spacing w:after="0"/>
        <w:rPr>
          <w:sz w:val="20"/>
          <w:szCs w:val="20"/>
          <w:color w:val="auto"/>
        </w:rPr>
      </w:pPr>
      <w:r>
        <w:rPr>
          <w:rFonts w:ascii="Times New Roman" w:cs="Times New Roman" w:eastAsia="Times New Roman" w:hAnsi="Times New Roman"/>
          <w:sz w:val="18"/>
          <w:szCs w:val="18"/>
          <w:color w:val="auto"/>
        </w:rPr>
        <w:t>ISIN NO. US760759BP44</w:t>
      </w:r>
    </w:p>
    <w:p>
      <w:pPr>
        <w:sectPr>
          <w:pgSz w:w="11900" w:h="16838" w:orient="portrait"/>
          <w:cols w:equalWidth="0" w:num="1">
            <w:col w:w="11024"/>
          </w:cols>
          <w:pgMar w:left="436" w:top="270"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___________________</w:t>
      </w:r>
    </w:p>
    <w:p>
      <w:pPr>
        <w:spacing w:after="0" w:line="200" w:lineRule="exact"/>
        <w:rPr>
          <w:sz w:val="20"/>
          <w:szCs w:val="20"/>
          <w:color w:val="auto"/>
        </w:rPr>
      </w:pPr>
    </w:p>
    <w:p>
      <w:pPr>
        <w:sectPr>
          <w:pgSz w:w="11900" w:h="16838" w:orient="portrait"/>
          <w:cols w:equalWidth="0" w:num="2">
            <w:col w:w="8304" w:space="720"/>
            <w:col w:w="2000"/>
          </w:cols>
          <w:pgMar w:left="436" w:top="270" w:right="439" w:bottom="1440" w:gutter="0" w:footer="0" w:header="0"/>
          <w:type w:val="continuous"/>
        </w:sectPr>
      </w:pPr>
    </w:p>
    <w:p>
      <w:pPr>
        <w:spacing w:after="0" w:line="25" w:lineRule="exact"/>
        <w:rPr>
          <w:sz w:val="20"/>
          <w:szCs w:val="20"/>
          <w:color w:val="auto"/>
        </w:rPr>
      </w:pPr>
    </w:p>
    <w:p>
      <w:pPr>
        <w:ind w:left="4" w:right="820"/>
        <w:spacing w:after="0" w:line="276" w:lineRule="auto"/>
        <w:rPr>
          <w:sz w:val="20"/>
          <w:szCs w:val="20"/>
          <w:color w:val="auto"/>
        </w:rPr>
      </w:pPr>
      <w:r>
        <w:rPr>
          <w:rFonts w:ascii="Times New Roman" w:cs="Times New Roman" w:eastAsia="Times New Roman" w:hAnsi="Times New Roman"/>
          <w:sz w:val="17"/>
          <w:szCs w:val="17"/>
          <w:color w:val="auto"/>
        </w:rPr>
        <w:t>Republic Services, Inc., a Delaware corporation (herein called the “Company,” which term includes any successor Person under the Indenture hereinafter referred to), for value received, hereby promises to pay to ____________________ or its registered assigns, the principal sum of</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____________________ ($___________________) United States dollars[, or such greater or lesser amount as may from time to time be endorsed on</w:t>
      </w:r>
    </w:p>
    <w:p>
      <w:pPr>
        <w:spacing w:after="0" w:line="9" w:lineRule="exact"/>
        <w:rPr>
          <w:sz w:val="20"/>
          <w:szCs w:val="20"/>
          <w:color w:val="auto"/>
        </w:rPr>
      </w:pPr>
    </w:p>
    <w:p>
      <w:pPr>
        <w:ind w:left="4" w:right="20"/>
        <w:spacing w:after="0" w:line="218" w:lineRule="auto"/>
        <w:rPr>
          <w:sz w:val="20"/>
          <w:szCs w:val="20"/>
          <w:color w:val="auto"/>
        </w:rPr>
      </w:pPr>
      <w:r>
        <w:rPr>
          <w:rFonts w:ascii="Times New Roman" w:cs="Times New Roman" w:eastAsia="Times New Roman" w:hAnsi="Times New Roman"/>
          <w:sz w:val="18"/>
          <w:szCs w:val="18"/>
          <w:color w:val="auto"/>
        </w:rPr>
        <w:t>the Schedule of Increases and Decreases of Interests in the Global Note attached hereto (but in no event may such amount exceed the aggregate principal amount of Notes authenticated pursuant to Section 3.03 of the Indenture referred to below and then Outstanding pursuant to the terms of the Indenture)]</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on July 15, 2036, at the office or agency of the Company referred to below, and to pay interest thereon from ____________________ or</w:t>
      </w:r>
    </w:p>
    <w:p>
      <w:pPr>
        <w:spacing w:after="0" w:line="2" w:lineRule="exact"/>
        <w:rPr>
          <w:sz w:val="20"/>
          <w:szCs w:val="20"/>
          <w:color w:val="auto"/>
        </w:rPr>
      </w:pPr>
    </w:p>
    <w:p>
      <w:pPr>
        <w:jc w:val="both"/>
        <w:ind w:left="4" w:right="140"/>
        <w:spacing w:after="0" w:line="254" w:lineRule="auto"/>
        <w:rPr>
          <w:sz w:val="20"/>
          <w:szCs w:val="20"/>
          <w:color w:val="auto"/>
        </w:rPr>
      </w:pPr>
      <w:r>
        <w:rPr>
          <w:rFonts w:ascii="Times New Roman" w:cs="Times New Roman" w:eastAsia="Times New Roman" w:hAnsi="Times New Roman"/>
          <w:sz w:val="18"/>
          <w:szCs w:val="18"/>
          <w:color w:val="auto"/>
        </w:rPr>
        <w:t>from the most recent Interest Payment Date to which interest has been paid or duly provided for, semi-annually on January 15 and July 15 in each year, commencing January 15, 2027 at the rate of 5.000% per annum, in United States dollars, until the principal hereof is paid or duly provided for. Interest shall be computed on the basis of a 360-day year comprised of twelve 30-day months.</w:t>
      </w:r>
    </w:p>
    <w:p>
      <w:pPr>
        <w:spacing w:after="0" w:line="187"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as provided in such Indenture, be paid to the Person in whose name this Security (or any Predecessor Securities) is registered at the close of business on the Regular Record Date for such interest, which shall be the January 1 or July 1 (whether or not a Business Day), as the case may be, next preceding such Interest Payment Date. Any such interest not so punctually paid, or duly provided for, and interest on such defaulted interest at the interest rate borne by the Securities, to the extent lawful, shall forthwith cease to be payable to the Holder on such Regular Record Date, and may either be paid to the Person in whose name this Security (or any Predecessor Securities) is registered at the close of business on a Special Record Date for the payment of such defaulted interest to be fixed by the Trustee, notice thereof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the Indenture.</w:t>
      </w:r>
    </w:p>
    <w:p>
      <w:pPr>
        <w:spacing w:after="0" w:line="188"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Payment of the principal of, premium, if any, and interest on, this Security, and exchange or transfer of this Security, will be made at the office or agency of the Company in The City of New York maintained for such purpose (which initially will be a corporate trust office of the Trustee or its affiliate located at 100 Wall Street, Suite 600, New York, NY 10005), or at such other office or agency as may be maintained for such purpose, in such coin or currency of the United States of America as at the time of payment is legal tender for payment of public and private debts; provided, however, that payment of interest may be made at the option of the Company by check mailed to the address of the Person entitled thereto as such address shall appear on the Security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Use if Global Security</w:t>
      </w:r>
    </w:p>
    <w:p>
      <w:pPr>
        <w:spacing w:after="0" w:line="13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24"/>
          </w:cols>
          <w:pgMar w:left="436" w:top="270" w:right="439" w:bottom="1440" w:gutter="0" w:footer="0" w:header="0"/>
          <w:type w:val="continuous"/>
        </w:sectPr>
      </w:pPr>
    </w:p>
    <w:bookmarkStart w:id="82" w:name="page83"/>
    <w:bookmarkEnd w:id="82"/>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Unless the certificate of authentication hereon has been duly executed by the Trustee referred to on the reverse hereof or by the authenticating agent appointed as provided in the Indenture by manual signature of an authorized signer, this Security shall not be entitled to any benefit under the Indenture, or be valid or obligatory for any purpose.</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by the manual or facsimile signature of one of its authorized officers.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REPUBLIC SERVICES, INC., as Issuer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______________________________</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960"/>
          </w:cols>
          <w:pgMar w:left="440" w:top="270" w:right="499" w:bottom="1440" w:gutter="0" w:footer="0" w:header="0"/>
        </w:sectPr>
      </w:pPr>
    </w:p>
    <w:bookmarkStart w:id="83" w:name="page84"/>
    <w:bookmarkEnd w:id="83"/>
    <w:p>
      <w:pPr>
        <w:ind w:left="3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5.000% Notes due 2036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0040"/>
          </w:cols>
          <w:pgMar w:left="440" w:top="270" w:right="141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SECURITY]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REPUBLIC SERVICES,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5.000% Notes due 2036</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designated as its 5.000% Notes due 2036 (herein called the “Securities”), limited (except as otherwise provided in the Indenture referred to below) in aggregate principal amount to $500,000,000, issued under and subject to the terms of an indenture (herein called the “Indenture”) dated as of November 25, 2009, between the Company and U.S. Bank Trust Company, National Association (as successor in interest to U.S. Bank National Association), as trustee (herein called the “Trustee,” which term includes any successor trustee under the Indenture), as supplemented by a Seventeenth Supplemental Indenture, dated as of June 26, 2026, between the Company and the Trustee to which the Indenture and all indentures supplemental thereto reference is hereby made for a statement of the respective rights, limitations of rights, duties, obligations and immunities thereunder of the Company, the Trustee and the Holders of the Securities, and of the terms upon which the Securities are, and are to be, authenticated and delivered.</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Prior to April 15, 2036 (three months prior to their Stated Maturity) (the “2036 Par Call Date”), the Securities may be redeemed, as a whole or in part, at the option of the Company, at any time or from time to time at a Redemption Price equal to the greater of (1) 100% of the principal amount of the Securities to be redeemed and (2) the sum of the present values of the remaining scheduled payments of principal and interest thereon (assuming such Securities matured on the 2036 Par Call Date), discounted to the Redemption Date on a semi-annual basis (assuming a 360-day year consisting of twelve 30-day months) at the applicable Treasury Rate, plus 10 basis points, plus, in each case, accrued and unpaid interest to, but excluding, the Redemption Date, if any (subject to the right of holders of record of such Securities on the relevant record date to receive interest due on an Interest Payment Date). On or after the 2036 Par Call Date, the Securities may be redeemed in whole or in part, at the option of the Company, at any time or from time to time at a Redemption Price equal to 100% of the principal amount of the Securities to be redeemed plus accrued and unpaid interest thereon to, but excluding, the Redemption Date, if any (subject to the right of holders of record of such Securities on the relevant record date to receive interest due on an Interest Payment Date).</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redemption may be made upon not less than 10 and not more than 60 days’ notice to the Holders thereof as provided in the Indenture.</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If less than all of the Securities are to be redeemed, the Trustee shall select, not more than 60 nor less than 10 days before the Redemption Date, the Securities or portions thereof to be redeemed, by such method the Trustee shall deem fair and appropriate.</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In the case of any redemption of Securities in accordance with the Indenture, interest installments whose Stated Maturity is on or prior to the Redemption Date will be payable to the Holders of such Securities of record as of the close of business on the relevant Regular Record Date or Special Record Date referred to on the face hereof. Securities (or portions thereof) for whose redemption and payment provision is made in accordance with the Indenture shall cease to bear interest from and after the Redemption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000"/>
          </w:cols>
          <w:pgMar w:left="440" w:top="270" w:right="459" w:bottom="1440" w:gutter="0" w:footer="0" w:header="0"/>
        </w:sectPr>
      </w:pPr>
    </w:p>
    <w:bookmarkStart w:id="85" w:name="page86"/>
    <w:bookmarkEnd w:id="85"/>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redemption or repurchase of this Security in accordance with the Indenture in part only, a new Security or Securities for the unredeemed portion hereof shall be issued in the name of the Holder hereof upon the cancellation hereof.</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with respect to the Securities, unless the Company has exercised its right to redeem the Securities pursuant to Article XI of the Indenture, each Holder of the Securities shall have the right to require the Company to purchase all or a portion (equal to $2,000 or an integral multiple of $1,000 in excess thereof) of such Holder’s Security pursuant to Article XIV of the Indenture.</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If an Event of Default shall occur and be continuing, the principal amount of all the Securities may be declared due and payable in the manner and with the effect provided in the Indenture.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(a) the entire Indebtedness on the Securities and (b) certain covenants and Defaults and Events of Default, in each case upon compliance with certain conditions set forth therein.</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Indenture permits, with certain exceptions (including certain amendments permitted without the consent of any Holders and certain amendments which require the consent of all of the Holders) as therein provided, the amendment thereof and the modification of the rights and obligations of the Company and the rights of the Holders under the Indenture and the Securities at any time by the Company and the Trustee with the consent of the Holders of at least a majority in aggregate principal amount of the Securities at the time Outstanding that are affected. The Indenture also contains provisions permitting the Holders of at least a majority in aggregate principal amount of the Securities (100% of the Holders in certain circumstances) at the time Outstanding that are affected, on behalf of the Holders of all the Securities, to waive compliance by the Company with certain provisions of the Indenture and the Securities of such series and certain past Defaults and Events of Default under the Indenture and the Securities and their 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4"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or any other obligor on the Securities (in the event such other obligor is obligated to make payments in respect of the Securities), which is absolute and unconditional, to pay the principal of, and premium, if any, and interest on, this Security at the times, place, and rate, and in the coin or currency, herein prescribed.</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its attorney duly authorized in writing, and thereupon one or more new Securities, of authorized denominations and for the same aggregate principal amount, will be issued to the designated transferee or transferees.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000"/>
          </w:cols>
          <w:pgMar w:left="440" w:top="270" w:right="459" w:bottom="1440" w:gutter="0" w:footer="0" w:header="0"/>
        </w:sectPr>
      </w:pPr>
    </w:p>
    <w:bookmarkStart w:id="86" w:name="page87"/>
    <w:bookmarkEnd w:id="86"/>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in certificated form are issuable only in registered form without coupons in denominations of $2,000 and any integral multiple of $1,000 in excess thereof. As provided in the Indenture and subject to certain limitations therein set forth, the Securities are exchangeable for a like aggregate principal amount of Securities of a differing authorized denomination, as requested by the Holder surrendering the same.</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Except as indicated in the Indenture, no service charge shall be made for any registration of transfer or exchange of Securities, but the Company may require payment of a sum sufficient to cover any tax or other governmental charge payable in connection therewith.</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as such, of the Company shall not have any liability for any obligations under the Securities or the Indenture or for any claim based on, in respect of or by reason of such obligations or their creation. By accepting a Security, each Holder waives and releases all such liability. The waiver and release are part of the consideration for the issue of the Securities.</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neither the Company, the Trustee nor any such agent shall be affected by notice to the contrary.</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THIS SECURITY SHALL BE GOVERNED BY AND CONSTRUED IN ACCORDANCE WITH THE LAWS OF THE STATE OF NEW YORK, WITHOUT GIVING EFFECT TO THE CONFLICT OF LAWS PRINCIPLES THEREOF.</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All terms used in this Security which are defined in the Indenture and not otherwise defined herein shall have the meanings assigned to them in the Indenture.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0920"/>
          </w:cols>
          <w:pgMar w:left="440" w:top="270" w:right="539" w:bottom="1440" w:gutter="0" w:footer="0" w:header="0"/>
        </w:sectPr>
      </w:pPr>
    </w:p>
    <w:bookmarkStart w:id="87" w:name="page88"/>
    <w:bookmarkEnd w:id="87"/>
    <w:p>
      <w:pPr>
        <w:ind w:left="35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CONTROL REPURCHASE NOTICE</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Security purchased by the Company pursuant to Section 14.01 of the Indenture, state the amount you elect to have purchased:</w:t>
      </w:r>
    </w:p>
    <w:p>
      <w:pPr>
        <w:spacing w:after="0" w:line="189"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Date:___________________</w:t>
      </w:r>
    </w:p>
    <w:p>
      <w:pPr>
        <w:spacing w:after="0" w:line="225"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Your Signature:_____________________________</w:t>
      </w:r>
    </w:p>
    <w:p>
      <w:pPr>
        <w:spacing w:after="0" w:line="27"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(Sign exactly as your name appears on the face of this Security)</w:t>
      </w:r>
    </w:p>
    <w:p>
      <w:pPr>
        <w:spacing w:after="0" w:line="207"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Tax Identification No: _______________________</w:t>
      </w:r>
    </w:p>
    <w:p>
      <w:pPr>
        <w:spacing w:after="0" w:line="225" w:lineRule="exact"/>
        <w:rPr>
          <w:sz w:val="20"/>
          <w:szCs w:val="20"/>
          <w:color w:val="auto"/>
        </w:rPr>
      </w:pPr>
    </w:p>
    <w:p>
      <w:pPr>
        <w:ind w:left="1084"/>
        <w:spacing w:after="0"/>
        <w:rPr>
          <w:sz w:val="20"/>
          <w:szCs w:val="20"/>
          <w:color w:val="auto"/>
        </w:rPr>
      </w:pPr>
      <w:r>
        <w:rPr>
          <w:rFonts w:ascii="Times New Roman" w:cs="Times New Roman" w:eastAsia="Times New Roman" w:hAnsi="Times New Roman"/>
          <w:sz w:val="18"/>
          <w:szCs w:val="18"/>
          <w:color w:val="auto"/>
        </w:rPr>
        <w:t>Signature Guarantee*:_______________________</w:t>
      </w:r>
    </w:p>
    <w:p>
      <w:pPr>
        <w:spacing w:after="0" w:line="252" w:lineRule="exact"/>
        <w:rPr>
          <w:sz w:val="20"/>
          <w:szCs w:val="20"/>
          <w:color w:val="auto"/>
        </w:rPr>
      </w:pPr>
    </w:p>
    <w:p>
      <w:pPr>
        <w:ind w:left="5284" w:right="1380" w:hanging="5284"/>
        <w:spacing w:after="0" w:line="454" w:lineRule="auto"/>
        <w:tabs>
          <w:tab w:leader="none" w:pos="2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A-2-8</w:t>
      </w:r>
    </w:p>
    <w:p>
      <w:pPr>
        <w:sectPr>
          <w:pgSz w:w="11900" w:h="16838" w:orient="portrait"/>
          <w:cols w:equalWidth="0" w:num="1">
            <w:col w:w="10524"/>
          </w:cols>
          <w:pgMar w:left="436" w:top="270" w:right="939" w:bottom="1440" w:gutter="0" w:footer="0" w:header="0"/>
        </w:sectPr>
      </w:pPr>
    </w:p>
    <w:bookmarkStart w:id="88" w:name="page89"/>
    <w:bookmarkEnd w:id="88"/>
    <w:p>
      <w:pPr>
        <w:jc w:val="center"/>
        <w:ind w:right="-6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AND DECREASES OF INTERESTS</w:t>
      </w:r>
    </w:p>
    <w:p>
      <w:pPr>
        <w:spacing w:after="0" w:line="27" w:lineRule="exact"/>
        <w:rPr>
          <w:sz w:val="20"/>
          <w:szCs w:val="20"/>
          <w:color w:val="auto"/>
        </w:rPr>
      </w:pPr>
    </w:p>
    <w:p>
      <w:pPr>
        <w:jc w:val="center"/>
        <w:ind w:right="-643"/>
        <w:spacing w:after="0"/>
        <w:rPr>
          <w:sz w:val="20"/>
          <w:szCs w:val="20"/>
          <w:color w:val="auto"/>
        </w:rPr>
      </w:pPr>
      <w:r>
        <w:rPr>
          <w:rFonts w:ascii="Times New Roman" w:cs="Times New Roman" w:eastAsia="Times New Roman" w:hAnsi="Times New Roman"/>
          <w:sz w:val="18"/>
          <w:szCs w:val="18"/>
          <w:color w:val="auto"/>
        </w:rPr>
        <w:t>IN THE GLOBAL SECURITY</w:t>
      </w:r>
      <w:r>
        <w:rPr>
          <w:rFonts w:ascii="Times New Roman" w:cs="Times New Roman" w:eastAsia="Times New Roman" w:hAnsi="Times New Roman"/>
          <w:sz w:val="26"/>
          <w:szCs w:val="26"/>
          <w:color w:val="auto"/>
          <w:vertAlign w:val="superscript"/>
        </w:rPr>
        <w:t>6</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increases or decreases in this Global Security have been made:</w:t>
            </w:r>
          </w:p>
        </w:tc>
        <w:tc>
          <w:tcPr>
            <w:tcW w:w="20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2020" w:type="dxa"/>
            <w:vAlign w:val="bottom"/>
          </w:tcPr>
          <w:p>
            <w:pPr>
              <w:spacing w:after="0"/>
              <w:rPr>
                <w:sz w:val="24"/>
                <w:szCs w:val="24"/>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Amount of</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Amount of increase</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Principal Amount</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2020" w:type="dxa"/>
            <w:vAlign w:val="bottom"/>
          </w:tcPr>
          <w:p>
            <w:pPr>
              <w:spacing w:after="0"/>
              <w:rPr>
                <w:sz w:val="18"/>
                <w:szCs w:val="18"/>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in</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Principal</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this Global</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of Exchange</w:t>
            </w: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Amount</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Amount of this</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Security following</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of Trustee or Note</w:t>
            </w:r>
          </w:p>
        </w:tc>
      </w:tr>
      <w:tr>
        <w:trPr>
          <w:trHeight w:val="216"/>
        </w:trPr>
        <w:tc>
          <w:tcPr>
            <w:tcW w:w="2020" w:type="dxa"/>
            <w:vAlign w:val="bottom"/>
          </w:tcPr>
          <w:p>
            <w:pPr>
              <w:spacing w:after="0"/>
              <w:rPr>
                <w:sz w:val="18"/>
                <w:szCs w:val="18"/>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of this Global</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 Security</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such decrease (or</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Custodian</w:t>
            </w:r>
          </w:p>
        </w:tc>
      </w:tr>
      <w:tr>
        <w:trPr>
          <w:trHeight w:val="234"/>
        </w:trPr>
        <w:tc>
          <w:tcPr>
            <w:tcW w:w="2020" w:type="dxa"/>
            <w:vAlign w:val="bottom"/>
          </w:tcPr>
          <w:p>
            <w:pPr>
              <w:spacing w:after="0"/>
              <w:rPr>
                <w:sz w:val="20"/>
                <w:szCs w:val="20"/>
                <w:color w:val="auto"/>
              </w:rPr>
            </w:pPr>
          </w:p>
        </w:tc>
        <w:tc>
          <w:tcPr>
            <w:tcW w:w="2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Security</w:t>
            </w:r>
          </w:p>
        </w:tc>
        <w:tc>
          <w:tcPr>
            <w:tcW w:w="2400" w:type="dxa"/>
            <w:vAlign w:val="bottom"/>
          </w:tcPr>
          <w:p>
            <w:pPr>
              <w:spacing w:after="0"/>
              <w:rPr>
                <w:sz w:val="20"/>
                <w:szCs w:val="20"/>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w:t>
            </w: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8" w:lineRule="exact"/>
        <w:rPr>
          <w:sz w:val="20"/>
          <w:szCs w:val="20"/>
          <w:color w:val="auto"/>
        </w:rPr>
      </w:pPr>
    </w:p>
    <w:p>
      <w:pPr>
        <w:ind w:left="424" w:hanging="424"/>
        <w:spacing w:after="0"/>
        <w:tabs>
          <w:tab w:leader="none" w:pos="424" w:val="left"/>
        </w:tabs>
        <w:numPr>
          <w:ilvl w:val="0"/>
          <w:numId w:val="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should be included only if the Security is a Global Security.</w:t>
      </w:r>
    </w:p>
    <w:p>
      <w:pPr>
        <w:spacing w:after="0" w:line="130" w:lineRule="exact"/>
        <w:rPr>
          <w:sz w:val="20"/>
          <w:szCs w:val="20"/>
          <w:color w:val="auto"/>
        </w:rPr>
      </w:pPr>
    </w:p>
    <w:p>
      <w:pPr>
        <w:ind w:left="5284"/>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0364"/>
          </w:cols>
          <w:pgMar w:left="436" w:top="270" w:right="10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45640" cy="454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45640" cy="454025"/>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173990</wp:posOffset>
            </wp:positionV>
            <wp:extent cx="1139825" cy="488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398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5353 East City North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 85054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15"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We have acted as counsel to Republic Services,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are rendering this opinion in connection with the registration by the Company under the Securities Act of 1933, as amended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(i) $700,000,000 aggregate principal amount of its 4.750% Notes due 2031 (the “</w:t>
      </w:r>
      <w:r>
        <w:rPr>
          <w:rFonts w:ascii="Times New Roman" w:cs="Times New Roman" w:eastAsia="Times New Roman" w:hAnsi="Times New Roman"/>
          <w:sz w:val="18"/>
          <w:szCs w:val="18"/>
          <w:i w:val="1"/>
          <w:iCs w:val="1"/>
          <w:color w:val="auto"/>
        </w:rPr>
        <w:t>2031 Notes</w:t>
      </w:r>
      <w:r>
        <w:rPr>
          <w:rFonts w:ascii="Times New Roman" w:cs="Times New Roman" w:eastAsia="Times New Roman" w:hAnsi="Times New Roman"/>
          <w:sz w:val="18"/>
          <w:szCs w:val="18"/>
          <w:color w:val="auto"/>
        </w:rPr>
        <w:t>”) and (ii) $500,000,000 aggregate principal amount of its 5.000% Notes due 2036 (the “</w:t>
      </w:r>
      <w:r>
        <w:rPr>
          <w:rFonts w:ascii="Times New Roman" w:cs="Times New Roman" w:eastAsia="Times New Roman" w:hAnsi="Times New Roman"/>
          <w:sz w:val="18"/>
          <w:szCs w:val="18"/>
          <w:i w:val="1"/>
          <w:iCs w:val="1"/>
          <w:color w:val="auto"/>
        </w:rPr>
        <w:t>2036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together with the 2031 Notes,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issued pursuant to the Indenture, dated as of November 25, 2009, between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Bank Trust Company, National Association (as successor in interest to U.S. Bank National Association), as Trustee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as supplemented by the Seventeenth Supplemental Indenture, to be dated on or about June 26, 2026 (the “</w:t>
      </w:r>
      <w:r>
        <w:rPr>
          <w:rFonts w:ascii="Times New Roman" w:cs="Times New Roman" w:eastAsia="Times New Roman" w:hAnsi="Times New Roman"/>
          <w:sz w:val="18"/>
          <w:szCs w:val="18"/>
          <w:i w:val="1"/>
          <w:iCs w:val="1"/>
          <w:color w:val="auto"/>
        </w:rPr>
        <w:t>Seventeenth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pursuant to the prospectus, dated April 25, 2025 (the “</w:t>
      </w:r>
      <w:r>
        <w:rPr>
          <w:rFonts w:ascii="Times New Roman" w:cs="Times New Roman" w:eastAsia="Times New Roman" w:hAnsi="Times New Roman"/>
          <w:sz w:val="18"/>
          <w:szCs w:val="18"/>
          <w:i w:val="1"/>
          <w:iCs w:val="1"/>
          <w:color w:val="auto"/>
        </w:rPr>
        <w:t>Base Prospectus”</w:t>
      </w:r>
      <w:r>
        <w:rPr>
          <w:rFonts w:ascii="Times New Roman" w:cs="Times New Roman" w:eastAsia="Times New Roman" w:hAnsi="Times New Roman"/>
          <w:sz w:val="18"/>
          <w:szCs w:val="18"/>
          <w:color w:val="auto"/>
        </w:rPr>
        <w:t>), as supplemented by the prospectus supplement, dated June 22, 2026 (the “</w:t>
      </w:r>
      <w:r>
        <w:rPr>
          <w:rFonts w:ascii="Times New Roman" w:cs="Times New Roman" w:eastAsia="Times New Roman" w:hAnsi="Times New Roman"/>
          <w:sz w:val="18"/>
          <w:szCs w:val="18"/>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relating to the registration statement on Form S-3 (No. 333-286741),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on April 25, 2025 (such registration statement is herein referred to as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have assumed further that the Trustee has duly authorized, executed and delivered the Indenture.</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forth below, we are of the opinion that, when the Notes have been (a) duly executed by the Company and authenticated by the Trustee in accordance with the Indenture and (b) duly issued and delivered against payment therefor as contemplated by the Prospectus, the Notes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ectPr>
          <w:pgSz w:w="11900" w:h="16838" w:orient="portrait"/>
          <w:cols w:equalWidth="0" w:num="1">
            <w:col w:w="11020"/>
          </w:cols>
          <w:pgMar w:left="440" w:top="117" w:right="439" w:bottom="1440" w:gutter="0" w:footer="0" w:header="0"/>
        </w:sectPr>
      </w:pPr>
    </w:p>
    <w:bookmarkStart w:id="90" w:name="page91"/>
    <w:bookmarkEnd w:id="90"/>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6550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865505" cy="137160"/>
                    </a:xfrm>
                    <a:prstGeom prst="rect">
                      <a:avLst/>
                    </a:prstGeom>
                    <a:noFill/>
                  </pic:spPr>
                </pic:pic>
              </a:graphicData>
            </a:graphic>
          </wp:anchor>
        </w:drawing>
        <w:t>We express no opinion as to indemnification, contribution, exculpation, or arbitration provisions, or provisions for the non-survival of representations, to the extent they purport to indemnify any party against, or release or limit any party’s liability for, its own breach or failure to comply with statutory obligations, or to the extent such provisions are contrary to public policy.</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District of Columbia and the State of New York. We do not express any opinion herein on any laws other than the law of the State of New York.</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We also hereby consent to the reference to our firm under the heading “Legal Matters” in the prospectus constituting part of the Registration Statement. In giving such consent, we do not thereby admit that we are in the category of persons whose consent is required under Section 7 of the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Covington &amp; Burling LLP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0"/>
      </w:cols>
      <w:pgMar w:left="440" w:top="70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
      <w:numFmt w:val="bullet"/>
      <w:start w:val="1"/>
    </w:lvl>
  </w:abstractNum>
  <w:abstractNum w:abstractNumId="2">
    <w:nsid w:val="3855585C"/>
    <w:multiLevelType w:val="hybridMultilevel"/>
    <w:lvl w:ilvl="0">
      <w:lvlJc w:val="left"/>
      <w:lvlText w:val="%1"/>
      <w:numFmt w:val="decimal"/>
      <w:start w:val="104"/>
    </w:lvl>
  </w:abstractNum>
  <w:abstractNum w:abstractNumId="3">
    <w:nsid w:val="70A64E2A"/>
    <w:multiLevelType w:val="hybridMultilevel"/>
    <w:lvl w:ilvl="0">
      <w:lvlJc w:val="left"/>
      <w:lvlText w:val="(%1)"/>
      <w:numFmt w:val="lowerLetter"/>
      <w:start w:val="1"/>
    </w:lvl>
  </w:abstractNum>
  <w:abstractNum w:abstractNumId="4">
    <w:nsid w:val="6A2342EC"/>
    <w:multiLevelType w:val="hybridMultilevel"/>
    <w:lvl w:ilvl="0">
      <w:lvlJc w:val="left"/>
      <w:lvlText w:val="(%1)"/>
      <w:numFmt w:val="lowerLetter"/>
      <w:start w:val="2"/>
    </w:lvl>
  </w:abstractNum>
  <w:abstractNum w:abstractNumId="5">
    <w:nsid w:val="2A487CB0"/>
    <w:multiLevelType w:val="hybridMultilevel"/>
    <w:lvl w:ilvl="0">
      <w:lvlJc w:val="left"/>
      <w:lvlText w:val="(%1)"/>
      <w:numFmt w:val="lowerLetter"/>
      <w:start w:val="4"/>
    </w:lvl>
  </w:abstractNum>
  <w:abstractNum w:abstractNumId="6">
    <w:nsid w:val="1D4ED43B"/>
    <w:multiLevelType w:val="hybridMultilevel"/>
    <w:lvl w:ilvl="0">
      <w:lvlJc w:val="left"/>
      <w:lvlText w:val="(%1)"/>
      <w:numFmt w:val="lowerLetter"/>
      <w:start w:val="9"/>
    </w:lvl>
  </w:abstractNum>
  <w:abstractNum w:abstractNumId="7">
    <w:nsid w:val="725A06FB"/>
    <w:multiLevelType w:val="hybridMultilevel"/>
    <w:lvl w:ilvl="0">
      <w:lvlJc w:val="left"/>
      <w:lvlText w:val="(%1)"/>
      <w:numFmt w:val="lowerLetter"/>
      <w:start w:val="14"/>
    </w:lvl>
  </w:abstractNum>
  <w:abstractNum w:abstractNumId="8">
    <w:nsid w:val="2CD89A32"/>
    <w:multiLevelType w:val="hybridMultilevel"/>
    <w:lvl w:ilvl="0">
      <w:lvlJc w:val="left"/>
      <w:lvlText w:val="(%1)"/>
      <w:numFmt w:val="lowerLetter"/>
      <w:start w:val="61"/>
    </w:lvl>
    <w:lvl w:ilvl="1">
      <w:lvlJc w:val="left"/>
      <w:lvlText w:val="(%2)"/>
      <w:numFmt w:val="lowerLetter"/>
      <w:start w:val="17"/>
    </w:lvl>
  </w:abstractNum>
  <w:abstractNum w:abstractNumId="9">
    <w:nsid w:val="57E4CCAF"/>
    <w:multiLevelType w:val="hybridMultilevel"/>
    <w:lvl w:ilvl="0">
      <w:lvlJc w:val="left"/>
      <w:lvlText w:val="(%1)"/>
      <w:numFmt w:val="lowerLetter"/>
      <w:start w:val="19"/>
    </w:lvl>
  </w:abstractNum>
  <w:abstractNum w:abstractNumId="10">
    <w:nsid w:val="7A6D8D3C"/>
    <w:multiLevelType w:val="hybridMultilevel"/>
    <w:lvl w:ilvl="0">
      <w:lvlJc w:val="left"/>
      <w:lvlText w:val="(%1)"/>
      <w:numFmt w:val="lowerLetter"/>
      <w:start w:val="25"/>
    </w:lvl>
  </w:abstractNum>
  <w:abstractNum w:abstractNumId="11">
    <w:nsid w:val="4B588F54"/>
    <w:multiLevelType w:val="hybridMultilevel"/>
    <w:lvl w:ilvl="0">
      <w:lvlJc w:val="left"/>
      <w:lvlText w:val="(%1)"/>
      <w:numFmt w:val="lowerLetter"/>
      <w:start w:val="27"/>
    </w:lvl>
  </w:abstractNum>
  <w:abstractNum w:abstractNumId="12">
    <w:nsid w:val="542289EC"/>
    <w:multiLevelType w:val="hybridMultilevel"/>
    <w:lvl w:ilvl="0">
      <w:lvlJc w:val="left"/>
      <w:lvlText w:val="(%1)"/>
      <w:numFmt w:val="lowerLetter"/>
      <w:start w:val="30"/>
    </w:lvl>
  </w:abstractNum>
  <w:abstractNum w:abstractNumId="13">
    <w:nsid w:val="6DE91B18"/>
    <w:multiLevelType w:val="hybridMultilevel"/>
    <w:lvl w:ilvl="0">
      <w:lvlJc w:val="left"/>
      <w:lvlText w:val="(%1)"/>
      <w:numFmt w:val="lowerLetter"/>
      <w:start w:val="32"/>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5"/>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Roman"/>
      <w:start w:val="1"/>
    </w:lvl>
    <w:lvl w:ilvl="1">
      <w:lvlJc w:val="left"/>
      <w:lvlText w:val="(%2)"/>
      <w:numFmt w:val="lowerLetter"/>
      <w:start w:val="3"/>
    </w:lvl>
  </w:abstractNum>
  <w:abstractNum w:abstractNumId="18">
    <w:nsid w:val="579478FE"/>
    <w:multiLevelType w:val="hybridMultilevel"/>
    <w:lvl w:ilvl="0">
      <w:lvlJc w:val="left"/>
      <w:lvlText w:val="(%1)"/>
      <w:numFmt w:val="lowerRoman"/>
      <w:start w:val="7"/>
    </w:lvl>
    <w:lvl w:ilvl="1">
      <w:lvlJc w:val="left"/>
      <w:lvlText w:val="%2"/>
      <w:numFmt w:val="lowerLetter"/>
      <w:start w:val="1"/>
    </w:lvl>
  </w:abstractNum>
  <w:abstractNum w:abstractNumId="19">
    <w:nsid w:val="749ABB43"/>
    <w:multiLevelType w:val="hybridMultilevel"/>
    <w:lvl w:ilvl="0">
      <w:lvlJc w:val="left"/>
      <w:lvlText w:val="(%1)"/>
      <w:numFmt w:val="lowerLetter"/>
      <w:start w:val="5"/>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lowerLetter"/>
      <w:start w:val="2"/>
    </w:lvl>
    <w:lvl w:ilvl="1">
      <w:lvlJc w:val="left"/>
      <w:lvlText w:val="(%2)"/>
      <w:numFmt w:val="lowerRoman"/>
      <w:start w:val="1"/>
    </w:lvl>
  </w:abstractNum>
  <w:abstractNum w:abstractNumId="22">
    <w:nsid w:val="79A1DEAA"/>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8"/>
    </w:lvl>
  </w:abstractNum>
  <w:abstractNum w:abstractNumId="23">
    <w:nsid w:val="75C6C33A"/>
    <w:multiLevelType w:val="hybridMultilevel"/>
    <w:lvl w:ilvl="0">
      <w:lvlJc w:val="left"/>
      <w:lvlText w:val="(%1)"/>
      <w:numFmt w:val="lowerLetter"/>
      <w:start w:val="9"/>
    </w:lvl>
  </w:abstractNum>
  <w:abstractNum w:abstractNumId="24">
    <w:nsid w:val="12E685FB"/>
    <w:multiLevelType w:val="hybridMultilevel"/>
    <w:lvl w:ilvl="0">
      <w:lvlJc w:val="left"/>
      <w:lvlText w:val="(%1)"/>
      <w:numFmt w:val="upperLetter"/>
      <w:start w:val="1"/>
    </w:lvl>
  </w:abstractNum>
  <w:abstractNum w:abstractNumId="25">
    <w:nsid w:val="70C6A529"/>
    <w:multiLevelType w:val="hybridMultilevel"/>
    <w:lvl w:ilvl="0">
      <w:lvlJc w:val="left"/>
      <w:lvlText w:val="(%1)"/>
      <w:numFmt w:val="lowerLetter"/>
      <w:start w:val="1"/>
    </w:lvl>
  </w:abstractNum>
  <w:abstractNum w:abstractNumId="26">
    <w:nsid w:val="520EEDD1"/>
    <w:multiLevelType w:val="hybridMultilevel"/>
    <w:lvl w:ilvl="0">
      <w:lvlJc w:val="left"/>
      <w:lvlText w:val="(%1)"/>
      <w:numFmt w:val="lowerLetter"/>
      <w:start w:val="2"/>
    </w:lvl>
  </w:abstractNum>
  <w:abstractNum w:abstractNumId="27">
    <w:nsid w:val="374A3FE6"/>
    <w:multiLevelType w:val="hybridMultilevel"/>
    <w:lvl w:ilvl="0">
      <w:lvlJc w:val="left"/>
      <w:lvlText w:val="%1"/>
      <w:numFmt w:val="lowerLetter"/>
      <w:start w:val="1"/>
    </w:lvl>
    <w:lvl w:ilvl="1">
      <w:lvlJc w:val="left"/>
      <w:lvlText w:val="(%2)"/>
      <w:numFmt w:val="lowerLetter"/>
      <w:start w:val="4"/>
    </w:lvl>
  </w:abstractNum>
  <w:abstractNum w:abstractNumId="28">
    <w:nsid w:val="4F4EF005"/>
    <w:multiLevelType w:val="hybridMultilevel"/>
    <w:lvl w:ilvl="0">
      <w:lvlJc w:val="left"/>
      <w:lvlText w:val="(%1)"/>
      <w:numFmt w:val="lowerLetter"/>
      <w:start w:val="9"/>
    </w:lvl>
    <w:lvl w:ilvl="1">
      <w:lvlJc w:val="left"/>
      <w:lvlText w:val="%2"/>
      <w:numFmt w:val="lowerLetter"/>
      <w:start w:val="1"/>
    </w:lvl>
  </w:abstractNum>
  <w:abstractNum w:abstractNumId="29">
    <w:nsid w:val="23F9C13C"/>
    <w:multiLevelType w:val="hybridMultilevel"/>
    <w:lvl w:ilvl="0">
      <w:lvlJc w:val="left"/>
      <w:lvlText w:val="(%1)"/>
      <w:numFmt w:val="lowerRoman"/>
      <w:start w:val="1"/>
    </w:lvl>
  </w:abstractNum>
  <w:abstractNum w:abstractNumId="30">
    <w:nsid w:val="649BB77C"/>
    <w:multiLevelType w:val="hybridMultilevel"/>
    <w:lvl w:ilvl="0">
      <w:lvlJc w:val="left"/>
      <w:lvlText w:val="(%1)"/>
      <w:numFmt w:val="lowerRoman"/>
      <w:start w:val="5"/>
    </w:lvl>
  </w:abstractNum>
  <w:abstractNum w:abstractNumId="31">
    <w:nsid w:val="275AC794"/>
    <w:multiLevelType w:val="hybridMultilevel"/>
    <w:lvl w:ilvl="0">
      <w:lvlJc w:val="left"/>
      <w:lvlText w:val="(%1)"/>
      <w:numFmt w:val="lowerRoman"/>
      <w:start w:val="3"/>
    </w:lvl>
  </w:abstractNum>
  <w:abstractNum w:abstractNumId="32">
    <w:nsid w:val="39386575"/>
    <w:multiLevelType w:val="hybridMultilevel"/>
    <w:lvl w:ilvl="0">
      <w:lvlJc w:val="left"/>
      <w:lvlText w:val="(%1)"/>
      <w:numFmt w:val="lowerRoman"/>
      <w:start w:val="1"/>
    </w:lvl>
  </w:abstractNum>
  <w:abstractNum w:abstractNumId="33">
    <w:nsid w:val="1CF10FD8"/>
    <w:multiLevelType w:val="hybridMultilevel"/>
    <w:lvl w:ilvl="0">
      <w:lvlJc w:val="left"/>
      <w:lvlText w:val="(%1)"/>
      <w:numFmt w:val="lowerRoman"/>
      <w:start w:val="2"/>
    </w:lvl>
  </w:abstractNum>
  <w:abstractNum w:abstractNumId="34">
    <w:nsid w:val="180115BE"/>
    <w:multiLevelType w:val="hybridMultilevel"/>
    <w:lvl w:ilvl="0">
      <w:lvlJc w:val="left"/>
      <w:lvlText w:val="(%1)"/>
      <w:numFmt w:val="lowerRoman"/>
      <w:start w:val="1"/>
    </w:lvl>
  </w:abstractNum>
  <w:abstractNum w:abstractNumId="35">
    <w:nsid w:val="235BA861"/>
    <w:multiLevelType w:val="hybridMultilevel"/>
    <w:lvl w:ilvl="0">
      <w:lvlJc w:val="left"/>
      <w:lvlText w:val="%1."/>
      <w:numFmt w:val="lowerLetter"/>
      <w:start w:val="1"/>
    </w:lvl>
    <w:lvl w:ilvl="1">
      <w:lvlJc w:val="left"/>
      <w:lvlText w:val="%2"/>
      <w:numFmt w:val="lowerLetter"/>
      <w:start w:val="1"/>
    </w:lvl>
  </w:abstractNum>
  <w:abstractNum w:abstractNumId="36">
    <w:nsid w:val="47398C89"/>
    <w:multiLevelType w:val="hybridMultilevel"/>
    <w:lvl w:ilvl="0">
      <w:lvlJc w:val="left"/>
      <w:lvlText w:val="%1"/>
      <w:numFmt w:val="lowerLetter"/>
      <w:start w:val="1"/>
    </w:lvl>
    <w:lvl w:ilvl="1">
      <w:lvlJc w:val="left"/>
      <w:lvlText w:val="%2."/>
      <w:numFmt w:val="lowerRoman"/>
      <w:start w:val="2"/>
    </w:lvl>
  </w:abstractNum>
  <w:abstractNum w:abstractNumId="37">
    <w:nsid w:val="354FE9F9"/>
    <w:multiLevelType w:val="hybridMultilevel"/>
    <w:lvl w:ilvl="0">
      <w:lvlJc w:val="left"/>
      <w:lvlText w:val="%1."/>
      <w:numFmt w:val="lowerLetter"/>
      <w:start w:val="2"/>
    </w:lvl>
    <w:lvl w:ilvl="1">
      <w:lvlJc w:val="left"/>
      <w:lvlText w:val="%2"/>
      <w:numFmt w:val="lowerRoman"/>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lowerRoman"/>
      <w:start w:val="1"/>
    </w:lvl>
    <w:lvl w:ilvl="1">
      <w:lvlJc w:val="left"/>
      <w:lvlText w:val="%2."/>
      <w:numFmt w:val="decimal"/>
      <w:start w:val="8"/>
    </w:lvl>
  </w:abstractNum>
  <w:abstractNum w:abstractNumId="40">
    <w:nsid w:val="D34B6A8"/>
    <w:multiLevelType w:val="hybridMultilevel"/>
    <w:lvl w:ilvl="0">
      <w:lvlJc w:val="left"/>
      <w:lvlText w:val="(%1)"/>
      <w:numFmt w:val="lowerRoman"/>
      <w:start w:val="1"/>
    </w:lvl>
    <w:lvl w:ilvl="1">
      <w:lvlJc w:val="left"/>
      <w:lvlText w:val="%2"/>
      <w:numFmt w:val="decimal"/>
      <w:start w:val="1"/>
    </w:lvl>
  </w:abstractNum>
  <w:abstractNum w:abstractNumId="41">
    <w:nsid w:val="10233C99"/>
    <w:multiLevelType w:val="hybridMultilevel"/>
    <w:lvl w:ilvl="0">
      <w:lvlJc w:val="left"/>
      <w:lvlText w:val="(%1)"/>
      <w:numFmt w:val="lowerRoman"/>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lowerLetter"/>
      <w:start w:val="1"/>
    </w:lvl>
    <w:lvl w:ilvl="1">
      <w:lvlJc w:val="left"/>
      <w:lvlText w:val="(%2)"/>
      <w:numFmt w:val="lowerRoman"/>
      <w:start w:val="1"/>
    </w:lvl>
  </w:abstractNum>
  <w:abstractNum w:abstractNumId="45">
    <w:nsid w:val="77AE35EB"/>
    <w:multiLevelType w:val="hybridMultilevel"/>
    <w:lvl w:ilvl="0">
      <w:lvlJc w:val="left"/>
      <w:lvlText w:val="(%1)"/>
      <w:numFmt w:val="lowerLetter"/>
      <w:start w:val="1"/>
    </w:lvl>
    <w:lvl w:ilvl="1">
      <w:lvlJc w:val="left"/>
      <w:lvlText w:val="(%2)"/>
      <w:numFmt w:val="lowerLetter"/>
      <w:start w:val="9"/>
    </w:lvl>
  </w:abstractNum>
  <w:abstractNum w:abstractNumId="46">
    <w:nsid w:val="579BE4F1"/>
    <w:multiLevelType w:val="hybridMultilevel"/>
    <w:lvl w:ilvl="0">
      <w:lvlJc w:val="left"/>
      <w:lvlText w:val="%1"/>
      <w:numFmt w:val="lowerLetter"/>
      <w:start w:val="1"/>
    </w:lvl>
    <w:lvl w:ilvl="1">
      <w:lvlJc w:val="left"/>
      <w:lvlText w:val="(%2)"/>
      <w:numFmt w:val="lowerRoman"/>
      <w:start w:val="2"/>
    </w:lvl>
  </w:abstractNum>
  <w:abstractNum w:abstractNumId="47">
    <w:nsid w:val="310C50B3"/>
    <w:multiLevelType w:val="hybridMultilevel"/>
    <w:lvl w:ilvl="0">
      <w:lvlJc w:val="left"/>
      <w:lvlText w:val="(%1)"/>
      <w:numFmt w:val="lowerLetter"/>
      <w:start w:val="2"/>
    </w:lvl>
    <w:lvl w:ilvl="1">
      <w:lvlJc w:val="left"/>
      <w:lvlText w:val="%2"/>
      <w:numFmt w:val="lowerRoman"/>
      <w:start w:val="1"/>
    </w:lvl>
  </w:abstractNum>
  <w:abstractNum w:abstractNumId="48">
    <w:nsid w:val="5FF87E05"/>
    <w:multiLevelType w:val="hybridMultilevel"/>
    <w:lvl w:ilvl="0">
      <w:lvlJc w:val="left"/>
      <w:lvlText w:val="(%1)"/>
      <w:numFmt w:val="upperLetter"/>
      <w:start w:val="2"/>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lowerLetter"/>
      <w:start w:val="3"/>
    </w:lvl>
  </w:abstractNum>
  <w:abstractNum w:abstractNumId="52">
    <w:nsid w:val="4AD084E9"/>
    <w:multiLevelType w:val="hybridMultilevel"/>
    <w:lvl w:ilvl="0">
      <w:lvlJc w:val="left"/>
      <w:lvlText w:val="(%1)"/>
      <w:numFmt w:val="upperLetter"/>
      <w:start w:val="1"/>
    </w:lvl>
  </w:abstractNum>
  <w:abstractNum w:abstractNumId="53">
    <w:nsid w:val="1F48EAA1"/>
    <w:multiLevelType w:val="hybridMultilevel"/>
    <w:lvl w:ilvl="0">
      <w:lvlJc w:val="left"/>
      <w:lvlText w:val="%1"/>
      <w:numFmt w:val="decimal"/>
      <w:start w:val="1"/>
    </w:lvl>
    <w:lvl w:ilvl="1">
      <w:lvlJc w:val="left"/>
      <w:lvlText w:val="(%2)"/>
      <w:numFmt w:val="upperLetter"/>
      <w:start w:val="2"/>
    </w:lvl>
  </w:abstractNum>
  <w:abstractNum w:abstractNumId="54">
    <w:nsid w:val="1381823A"/>
    <w:multiLevelType w:val="hybridMultilevel"/>
    <w:lvl w:ilvl="0">
      <w:lvlJc w:val="left"/>
      <w:lvlText w:val="%1."/>
      <w:numFmt w:val="decimal"/>
      <w:start w:val="1"/>
    </w:lvl>
    <w:lvl w:ilvl="1">
      <w:lvlJc w:val="left"/>
      <w:lvlText w:val="%2"/>
      <w:numFmt w:val="upperLetter"/>
      <w:start w:val="1"/>
    </w:lvl>
  </w:abstractNum>
  <w:abstractNum w:abstractNumId="55">
    <w:nsid w:val="5DB70AE5"/>
    <w:multiLevelType w:val="hybridMultilevel"/>
    <w:lvl w:ilvl="0">
      <w:lvlJc w:val="left"/>
      <w:lvlText w:val="%1."/>
      <w:numFmt w:val="decimal"/>
      <w:start w:val="3"/>
    </w:lvl>
  </w:abstractNum>
  <w:abstractNum w:abstractNumId="56">
    <w:nsid w:val="100F8FCA"/>
    <w:multiLevelType w:val="hybridMultilevel"/>
    <w:lvl w:ilvl="0">
      <w:lvlJc w:val="left"/>
      <w:lvlText w:val="(%1)"/>
      <w:numFmt w:val="upperLetter"/>
      <w:start w:val="5"/>
    </w:lvl>
    <w:lvl w:ilvl="1">
      <w:lvlJc w:val="left"/>
      <w:lvlText w:val="(%2)"/>
      <w:numFmt w:val="lowerLetter"/>
      <w:start w:val="1"/>
    </w:lvl>
  </w:abstractNum>
  <w:abstractNum w:abstractNumId="57">
    <w:nsid w:val="6590700B"/>
    <w:multiLevelType w:val="hybridMultilevel"/>
    <w:lvl w:ilvl="0">
      <w:lvlJc w:val="left"/>
      <w:lvlText w:val="(%1)"/>
      <w:numFmt w:val="upperLetter"/>
      <w:start w:val="6"/>
    </w:lvl>
    <w:lvl w:ilvl="1">
      <w:lvlJc w:val="left"/>
      <w:lvlText w:val="(%2)"/>
      <w:numFmt w:val="lowerLetter"/>
      <w:start w:val="1"/>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lowerLetter"/>
      <w:start w:val="2"/>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upperLetter"/>
      <w:start w:val="1"/>
    </w:lvl>
    <w:lvl w:ilvl="1">
      <w:lvlJc w:val="left"/>
      <w:lvlText w:val="(%2)"/>
      <w:numFmt w:val="lowerLetter"/>
      <w:start w:val="4"/>
    </w:lvl>
  </w:abstractNum>
  <w:abstractNum w:abstractNumId="62">
    <w:nsid w:val="6B94764"/>
    <w:multiLevelType w:val="hybridMultilevel"/>
    <w:lvl w:ilvl="0">
      <w:lvlJc w:val="left"/>
      <w:lvlText w:val="(%1)"/>
      <w:numFmt w:val="upperLetter"/>
      <w:start w:val="9"/>
    </w:lvl>
    <w:lvl w:ilvl="1">
      <w:lvlJc w:val="left"/>
      <w:lvlText w:val="%2"/>
      <w:numFmt w:val="lowerLetter"/>
      <w:start w:val="1"/>
    </w:lvl>
  </w:abstractNum>
  <w:abstractNum w:abstractNumId="63">
    <w:nsid w:val="42C296BD"/>
    <w:multiLevelType w:val="hybridMultilevel"/>
    <w:lvl w:ilvl="0">
      <w:lvlJc w:val="left"/>
      <w:lvlText w:val="(%1)"/>
      <w:numFmt w:val="upperLetter"/>
      <w:start w:val="12"/>
    </w:lvl>
  </w:abstractNum>
  <w:abstractNum w:abstractNumId="64">
    <w:nsid w:val="168E121F"/>
    <w:multiLevelType w:val="hybridMultilevel"/>
    <w:lvl w:ilvl="0">
      <w:lvlJc w:val="left"/>
      <w:lvlText w:val="(%1)"/>
      <w:numFmt w:val="lowerLetter"/>
      <w:start w:val="1"/>
    </w:lvl>
  </w:abstractNum>
  <w:abstractNum w:abstractNumId="65">
    <w:nsid w:val="1EBA5D23"/>
    <w:multiLevelType w:val="hybridMultilevel"/>
    <w:lvl w:ilvl="0">
      <w:lvlJc w:val="left"/>
      <w:lvlText w:val="(%1)"/>
      <w:numFmt w:val="lowerRoman"/>
      <w:start w:val="1"/>
    </w:lvl>
  </w:abstractNum>
  <w:abstractNum w:abstractNumId="66">
    <w:nsid w:val="661E3F1E"/>
    <w:multiLevelType w:val="hybridMultilevel"/>
    <w:lvl w:ilvl="0">
      <w:lvlJc w:val="left"/>
      <w:lvlText w:val="(%1)"/>
      <w:numFmt w:val="lowerLetter"/>
      <w:start w:val="3"/>
    </w:lvl>
  </w:abstractNum>
  <w:abstractNum w:abstractNumId="67">
    <w:nsid w:val="5DC79EA8"/>
    <w:multiLevelType w:val="hybridMultilevel"/>
    <w:lvl w:ilvl="0">
      <w:lvlJc w:val="left"/>
      <w:lvlText w:val="(%1)"/>
      <w:numFmt w:val="lowerRoman"/>
      <w:start w:val="1"/>
    </w:lvl>
  </w:abstractNum>
  <w:abstractNum w:abstractNumId="68">
    <w:nsid w:val="540A471C"/>
    <w:multiLevelType w:val="hybridMultilevel"/>
    <w:lvl w:ilvl="0">
      <w:lvlJc w:val="left"/>
      <w:lvlText w:val="(%1)"/>
      <w:numFmt w:val="lowerRoman"/>
      <w:start w:val="1"/>
    </w:lvl>
  </w:abstractNum>
  <w:abstractNum w:abstractNumId="69">
    <w:nsid w:val="7BD3EE7B"/>
    <w:multiLevelType w:val="hybridMultilevel"/>
    <w:lvl w:ilvl="0">
      <w:lvlJc w:val="left"/>
      <w:lvlText w:val="(%1)"/>
      <w:numFmt w:val="lowerRoman"/>
      <w:start w:val="1"/>
    </w:lvl>
  </w:abstractNum>
  <w:abstractNum w:abstractNumId="70">
    <w:nsid w:val="51D9C564"/>
    <w:multiLevelType w:val="hybridMultilevel"/>
    <w:lvl w:ilvl="0">
      <w:lvlJc w:val="left"/>
      <w:lvlText w:val="(%1)"/>
      <w:numFmt w:val="lowerLetter"/>
      <w:start w:val="5"/>
    </w:lvl>
  </w:abstractNum>
  <w:abstractNum w:abstractNumId="71">
    <w:nsid w:val="613EFDC5"/>
    <w:multiLevelType w:val="hybridMultilevel"/>
    <w:lvl w:ilvl="0">
      <w:lvlJc w:val="left"/>
      <w:lvlText w:val="(%1)"/>
      <w:numFmt w:val="upperLetter"/>
      <w:start w:val="13"/>
    </w:lvl>
  </w:abstractNum>
  <w:abstractNum w:abstractNumId="72">
    <w:nsid w:val="BF72B14"/>
    <w:multiLevelType w:val="hybridMultilevel"/>
    <w:lvl w:ilvl="0">
      <w:lvlJc w:val="left"/>
      <w:lvlText w:val="1"/>
      <w:numFmt w:val="bullet"/>
      <w:start w:val="1"/>
    </w:lvl>
  </w:abstractNum>
  <w:abstractNum w:abstractNumId="73">
    <w:nsid w:val="11447B73"/>
    <w:multiLevelType w:val="hybridMultilevel"/>
    <w:lvl w:ilvl="0">
      <w:lvlJc w:val="left"/>
      <w:lvlText w:val="2"/>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3"/>
      <w:numFmt w:val="bullet"/>
      <w:start w:val="1"/>
    </w:lvl>
  </w:abstractNum>
  <w:abstractNum w:abstractNumId="76">
    <w:nsid w:val="8F2B15E"/>
    <w:multiLevelType w:val="hybridMultilevel"/>
    <w:lvl w:ilvl="0">
      <w:lvlJc w:val="left"/>
      <w:lvlText w:val="4"/>
      <w:numFmt w:val="bullet"/>
      <w:start w:val="1"/>
    </w:lvl>
  </w:abstractNum>
  <w:abstractNum w:abstractNumId="77">
    <w:nsid w:val="1A32234B"/>
    <w:multiLevelType w:val="hybridMultilevel"/>
    <w:lvl w:ilvl="0">
      <w:lvlJc w:val="left"/>
      <w:lvlText w:val="5"/>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2026-06-24T05:31:51Z</dcterms:created>
  <dcterms:modified xsi:type="dcterms:W3CDTF">2026-06-24T05:31:51Z</dcterms:modified>
</cp:coreProperties>
</file>