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60967dfwp.htm"/>
      <w:bookmarkStart w:id="1" w:name="ksd160967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333-286741 </w:t>
      </w:r>
    </w:p>
    <w:p>
      <w:pPr>
        <w:pStyle w:val="TextBody"/>
        <w:bidi w:val="0"/>
        <w:spacing w:before="480" w:after="0"/>
        <w:jc w:val="center"/>
        <w:rPr>
          <w:rFonts w:ascii="Times New Roman" w:hAnsi="Times New Roman"/>
          <w:b/>
          <w:sz w:val="20"/>
        </w:rPr>
      </w:pPr>
      <w:r>
        <w:rPr>
          <w:rFonts w:ascii="Times New Roman" w:hAnsi="Times New Roman"/>
          <w:b/>
          <w:sz w:val="20"/>
        </w:rPr>
        <w:t xml:space="preserve">Republic Services,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June 22, 2026 </w:t>
      </w:r>
    </w:p>
    <w:p>
      <w:pPr>
        <w:pStyle w:val="TextBody"/>
        <w:bidi w:val="0"/>
        <w:spacing w:before="240" w:after="0"/>
        <w:jc w:val="center"/>
        <w:rPr>
          <w:rFonts w:ascii="Times New Roman" w:hAnsi="Times New Roman"/>
          <w:b/>
          <w:sz w:val="20"/>
        </w:rPr>
      </w:pPr>
      <w:r>
        <w:rPr>
          <w:rFonts w:ascii="Times New Roman" w:hAnsi="Times New Roman"/>
          <w:b/>
          <w:sz w:val="20"/>
        </w:rPr>
        <w:t xml:space="preserve">4.750% Notes due July 15, 2031 (the “2031 Notes”) </w:t>
      </w:r>
    </w:p>
    <w:p>
      <w:pPr>
        <w:pStyle w:val="TextBody"/>
        <w:bidi w:val="0"/>
        <w:spacing w:before="0" w:after="0"/>
        <w:jc w:val="center"/>
        <w:rPr>
          <w:rFonts w:ascii="Times New Roman" w:hAnsi="Times New Roman"/>
          <w:b/>
          <w:sz w:val="20"/>
        </w:rPr>
      </w:pPr>
      <w:r>
        <w:rPr>
          <w:rFonts w:ascii="Times New Roman" w:hAnsi="Times New Roman"/>
          <w:b/>
          <w:sz w:val="20"/>
        </w:rPr>
        <w:t xml:space="preserve">5.000% Notes due July 15, 2036 (the “2036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202"/>
        <w:gridCol w:w="6635"/>
      </w:tblGrid>
      <w:tr>
        <w:trPr/>
        <w:tc>
          <w:tcPr>
            <w:tcW w:w="336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Issuer:</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Republic Services, Inc.</w:t>
            </w:r>
          </w:p>
        </w:tc>
      </w:tr>
      <w:tr>
        <w:trPr/>
        <w:tc>
          <w:tcPr>
            <w:tcW w:w="3368" w:type="dxa"/>
            <w:tcBorders/>
          </w:tcPr>
          <w:p>
            <w:pPr>
              <w:pStyle w:val="TableContents"/>
              <w:bidi w:val="0"/>
              <w:spacing w:before="0" w:after="283"/>
              <w:jc w:val="left"/>
              <w:rPr/>
            </w:pPr>
            <w:r>
              <w:rPr/>
              <w:t>Ratings (Moody’s / S&amp;P / Fitch)*:</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A3 (stable) / A- (stable) / A- (stable)</w:t>
            </w:r>
          </w:p>
        </w:tc>
      </w:tr>
      <w:tr>
        <w:trPr/>
        <w:tc>
          <w:tcPr>
            <w:tcW w:w="3368" w:type="dxa"/>
            <w:tcBorders/>
          </w:tcPr>
          <w:p>
            <w:pPr>
              <w:pStyle w:val="TableContents"/>
              <w:bidi w:val="0"/>
              <w:spacing w:before="0" w:after="283"/>
              <w:jc w:val="left"/>
              <w:rPr/>
            </w:pPr>
            <w:r>
              <w:rPr/>
              <w:t>Trade Date: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June 22, 2026</w:t>
            </w:r>
          </w:p>
        </w:tc>
      </w:tr>
      <w:tr>
        <w:trPr/>
        <w:tc>
          <w:tcPr>
            <w:tcW w:w="3368" w:type="dxa"/>
            <w:tcBorders/>
          </w:tcPr>
          <w:p>
            <w:pPr>
              <w:pStyle w:val="TableContents"/>
              <w:bidi w:val="0"/>
              <w:spacing w:before="0" w:after="283"/>
              <w:jc w:val="left"/>
              <w:rPr/>
            </w:pPr>
            <w:r>
              <w:rPr/>
              <w:t>Settlement Date**: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June 26, 2026 (T+4)</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Terms of the 2031 Notes</w:t>
            </w:r>
          </w:p>
        </w:tc>
      </w:tr>
      <w:tr>
        <w:trPr/>
        <w:tc>
          <w:tcPr>
            <w:tcW w:w="3368" w:type="dxa"/>
            <w:tcBorders/>
          </w:tcPr>
          <w:p>
            <w:pPr>
              <w:pStyle w:val="TableContents"/>
              <w:bidi w:val="0"/>
              <w:spacing w:before="0" w:after="283"/>
              <w:jc w:val="left"/>
              <w:rPr/>
            </w:pPr>
            <w:r>
              <w:rPr/>
              <w:t>Principal Amount:</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$700,000,000</w:t>
            </w:r>
          </w:p>
        </w:tc>
      </w:tr>
      <w:tr>
        <w:trPr/>
        <w:tc>
          <w:tcPr>
            <w:tcW w:w="3368" w:type="dxa"/>
            <w:tcBorders/>
          </w:tcPr>
          <w:p>
            <w:pPr>
              <w:pStyle w:val="TableContents"/>
              <w:bidi w:val="0"/>
              <w:spacing w:before="0" w:after="283"/>
              <w:jc w:val="left"/>
              <w:rPr/>
            </w:pPr>
            <w:r>
              <w:rPr/>
              <w:t>Maturity Date: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July 15, 2031</w:t>
            </w:r>
          </w:p>
        </w:tc>
      </w:tr>
      <w:tr>
        <w:trPr/>
        <w:tc>
          <w:tcPr>
            <w:tcW w:w="3368" w:type="dxa"/>
            <w:tcBorders/>
          </w:tcPr>
          <w:p>
            <w:pPr>
              <w:pStyle w:val="TableContents"/>
              <w:bidi w:val="0"/>
              <w:spacing w:before="0" w:after="283"/>
              <w:jc w:val="left"/>
              <w:rPr/>
            </w:pPr>
            <w:r>
              <w:rPr/>
              <w:t>Benchmark Treasury:</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UST 4.125% due May 31, 2031</w:t>
            </w:r>
          </w:p>
        </w:tc>
      </w:tr>
      <w:tr>
        <w:trPr/>
        <w:tc>
          <w:tcPr>
            <w:tcW w:w="3368" w:type="dxa"/>
            <w:tcBorders/>
          </w:tcPr>
          <w:p>
            <w:pPr>
              <w:pStyle w:val="TableContents"/>
              <w:bidi w:val="0"/>
              <w:spacing w:before="0" w:after="283"/>
              <w:jc w:val="left"/>
              <w:rPr/>
            </w:pPr>
            <w:r>
              <w:rPr/>
              <w:t>Benchmark Treasury Price and Yield:</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99-09 and 4.288%</w:t>
            </w:r>
          </w:p>
        </w:tc>
      </w:tr>
      <w:tr>
        <w:trPr/>
        <w:tc>
          <w:tcPr>
            <w:tcW w:w="3368" w:type="dxa"/>
            <w:tcBorders/>
          </w:tcPr>
          <w:p>
            <w:pPr>
              <w:pStyle w:val="TableContents"/>
              <w:bidi w:val="0"/>
              <w:spacing w:before="0" w:after="283"/>
              <w:jc w:val="left"/>
              <w:rPr/>
            </w:pPr>
            <w:r>
              <w:rPr/>
              <w:t>Spread to Benchmark Treasury:</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T+50 basis points</w:t>
            </w:r>
          </w:p>
        </w:tc>
      </w:tr>
      <w:tr>
        <w:trPr/>
        <w:tc>
          <w:tcPr>
            <w:tcW w:w="3368" w:type="dxa"/>
            <w:tcBorders/>
          </w:tcPr>
          <w:p>
            <w:pPr>
              <w:pStyle w:val="TableContents"/>
              <w:bidi w:val="0"/>
              <w:spacing w:before="0" w:after="283"/>
              <w:jc w:val="left"/>
              <w:rPr/>
            </w:pPr>
            <w:r>
              <w:rPr/>
              <w:t>Yield to Maturity:</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4.788%</w:t>
            </w:r>
          </w:p>
        </w:tc>
      </w:tr>
      <w:tr>
        <w:trPr/>
        <w:tc>
          <w:tcPr>
            <w:tcW w:w="3368" w:type="dxa"/>
            <w:tcBorders/>
          </w:tcPr>
          <w:p>
            <w:pPr>
              <w:pStyle w:val="TableContents"/>
              <w:bidi w:val="0"/>
              <w:spacing w:before="0" w:after="283"/>
              <w:jc w:val="left"/>
              <w:rPr/>
            </w:pPr>
            <w:r>
              <w:rPr/>
              <w:t>Price to Public:</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99.828% of the principal amount</w:t>
            </w:r>
          </w:p>
        </w:tc>
      </w:tr>
      <w:tr>
        <w:trPr/>
        <w:tc>
          <w:tcPr>
            <w:tcW w:w="3368" w:type="dxa"/>
            <w:tcBorders/>
          </w:tcPr>
          <w:p>
            <w:pPr>
              <w:pStyle w:val="TableContents"/>
              <w:bidi w:val="0"/>
              <w:spacing w:before="0" w:after="283"/>
              <w:jc w:val="left"/>
              <w:rPr/>
            </w:pPr>
            <w:r>
              <w:rPr/>
              <w:t>Coupon (Interest Rate):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4.750%</w:t>
            </w:r>
          </w:p>
        </w:tc>
      </w:tr>
      <w:tr>
        <w:trPr/>
        <w:tc>
          <w:tcPr>
            <w:tcW w:w="3368" w:type="dxa"/>
            <w:tcBorders/>
          </w:tcPr>
          <w:p>
            <w:pPr>
              <w:pStyle w:val="TableContents"/>
              <w:bidi w:val="0"/>
              <w:spacing w:before="0" w:after="283"/>
              <w:jc w:val="left"/>
              <w:rPr/>
            </w:pPr>
            <w:r>
              <w:rPr/>
              <w:t>Interest Payment Dates: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January 15 and July 15, beginning January 15, 2027</w:t>
            </w:r>
          </w:p>
        </w:tc>
      </w:tr>
      <w:tr>
        <w:trPr/>
        <w:tc>
          <w:tcPr>
            <w:tcW w:w="3368" w:type="dxa"/>
            <w:tcBorders/>
          </w:tcPr>
          <w:p>
            <w:pPr>
              <w:pStyle w:val="TableContents"/>
              <w:bidi w:val="0"/>
              <w:spacing w:before="0" w:after="283"/>
              <w:jc w:val="left"/>
              <w:rPr/>
            </w:pPr>
            <w:r>
              <w:rPr/>
              <w:t>Underwriting Discount:</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0.600%</w:t>
            </w:r>
          </w:p>
        </w:tc>
      </w:tr>
      <w:tr>
        <w:trPr/>
        <w:tc>
          <w:tcPr>
            <w:tcW w:w="3368" w:type="dxa"/>
            <w:tcBorders/>
          </w:tcPr>
          <w:p>
            <w:pPr>
              <w:pStyle w:val="TableContents"/>
              <w:bidi w:val="0"/>
              <w:spacing w:before="0" w:after="283"/>
              <w:jc w:val="left"/>
              <w:rPr/>
            </w:pPr>
            <w:r>
              <w:rPr/>
              <w:t>Make-Whole Call:</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Prior to June 15, 2031 (one month before the maturity date), T +10 basis points</w:t>
            </w:r>
          </w:p>
        </w:tc>
      </w:tr>
      <w:tr>
        <w:trPr/>
        <w:tc>
          <w:tcPr>
            <w:tcW w:w="3368" w:type="dxa"/>
            <w:tcBorders/>
          </w:tcPr>
          <w:p>
            <w:pPr>
              <w:pStyle w:val="TableContents"/>
              <w:bidi w:val="0"/>
              <w:spacing w:before="0" w:after="283"/>
              <w:jc w:val="left"/>
              <w:rPr/>
            </w:pPr>
            <w:r>
              <w:rPr/>
              <w:t>Par Call:</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On or after June 15, 2031 (one month before the maturity date)</w:t>
            </w:r>
          </w:p>
        </w:tc>
      </w:tr>
      <w:tr>
        <w:trPr/>
        <w:tc>
          <w:tcPr>
            <w:tcW w:w="3368" w:type="dxa"/>
            <w:tcBorders/>
          </w:tcPr>
          <w:p>
            <w:pPr>
              <w:pStyle w:val="TableContents"/>
              <w:bidi w:val="0"/>
              <w:spacing w:before="0" w:after="283"/>
              <w:jc w:val="left"/>
              <w:rPr/>
            </w:pPr>
            <w:r>
              <w:rPr/>
              <w:t>CUSIP/ISIN:</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760759 BN9 / US760759BN95</w:t>
            </w:r>
          </w:p>
        </w:tc>
      </w:tr>
      <w:tr>
        <w:trPr/>
        <w:tc>
          <w:tcPr>
            <w:tcW w:w="3368" w:type="dxa"/>
            <w:tcBorders/>
          </w:tcPr>
          <w:p>
            <w:pPr>
              <w:pStyle w:val="TableContents"/>
              <w:bidi w:val="0"/>
              <w:spacing w:before="0" w:after="283"/>
              <w:jc w:val="left"/>
              <w:rPr/>
            </w:pPr>
            <w:r>
              <w:rPr/>
              <w:t>Joint Book-Running Managers: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BofA Securities, Inc. </w:t>
              <w:b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 xml:space="preserve">J.P. Morgan Securities LLC </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Co-Managers: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Intesa Sanpaolo IMI Securities Corp.</w:t>
            </w:r>
          </w:p>
          <w:p>
            <w:pPr>
              <w:pStyle w:val="TableContents"/>
              <w:bidi w:val="0"/>
              <w:spacing w:before="0" w:after="20"/>
              <w:jc w:val="left"/>
              <w:rPr>
                <w:rFonts w:ascii="Times New Roman" w:hAnsi="Times New Roman"/>
                <w:sz w:val="20"/>
              </w:rPr>
            </w:pPr>
            <w:r>
              <w:rPr>
                <w:rFonts w:ascii="Times New Roman" w:hAnsi="Times New Roman"/>
                <w:sz w:val="20"/>
              </w:rPr>
              <w:t>Comerica Securities,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Terms of the 2036 Notes</w:t>
            </w:r>
          </w:p>
        </w:tc>
      </w:tr>
      <w:tr>
        <w:trPr/>
        <w:tc>
          <w:tcPr>
            <w:tcW w:w="3367" w:type="dxa"/>
            <w:tcBorders/>
          </w:tcPr>
          <w:p>
            <w:pPr>
              <w:pStyle w:val="TableContents"/>
              <w:bidi w:val="0"/>
              <w:spacing w:before="0" w:after="283"/>
              <w:jc w:val="left"/>
              <w:rPr/>
            </w:pPr>
            <w:r>
              <w:rPr/>
              <w:t>Principal Amount: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$500,000,000</w:t>
            </w:r>
          </w:p>
        </w:tc>
      </w:tr>
      <w:tr>
        <w:trPr/>
        <w:tc>
          <w:tcPr>
            <w:tcW w:w="3367" w:type="dxa"/>
            <w:tcBorders/>
          </w:tcPr>
          <w:p>
            <w:pPr>
              <w:pStyle w:val="TableContents"/>
              <w:bidi w:val="0"/>
              <w:spacing w:before="0" w:after="283"/>
              <w:jc w:val="left"/>
              <w:rPr/>
            </w:pPr>
            <w:r>
              <w:rPr/>
              <w:t>Maturity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July 15, 2036</w:t>
            </w:r>
          </w:p>
        </w:tc>
      </w:tr>
      <w:tr>
        <w:trPr/>
        <w:tc>
          <w:tcPr>
            <w:tcW w:w="3367" w:type="dxa"/>
            <w:tcBorders/>
          </w:tcPr>
          <w:p>
            <w:pPr>
              <w:pStyle w:val="TableContents"/>
              <w:bidi w:val="0"/>
              <w:spacing w:before="0" w:after="283"/>
              <w:jc w:val="left"/>
              <w:rPr/>
            </w:pPr>
            <w:r>
              <w:rPr/>
              <w:t>Benchmark Treasury: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UST 4.375% due May 15, 2036</w:t>
            </w:r>
          </w:p>
        </w:tc>
      </w:tr>
      <w:tr>
        <w:trPr/>
        <w:tc>
          <w:tcPr>
            <w:tcW w:w="3367" w:type="dxa"/>
            <w:tcBorders/>
          </w:tcPr>
          <w:p>
            <w:pPr>
              <w:pStyle w:val="TableContents"/>
              <w:bidi w:val="0"/>
              <w:spacing w:before="0" w:after="283"/>
              <w:jc w:val="left"/>
              <w:rPr/>
            </w:pPr>
            <w:r>
              <w:rPr/>
              <w:t>Benchmark Treasury Price and Yield:</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98-29+ and 4.511%</w:t>
            </w:r>
          </w:p>
        </w:tc>
      </w:tr>
      <w:tr>
        <w:trPr/>
        <w:tc>
          <w:tcPr>
            <w:tcW w:w="3367" w:type="dxa"/>
            <w:tcBorders/>
          </w:tcPr>
          <w:p>
            <w:pPr>
              <w:pStyle w:val="TableContents"/>
              <w:bidi w:val="0"/>
              <w:spacing w:before="0" w:after="283"/>
              <w:jc w:val="left"/>
              <w:rPr/>
            </w:pPr>
            <w:r>
              <w:rPr/>
              <w:t>Spread to Benchmark Treasury: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T+62 basis points</w:t>
            </w:r>
          </w:p>
        </w:tc>
      </w:tr>
      <w:tr>
        <w:trPr/>
        <w:tc>
          <w:tcPr>
            <w:tcW w:w="3367" w:type="dxa"/>
            <w:tcBorders/>
          </w:tcPr>
          <w:p>
            <w:pPr>
              <w:pStyle w:val="TableContents"/>
              <w:bidi w:val="0"/>
              <w:spacing w:before="0" w:after="283"/>
              <w:jc w:val="left"/>
              <w:rPr/>
            </w:pPr>
            <w:r>
              <w:rPr/>
              <w:t>Yield to Maturity: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5.131%</w:t>
            </w:r>
          </w:p>
        </w:tc>
      </w:tr>
      <w:tr>
        <w:trPr/>
        <w:tc>
          <w:tcPr>
            <w:tcW w:w="3367" w:type="dxa"/>
            <w:tcBorders/>
          </w:tcPr>
          <w:p>
            <w:pPr>
              <w:pStyle w:val="TableContents"/>
              <w:bidi w:val="0"/>
              <w:spacing w:before="0" w:after="283"/>
              <w:jc w:val="left"/>
              <w:rPr/>
            </w:pPr>
            <w:r>
              <w:rPr/>
              <w:t>Price to Public:</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98.977% of the principal amount</w:t>
            </w:r>
          </w:p>
        </w:tc>
      </w:tr>
      <w:tr>
        <w:trPr/>
        <w:tc>
          <w:tcPr>
            <w:tcW w:w="3367" w:type="dxa"/>
            <w:tcBorders/>
          </w:tcPr>
          <w:p>
            <w:pPr>
              <w:pStyle w:val="TableContents"/>
              <w:bidi w:val="0"/>
              <w:spacing w:before="0" w:after="283"/>
              <w:jc w:val="left"/>
              <w:rPr/>
            </w:pPr>
            <w:r>
              <w:rPr/>
              <w:t>Coupon (Interest Rate):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5.000%</w:t>
            </w:r>
          </w:p>
        </w:tc>
      </w:tr>
      <w:tr>
        <w:trPr/>
        <w:tc>
          <w:tcPr>
            <w:tcW w:w="3367" w:type="dxa"/>
            <w:tcBorders/>
          </w:tcPr>
          <w:p>
            <w:pPr>
              <w:pStyle w:val="TableContents"/>
              <w:bidi w:val="0"/>
              <w:spacing w:before="0" w:after="283"/>
              <w:jc w:val="left"/>
              <w:rPr/>
            </w:pPr>
            <w:r>
              <w:rPr/>
              <w:t>Interest Payment Dates: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January 15 and July 15, beginning January 15, 2027</w:t>
            </w:r>
          </w:p>
        </w:tc>
      </w:tr>
      <w:tr>
        <w:trPr/>
        <w:tc>
          <w:tcPr>
            <w:tcW w:w="3367" w:type="dxa"/>
            <w:tcBorders/>
          </w:tcPr>
          <w:p>
            <w:pPr>
              <w:pStyle w:val="TableContents"/>
              <w:bidi w:val="0"/>
              <w:spacing w:before="0" w:after="283"/>
              <w:jc w:val="left"/>
              <w:rPr/>
            </w:pPr>
            <w:r>
              <w:rPr/>
              <w:t>Underwriting Discount: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0.650%</w:t>
            </w:r>
          </w:p>
        </w:tc>
      </w:tr>
      <w:tr>
        <w:trPr/>
        <w:tc>
          <w:tcPr>
            <w:tcW w:w="3367" w:type="dxa"/>
            <w:tcBorders/>
          </w:tcPr>
          <w:p>
            <w:pPr>
              <w:pStyle w:val="TableContents"/>
              <w:bidi w:val="0"/>
              <w:spacing w:before="0" w:after="283"/>
              <w:jc w:val="left"/>
              <w:rPr/>
            </w:pPr>
            <w:r>
              <w:rPr/>
              <w:t>Make-Whole Call:</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Prior to April 15, 2036 (three months before the maturity date), T+10 basis points</w:t>
            </w:r>
          </w:p>
        </w:tc>
      </w:tr>
      <w:tr>
        <w:trPr/>
        <w:tc>
          <w:tcPr>
            <w:tcW w:w="3367" w:type="dxa"/>
            <w:tcBorders/>
          </w:tcPr>
          <w:p>
            <w:pPr>
              <w:pStyle w:val="TableContents"/>
              <w:bidi w:val="0"/>
              <w:spacing w:before="0" w:after="283"/>
              <w:jc w:val="left"/>
              <w:rPr/>
            </w:pPr>
            <w:r>
              <w:rPr/>
              <w:t>Par Call:</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On or after April 15, 2036 (three months before the maturity date)</w:t>
            </w:r>
          </w:p>
        </w:tc>
      </w:tr>
      <w:tr>
        <w:trPr/>
        <w:tc>
          <w:tcPr>
            <w:tcW w:w="3367" w:type="dxa"/>
            <w:tcBorders/>
          </w:tcPr>
          <w:p>
            <w:pPr>
              <w:pStyle w:val="TableContents"/>
              <w:bidi w:val="0"/>
              <w:spacing w:before="0" w:after="283"/>
              <w:jc w:val="left"/>
              <w:rPr/>
            </w:pPr>
            <w:r>
              <w:rPr/>
              <w:t>CUSIP/ISIN: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760759 BP4 / US760759BP44</w:t>
            </w:r>
          </w:p>
        </w:tc>
      </w:tr>
      <w:tr>
        <w:trPr/>
        <w:tc>
          <w:tcPr>
            <w:tcW w:w="3367" w:type="dxa"/>
            <w:tcBorders/>
          </w:tcPr>
          <w:p>
            <w:pPr>
              <w:pStyle w:val="TableContents"/>
              <w:bidi w:val="0"/>
              <w:spacing w:before="0" w:after="283"/>
              <w:jc w:val="left"/>
              <w:rPr/>
            </w:pPr>
            <w:r>
              <w:rPr/>
              <w:t>Joint Book-Running 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20"/>
              <w:jc w:val="left"/>
              <w:rPr>
                <w:rFonts w:ascii="Times New Roman" w:hAnsi="Times New Roman"/>
                <w:sz w:val="20"/>
              </w:rPr>
            </w:pPr>
            <w:r>
              <w:rPr>
                <w:rFonts w:ascii="Times New Roman" w:hAnsi="Times New Roman"/>
                <w:sz w:val="20"/>
              </w:rPr>
              <w:t xml:space="preserve">TD Securities (USA) LLC </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Intesa Sanpaolo IMI Securities Corp.</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Penserra Securities LLC</w:t>
            </w:r>
          </w:p>
          <w:p>
            <w:pPr>
              <w:pStyle w:val="TableContents"/>
              <w:bidi w:val="0"/>
              <w:spacing w:before="0" w:after="20"/>
              <w:jc w:val="left"/>
              <w:rPr>
                <w:rFonts w:ascii="Times New Roman" w:hAnsi="Times New Roman"/>
                <w:sz w:val="20"/>
              </w:rPr>
            </w:pPr>
            <w:r>
              <w:rPr>
                <w:rFonts w:ascii="Times New Roman" w:hAnsi="Times New Roman"/>
                <w:sz w:val="20"/>
              </w:rPr>
              <w:t>CastleOak Securities, L.P.</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expects to deliver the notes against payment for them on or about June 26, 2026, which will be the fourth business day following the date of the pricing of the notes. Under Rule 15c6-1 under the Exchange Act, trades in the secondary market generally must settle in one business day, unless the parties to any such trade expressly agree otherwise. Accordingly, purchasers who wish to trade the notes on any date prior to the business day immediately preceding delivery will be required, by virtue of the fact that the notes initially will settle in T+4 business days, to specify an alternate settlement cycle at the time of any such trade to prevent a failed settlement. Purchasers who wish to trade the notes prior to the business day immediately preceding delivery should consult their own advisers.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issuer has filed a registration statement (including a prospectus and preliminary prospectus supplement)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with respect to the 2031 Notes, BofA Securities, Inc. at (800) 294-1322 or Wells Fargo Securities, LLC at (800) 645-3751 and, with respect to the 2036 Notes, BofA Securities, Inc. at (800) 294-1322 or Wells Fargo Securities, LLC at (800) 645-3751. </w:t>
      </w:r>
    </w:p>
    <w:p>
      <w:pPr>
        <w:pStyle w:val="TextBody"/>
        <w:bidi w:val="0"/>
        <w:spacing w:before="240" w:after="0"/>
        <w:jc w:val="left"/>
        <w:rPr>
          <w:rFonts w:ascii="Times New Roman" w:hAnsi="Times New Roman"/>
          <w:b/>
          <w:sz w:val="20"/>
        </w:rPr>
      </w:pPr>
      <w:r>
        <w:rPr>
          <w:rFonts w:ascii="Times New Roman" w:hAnsi="Times New Roman"/>
          <w:b/>
          <w:sz w:val="20"/>
        </w:rPr>
        <w:t xml:space="preserve">This pricing term sheet supplements the preliminary prospectus supplement issued by Republic Services, Inc. on June 22, 2026 relating to its Prospectus dated April 25,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713</Words>
  <Characters>3818</Characters>
  <CharactersWithSpaces>4509</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