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Form 10-K</w:t>
      </w:r>
    </w:p>
    <w:p>
      <w:pPr>
        <w:pStyle w:val="TextBody"/>
        <w:bidi w:val="0"/>
        <w:spacing w:lineRule="auto" w:line="276" w:before="0" w:after="0"/>
        <w:jc w:val="both"/>
        <w:rPr/>
      </w:pPr>
      <w:r>
        <w:rPr>
          <w:color w:val="000000"/>
        </w:rPr>
        <w:t xml:space="preserve">☑ </w:t>
      </w:r>
      <w:r>
        <w:rPr>
          <w:rFonts w:ascii="Times New Roman;sans-serif" w:hAnsi="Times New Roman;sans-serif"/>
          <w:b/>
          <w:color w:val="000000"/>
          <w:sz w:val="20"/>
        </w:rPr>
        <w:t>ANNUAL</w:t>
      </w:r>
      <w:r>
        <w:rPr>
          <w:color w:val="000000"/>
        </w:rPr>
        <w:t xml:space="preserve"> </w:t>
      </w:r>
      <w:r>
        <w:rPr>
          <w:rFonts w:ascii="Times New Roman;sans-serif" w:hAnsi="Times New Roman;sans-serif"/>
          <w:b/>
          <w:color w:val="000000"/>
          <w:sz w:val="20"/>
        </w:rPr>
        <w:t>REPORT PURSUANT TO SECTION 13 OR 15(d) OF THE SECURITIES EXCHANGE ACT OF 1934</w:t>
      </w:r>
    </w:p>
    <w:p>
      <w:pPr>
        <w:pStyle w:val="TextBody"/>
        <w:bidi w:val="0"/>
        <w:spacing w:lineRule="auto" w:line="288" w:before="0" w:after="0"/>
        <w:jc w:val="left"/>
        <w:rPr/>
      </w:pPr>
      <w:r>
        <w:rPr>
          <w:rFonts w:ascii="Times New Roman;sans-serif" w:hAnsi="Times New Roman;sans-serif"/>
          <w:b w:val="false"/>
          <w:color w:val="000000"/>
          <w:sz w:val="18"/>
        </w:rPr>
        <w:t>For the fiscal year ended December 31, 2024</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or</w:t>
      </w:r>
    </w:p>
    <w:p>
      <w:pPr>
        <w:pStyle w:val="TextBody"/>
        <w:bidi w:val="0"/>
        <w:spacing w:lineRule="auto" w:line="276" w:before="0" w:after="0"/>
        <w:jc w:val="both"/>
        <w:rPr/>
      </w:pPr>
      <w:r>
        <w:rPr>
          <w:color w:val="000000"/>
        </w:rPr>
        <w:t xml:space="preserve">☐ </w:t>
      </w:r>
      <w:r>
        <w:rPr>
          <w:rFonts w:ascii="Times New Roman;sans-serif" w:hAnsi="Times New Roman;sans-serif"/>
          <w:b/>
          <w:color w:val="000000"/>
          <w:sz w:val="19"/>
        </w:rPr>
        <w:t>TRANSITION</w:t>
      </w:r>
      <w:r>
        <w:rPr>
          <w:color w:val="000000"/>
        </w:rPr>
        <w:t xml:space="preserve"> </w:t>
      </w:r>
      <w:r>
        <w:rPr>
          <w:rFonts w:ascii="Times New Roman;sans-serif" w:hAnsi="Times New Roman;sans-serif"/>
          <w:b/>
          <w:color w:val="000000"/>
          <w:sz w:val="19"/>
        </w:rPr>
        <w:t>REPORT PURSUANT TO SECTION 13 OR 15(d) OF THE SECURITIES EXCHANGE ACT OF 1934</w:t>
      </w:r>
    </w:p>
    <w:p>
      <w:pPr>
        <w:pStyle w:val="TextBody"/>
        <w:bidi w:val="0"/>
        <w:spacing w:before="0" w:after="0"/>
        <w:ind w:left="0" w:right="0" w:firstLine="1008"/>
        <w:jc w:val="center"/>
        <w:rPr/>
      </w:pPr>
      <w:r>
        <w:rPr/>
      </w:r>
    </w:p>
    <w:p>
      <w:pPr>
        <w:pStyle w:val="TextBody"/>
        <w:bidi w:val="0"/>
        <w:spacing w:lineRule="auto" w:line="417" w:before="0" w:after="0"/>
        <w:ind w:left="0" w:right="0" w:firstLine="1008"/>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 to ___________</w:t>
      </w:r>
    </w:p>
    <w:p>
      <w:pPr>
        <w:pStyle w:val="TextBody"/>
        <w:bidi w:val="0"/>
        <w:spacing w:lineRule="auto" w:line="417" w:before="60" w:after="60"/>
        <w:ind w:left="0" w:right="0" w:firstLine="1008"/>
        <w:jc w:val="center"/>
        <w:rPr>
          <w:rFonts w:ascii="Times New Roman;sans-serif" w:hAnsi="Times New Roman;sans-serif"/>
          <w:b/>
          <w:color w:val="000000"/>
          <w:sz w:val="20"/>
        </w:rPr>
      </w:pPr>
      <w:r>
        <w:rPr>
          <w:rFonts w:ascii="Times New Roman;sans-serif" w:hAnsi="Times New Roman;sans-serif"/>
          <w:b/>
          <w:color w:val="000000"/>
          <w:sz w:val="20"/>
        </w:rPr>
        <w:t>Commission file number: 1-14267</w:t>
      </w:r>
    </w:p>
    <w:p>
      <w:pPr>
        <w:pStyle w:val="TextBody"/>
        <w:bidi w:val="0"/>
        <w:spacing w:lineRule="auto" w:line="288" w:before="0" w:after="100"/>
        <w:jc w:val="center"/>
        <w:rPr>
          <w:rFonts w:ascii="Times New Roman;sans-serif" w:hAnsi="Times New Roman;sans-serif"/>
          <w:b/>
          <w:color w:val="000000"/>
          <w:sz w:val="40"/>
        </w:rPr>
      </w:pPr>
      <w:r>
        <w:rPr>
          <w:rFonts w:ascii="Times New Roman;sans-serif" w:hAnsi="Times New Roman;sans-serif"/>
          <w:b/>
          <w:color w:val="000000"/>
          <w:sz w:val="40"/>
        </w:rPr>
        <w:t>REPUBLIC SERVICES, INC.</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 </w:t>
      </w:r>
    </w:p>
    <w:tbl>
      <w:tblPr>
        <w:tblW w:w="6914" w:type="dxa"/>
        <w:jc w:val="center"/>
        <w:tblInd w:w="0" w:type="dxa"/>
        <w:tblLayout w:type="fixed"/>
        <w:tblCellMar>
          <w:top w:w="28" w:type="dxa"/>
          <w:left w:w="28" w:type="dxa"/>
          <w:bottom w:w="28" w:type="dxa"/>
          <w:right w:w="28" w:type="dxa"/>
        </w:tblCellMar>
      </w:tblPr>
      <w:tblGrid>
        <w:gridCol w:w="1599"/>
        <w:gridCol w:w="1409"/>
        <w:gridCol w:w="1417"/>
        <w:gridCol w:w="725"/>
        <w:gridCol w:w="725"/>
        <w:gridCol w:w="1039"/>
      </w:tblGrid>
      <w:tr>
        <w:trPr/>
        <w:tc>
          <w:tcPr>
            <w:tcW w:w="159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65-0716904</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18500 North Allied Way</w:t>
              <w:br/>
              <w:t>Phoenix, Arizona</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85054</w:t>
            </w:r>
          </w:p>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(480) 627-2700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 </w:t>
      </w:r>
    </w:p>
    <w:p>
      <w:pPr>
        <w:pStyle w:val="TextBody"/>
        <w:bidi w:val="0"/>
        <w:spacing w:lineRule="auto" w:line="288" w:before="60" w:after="283"/>
        <w:ind w:left="0" w:right="0" w:firstLine="48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028" w:type="dxa"/>
        <w:jc w:val="center"/>
        <w:tblInd w:w="0" w:type="dxa"/>
        <w:tblLayout w:type="fixed"/>
        <w:tblCellMar>
          <w:top w:w="28" w:type="dxa"/>
          <w:left w:w="28" w:type="dxa"/>
          <w:bottom w:w="28" w:type="dxa"/>
          <w:right w:w="28" w:type="dxa"/>
        </w:tblCellMar>
      </w:tblPr>
      <w:tblGrid>
        <w:gridCol w:w="1263"/>
        <w:gridCol w:w="1113"/>
        <w:gridCol w:w="1119"/>
        <w:gridCol w:w="539"/>
        <w:gridCol w:w="539"/>
        <w:gridCol w:w="541"/>
        <w:gridCol w:w="1146"/>
        <w:gridCol w:w="1146"/>
        <w:gridCol w:w="1622"/>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9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RSG</w:t>
            </w:r>
          </w:p>
        </w:tc>
        <w:tc>
          <w:tcPr>
            <w:tcW w:w="39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New York Stock Exchange</w:t>
            </w:r>
          </w:p>
        </w:tc>
      </w:tr>
    </w:tbl>
    <w:p>
      <w:pPr>
        <w:pStyle w:val="TextBody"/>
        <w:bidi w:val="0"/>
        <w:spacing w:lineRule="auto" w:line="288" w:before="0" w:after="0"/>
        <w:ind w:left="0" w:right="0" w:firstLine="48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lineRule="auto" w:line="288" w:before="0" w:after="0"/>
        <w:jc w:val="both"/>
        <w:rPr/>
      </w:pPr>
      <w:r>
        <w:rPr>
          <w:rFonts w:ascii="Times New Roman;sans-serif" w:hAnsi="Times New Roman;sans-serif"/>
          <w:b w:val="false"/>
          <w:color w:val="000000"/>
          <w:sz w:val="18"/>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both"/>
        <w:rPr/>
      </w:pPr>
      <w:r>
        <w:rPr>
          <w:rFonts w:ascii="Times New Roman;sans-serif" w:hAnsi="Times New Roman;sans-serif"/>
          <w:b w:val="false"/>
          <w:color w:val="000000"/>
          <w:sz w:val="18"/>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8"/>
        </w:rPr>
        <w:t>No  </w:t>
      </w:r>
      <w:r>
        <w:rPr>
          <w:color w:val="000000"/>
        </w:rPr>
        <w:t>☑</w:t>
      </w:r>
      <w:r>
        <w:rPr>
          <w:rFonts w:ascii="Times New Roman;sans-serif" w:hAnsi="Times New Roman;sans-serif"/>
          <w:b/>
          <w:color w:val="000000"/>
          <w:sz w:val="18"/>
        </w:rPr>
        <w:br/>
        <w:t>Note</w:t>
      </w:r>
      <w:r>
        <w:rPr>
          <w:color w:val="000000"/>
        </w:rPr>
        <w:t xml:space="preserve"> – </w:t>
      </w:r>
      <w:r>
        <w:rPr>
          <w:rFonts w:ascii="Times New Roman;sans-serif" w:hAnsi="Times New Roman;sans-serif"/>
          <w:b w:val="false"/>
          <w:color w:val="000000"/>
          <w:sz w:val="18"/>
        </w:rPr>
        <w:t>Checking the box above will not relieve any registrant required to file reports pursuant to Section 13 or 15(d) of the Exchange Act from their obligations under those Sections.</w:t>
      </w:r>
    </w:p>
    <w:p>
      <w:pPr>
        <w:pStyle w:val="TextBody"/>
        <w:bidi w:val="0"/>
        <w:spacing w:lineRule="auto" w:line="288" w:before="6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034" w:type="dxa"/>
        <w:jc w:val="left"/>
        <w:tblInd w:w="0" w:type="dxa"/>
        <w:tblLayout w:type="fixed"/>
        <w:tblCellMar>
          <w:top w:w="28" w:type="dxa"/>
          <w:left w:w="28" w:type="dxa"/>
          <w:bottom w:w="28" w:type="dxa"/>
          <w:right w:w="28" w:type="dxa"/>
        </w:tblCellMar>
      </w:tblPr>
      <w:tblGrid>
        <w:gridCol w:w="712"/>
        <w:gridCol w:w="625"/>
        <w:gridCol w:w="627"/>
        <w:gridCol w:w="109"/>
        <w:gridCol w:w="109"/>
        <w:gridCol w:w="109"/>
        <w:gridCol w:w="505"/>
        <w:gridCol w:w="505"/>
        <w:gridCol w:w="506"/>
        <w:gridCol w:w="109"/>
        <w:gridCol w:w="109"/>
        <w:gridCol w:w="109"/>
        <w:gridCol w:w="744"/>
        <w:gridCol w:w="744"/>
        <w:gridCol w:w="746"/>
        <w:gridCol w:w="109"/>
        <w:gridCol w:w="109"/>
        <w:gridCol w:w="109"/>
        <w:gridCol w:w="683"/>
        <w:gridCol w:w="683"/>
        <w:gridCol w:w="973"/>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Large accelerated filer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Accelerated filer  </w:t>
            </w: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r>
      <w:tr>
        <w:trPr/>
        <w:tc>
          <w:tcPr>
            <w:tcW w:w="3807"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Non-accelerated filer   </w:t>
            </w:r>
            <w:r>
              <w:rPr>
                <w:rFonts w:ascii="Wingdings;sans-serif" w:hAnsi="Wingdings;sans-serif"/>
                <w:b w:val="false"/>
                <w:color w:val="000000"/>
                <w:sz w:val="18"/>
              </w:rPr>
              <w:t>o</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both"/>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As of June 30, 2024, the aggregate market value of the shares of the Common Stock held by non-affiliates of the registrant was $61.0 billion.</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As of February 6, 2025, the registrant had outstanding 312,284,953 shares of Common Stock (excluding treasury shares of 907,491).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Proxy Statement relative to the 2025 Annual Meeting of Shareholders are incorporated by reference in Part III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1"/>
        <w:gridCol w:w="290"/>
        <w:gridCol w:w="295"/>
        <w:gridCol w:w="2943"/>
        <w:gridCol w:w="2931"/>
        <w:gridCol w:w="2947"/>
        <w:gridCol w:w="136"/>
        <w:gridCol w:w="136"/>
        <w:gridCol w:w="1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0">
              <w:r>
                <w:rPr>
                  <w:rStyle w:val="InternetLink"/>
                  <w:rFonts w:ascii="Times New Roman;sans-serif" w:hAnsi="Times New Roman;sans-serif"/>
                  <w:b/>
                  <w:color w:val="0000FF"/>
                  <w:sz w:val="19"/>
                  <w:u w:val="single"/>
                </w:rPr>
                <w:t>PART I</w:t>
              </w:r>
            </w:hyperlink>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3">
              <w:r>
                <w:rPr>
                  <w:rStyle w:val="InternetLink"/>
                  <w:rFonts w:ascii="Times New Roman;sans-serif" w:hAnsi="Times New Roman;sans-serif"/>
                  <w:b w:val="false"/>
                  <w:strike w:val="false"/>
                  <w:dstrike w:val="false"/>
                  <w:color w:val="000000"/>
                  <w:sz w:val="19"/>
                  <w:u w:val="none"/>
                  <w:effect w:val="none"/>
                </w:rPr>
                <w:t>Business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3">
              <w:r>
                <w:rPr>
                  <w:rStyle w:val="InternetLink"/>
                  <w:rFonts w:ascii="Times New Roman;sans-serif" w:hAnsi="Times New Roman;sans-serif"/>
                  <w:b w:val="false"/>
                  <w:color w:val="0000FF"/>
                  <w:sz w:val="19"/>
                  <w:u w:val="single"/>
                </w:rPr>
                <w:t>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1A.</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6">
              <w:r>
                <w:rPr>
                  <w:rStyle w:val="InternetLink"/>
                  <w:rFonts w:ascii="Times New Roman;sans-serif" w:hAnsi="Times New Roman;sans-serif"/>
                  <w:b w:val="false"/>
                  <w:strike w:val="false"/>
                  <w:dstrike w:val="false"/>
                  <w:color w:val="000000"/>
                  <w:sz w:val="19"/>
                  <w:u w:val="none"/>
                  <w:effect w:val="none"/>
                </w:rPr>
                <w:t>Risk Factors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6">
              <w:r>
                <w:rPr>
                  <w:rStyle w:val="InternetLink"/>
                  <w:rFonts w:ascii="Times New Roman;sans-serif" w:hAnsi="Times New Roman;sans-serif"/>
                  <w:b w:val="false"/>
                  <w:color w:val="0000FF"/>
                  <w:sz w:val="19"/>
                  <w:u w:val="single"/>
                </w:rPr>
                <w:t>20</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1B.</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9">
              <w:r>
                <w:rPr>
                  <w:rStyle w:val="InternetLink"/>
                  <w:rFonts w:ascii="Times New Roman;sans-serif" w:hAnsi="Times New Roman;sans-serif"/>
                  <w:b w:val="false"/>
                  <w:strike w:val="false"/>
                  <w:dstrike w:val="false"/>
                  <w:color w:val="000000"/>
                  <w:sz w:val="19"/>
                  <w:u w:val="none"/>
                  <w:effect w:val="none"/>
                </w:rPr>
                <w:t>Unresolved Staff Comments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9">
              <w:r>
                <w:rPr>
                  <w:rStyle w:val="InternetLink"/>
                  <w:rFonts w:ascii="Times New Roman;sans-serif" w:hAnsi="Times New Roman;sans-serif"/>
                  <w:b w:val="false"/>
                  <w:color w:val="0000FF"/>
                  <w:sz w:val="19"/>
                  <w:u w:val="single"/>
                </w:rPr>
                <w:t>31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1C.</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Cybersecurity</w:t>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093">
              <w:r>
                <w:rPr>
                  <w:rStyle w:val="InternetLink"/>
                  <w:rFonts w:ascii="Times New Roman;sans-serif" w:hAnsi="Times New Roman;sans-serif"/>
                  <w:b w:val="false"/>
                  <w:color w:val="0000FF"/>
                  <w:sz w:val="19"/>
                  <w:u w:val="single"/>
                </w:rPr>
                <w:t>31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2.</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2">
              <w:r>
                <w:rPr>
                  <w:rStyle w:val="InternetLink"/>
                  <w:rFonts w:ascii="Times New Roman;sans-serif" w:hAnsi="Times New Roman;sans-serif"/>
                  <w:b w:val="false"/>
                  <w:strike w:val="false"/>
                  <w:dstrike w:val="false"/>
                  <w:color w:val="000000"/>
                  <w:sz w:val="19"/>
                  <w:u w:val="none"/>
                  <w:effect w:val="none"/>
                </w:rPr>
                <w:t>Properties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2">
              <w:r>
                <w:rPr>
                  <w:rStyle w:val="InternetLink"/>
                  <w:rFonts w:ascii="Times New Roman;sans-serif" w:hAnsi="Times New Roman;sans-serif"/>
                  <w:b w:val="false"/>
                  <w:color w:val="0000FF"/>
                  <w:sz w:val="19"/>
                  <w:u w:val="single"/>
                </w:rPr>
                <w:t>32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3.</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5">
              <w:r>
                <w:rPr>
                  <w:rStyle w:val="InternetLink"/>
                  <w:rFonts w:ascii="Times New Roman;sans-serif" w:hAnsi="Times New Roman;sans-serif"/>
                  <w:b w:val="false"/>
                  <w:strike w:val="false"/>
                  <w:dstrike w:val="false"/>
                  <w:color w:val="000000"/>
                  <w:sz w:val="19"/>
                  <w:u w:val="none"/>
                  <w:effect w:val="none"/>
                </w:rPr>
                <w:t>Legal Proceedings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5">
              <w:r>
                <w:rPr>
                  <w:rStyle w:val="InternetLink"/>
                  <w:rFonts w:ascii="Times New Roman;sans-serif" w:hAnsi="Times New Roman;sans-serif"/>
                  <w:b w:val="false"/>
                  <w:color w:val="0000FF"/>
                  <w:sz w:val="19"/>
                  <w:u w:val="single"/>
                </w:rPr>
                <w:t>32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4.</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8">
              <w:r>
                <w:rPr>
                  <w:rStyle w:val="InternetLink"/>
                  <w:rFonts w:ascii="Times New Roman;sans-serif" w:hAnsi="Times New Roman;sans-serif"/>
                  <w:b w:val="false"/>
                  <w:strike w:val="false"/>
                  <w:dstrike w:val="false"/>
                  <w:color w:val="000000"/>
                  <w:sz w:val="19"/>
                  <w:u w:val="none"/>
                  <w:effect w:val="none"/>
                </w:rPr>
                <w:t>Mine Safety Disclosures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8">
              <w:r>
                <w:rPr>
                  <w:rStyle w:val="InternetLink"/>
                  <w:rFonts w:ascii="Times New Roman;sans-serif" w:hAnsi="Times New Roman;sans-serif"/>
                  <w:b w:val="false"/>
                  <w:color w:val="0000FF"/>
                  <w:sz w:val="19"/>
                  <w:u w:val="single"/>
                </w:rPr>
                <w:t>33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31">
              <w:r>
                <w:rPr>
                  <w:rStyle w:val="InternetLink"/>
                  <w:rFonts w:ascii="Times New Roman;sans-serif" w:hAnsi="Times New Roman;sans-serif"/>
                  <w:b/>
                  <w:color w:val="0000FF"/>
                  <w:sz w:val="19"/>
                  <w:u w:val="single"/>
                </w:rPr>
                <w:t>PART II</w:t>
              </w:r>
            </w:hyperlink>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5.</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34">
              <w:r>
                <w:rPr>
                  <w:rStyle w:val="InternetLink"/>
                  <w:rFonts w:ascii="Times New Roman;sans-serif" w:hAnsi="Times New Roman;sans-serif"/>
                  <w:b w:val="false"/>
                  <w:strike w:val="false"/>
                  <w:dstrike w:val="false"/>
                  <w:color w:val="000000"/>
                  <w:sz w:val="19"/>
                  <w:u w:val="none"/>
                  <w:effect w:val="none"/>
                </w:rPr>
                <w:t>Market for Registrant’s Common Equity, Related Stockholder Matters and Issuer Purchases of Equity Securities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34">
              <w:r>
                <w:rPr>
                  <w:rStyle w:val="InternetLink"/>
                  <w:rFonts w:ascii="Times New Roman;sans-serif" w:hAnsi="Times New Roman;sans-serif"/>
                  <w:b w:val="false"/>
                  <w:color w:val="0000FF"/>
                  <w:sz w:val="19"/>
                  <w:u w:val="single"/>
                </w:rPr>
                <w:t>34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6.</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[Reserved]</w:t>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37">
              <w:r>
                <w:rPr>
                  <w:rStyle w:val="InternetLink"/>
                  <w:rFonts w:ascii="Times New Roman;sans-serif" w:hAnsi="Times New Roman;sans-serif"/>
                  <w:b w:val="false"/>
                  <w:color w:val="0000FF"/>
                  <w:sz w:val="19"/>
                  <w:u w:val="single"/>
                </w:rPr>
                <w:t>35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7.</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43">
              <w:r>
                <w:rPr>
                  <w:rStyle w:val="InternetLink"/>
                  <w:rFonts w:ascii="Times New Roman;sans-serif" w:hAnsi="Times New Roman;sans-serif"/>
                  <w:b w:val="false"/>
                  <w:strike w:val="false"/>
                  <w:dstrike w:val="false"/>
                  <w:color w:val="000000"/>
                  <w:sz w:val="19"/>
                  <w:u w:val="none"/>
                  <w:effect w:val="none"/>
                </w:rPr>
                <w:t>Management’s Discussion and Analysis of Financial Condition and Results of Operations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43">
              <w:r>
                <w:rPr>
                  <w:rStyle w:val="InternetLink"/>
                  <w:rFonts w:ascii="Times New Roman;sans-serif" w:hAnsi="Times New Roman;sans-serif"/>
                  <w:b w:val="false"/>
                  <w:color w:val="0000FF"/>
                  <w:sz w:val="19"/>
                  <w:u w:val="single"/>
                </w:rPr>
                <w:t>36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7A.</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79">
              <w:r>
                <w:rPr>
                  <w:rStyle w:val="InternetLink"/>
                  <w:rFonts w:ascii="Times New Roman;sans-serif" w:hAnsi="Times New Roman;sans-serif"/>
                  <w:b w:val="false"/>
                  <w:strike w:val="false"/>
                  <w:dstrike w:val="false"/>
                  <w:color w:val="000000"/>
                  <w:sz w:val="19"/>
                  <w:u w:val="none"/>
                  <w:effect w:val="none"/>
                </w:rPr>
                <w:t>Quantitative and Qualitative Disclosures About Market Risk</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79">
              <w:r>
                <w:rPr>
                  <w:rStyle w:val="InternetLink"/>
                  <w:rFonts w:ascii="Times New Roman;sans-serif" w:hAnsi="Times New Roman;sans-serif"/>
                  <w:b w:val="false"/>
                  <w:color w:val="0000FF"/>
                  <w:sz w:val="19"/>
                  <w:u w:val="single"/>
                </w:rPr>
                <w:t>59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8.</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82">
              <w:r>
                <w:rPr>
                  <w:rStyle w:val="InternetLink"/>
                  <w:rFonts w:ascii="Times New Roman;sans-serif" w:hAnsi="Times New Roman;sans-serif"/>
                  <w:b w:val="false"/>
                  <w:strike w:val="false"/>
                  <w:dstrike w:val="false"/>
                  <w:color w:val="000000"/>
                  <w:sz w:val="19"/>
                  <w:u w:val="none"/>
                  <w:effect w:val="none"/>
                </w:rPr>
                <w:t>Financial Statements and Supplementary Data</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82">
              <w:r>
                <w:rPr>
                  <w:rStyle w:val="InternetLink"/>
                  <w:rFonts w:ascii="Times New Roman;sans-serif" w:hAnsi="Times New Roman;sans-serif"/>
                  <w:b w:val="false"/>
                  <w:color w:val="0000FF"/>
                  <w:sz w:val="19"/>
                  <w:u w:val="single"/>
                </w:rPr>
                <w:t>61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9.</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78">
              <w:r>
                <w:rPr>
                  <w:rStyle w:val="InternetLink"/>
                  <w:rFonts w:ascii="Times New Roman;sans-serif" w:hAnsi="Times New Roman;sans-serif"/>
                  <w:b w:val="false"/>
                  <w:strike w:val="false"/>
                  <w:dstrike w:val="false"/>
                  <w:color w:val="000000"/>
                  <w:sz w:val="19"/>
                  <w:u w:val="none"/>
                  <w:effect w:val="none"/>
                </w:rPr>
                <w:t>Changes in and Disagreements with Accountants on Accounting and Financial Disclosure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78">
              <w:r>
                <w:rPr>
                  <w:rStyle w:val="InternetLink"/>
                  <w:rFonts w:ascii="Times New Roman;sans-serif" w:hAnsi="Times New Roman;sans-serif"/>
                  <w:b w:val="false"/>
                  <w:color w:val="0000FF"/>
                  <w:sz w:val="19"/>
                  <w:u w:val="single"/>
                </w:rPr>
                <w:t>110</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9A.</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81">
              <w:r>
                <w:rPr>
                  <w:rStyle w:val="InternetLink"/>
                  <w:rFonts w:ascii="Times New Roman;sans-serif" w:hAnsi="Times New Roman;sans-serif"/>
                  <w:b w:val="false"/>
                  <w:strike w:val="false"/>
                  <w:dstrike w:val="false"/>
                  <w:color w:val="000000"/>
                  <w:sz w:val="19"/>
                  <w:u w:val="none"/>
                  <w:effect w:val="none"/>
                </w:rPr>
                <w:t>Controls and Procedures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81">
              <w:r>
                <w:rPr>
                  <w:rStyle w:val="InternetLink"/>
                  <w:rFonts w:ascii="Times New Roman;sans-serif" w:hAnsi="Times New Roman;sans-serif"/>
                  <w:b w:val="false"/>
                  <w:color w:val="0000FF"/>
                  <w:sz w:val="19"/>
                  <w:u w:val="single"/>
                </w:rPr>
                <w:t>110</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9B.</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84">
              <w:r>
                <w:rPr>
                  <w:rStyle w:val="InternetLink"/>
                  <w:rFonts w:ascii="Times New Roman;sans-serif" w:hAnsi="Times New Roman;sans-serif"/>
                  <w:b w:val="false"/>
                  <w:strike w:val="false"/>
                  <w:dstrike w:val="false"/>
                  <w:color w:val="000000"/>
                  <w:sz w:val="19"/>
                  <w:u w:val="none"/>
                  <w:effect w:val="none"/>
                </w:rPr>
                <w:t>Other Information</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84">
              <w:r>
                <w:rPr>
                  <w:rStyle w:val="InternetLink"/>
                  <w:rFonts w:ascii="Times New Roman;sans-serif" w:hAnsi="Times New Roman;sans-serif"/>
                  <w:b w:val="false"/>
                  <w:color w:val="0000FF"/>
                  <w:sz w:val="19"/>
                  <w:u w:val="single"/>
                </w:rPr>
                <w:t>111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9C.</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Disclosure Regarding Foreign Jurisdictions that Prevent Inspections</w:t>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099511629844">
              <w:r>
                <w:rPr>
                  <w:rStyle w:val="InternetLink"/>
                  <w:rFonts w:ascii="Times New Roman;sans-serif" w:hAnsi="Times New Roman;sans-serif"/>
                  <w:b w:val="false"/>
                  <w:color w:val="0000FF"/>
                  <w:sz w:val="19"/>
                  <w:u w:val="single"/>
                </w:rPr>
                <w:t>111</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87">
              <w:r>
                <w:rPr>
                  <w:rStyle w:val="InternetLink"/>
                  <w:rFonts w:ascii="Times New Roman;sans-serif" w:hAnsi="Times New Roman;sans-serif"/>
                  <w:b/>
                  <w:color w:val="0000FF"/>
                  <w:sz w:val="19"/>
                  <w:u w:val="single"/>
                </w:rPr>
                <w:t>PART III</w:t>
              </w:r>
            </w:hyperlink>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10.</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90">
              <w:r>
                <w:rPr>
                  <w:rStyle w:val="InternetLink"/>
                  <w:rFonts w:ascii="Times New Roman;sans-serif" w:hAnsi="Times New Roman;sans-serif"/>
                  <w:b w:val="false"/>
                  <w:strike w:val="false"/>
                  <w:dstrike w:val="false"/>
                  <w:color w:val="000000"/>
                  <w:sz w:val="19"/>
                  <w:u w:val="none"/>
                  <w:effect w:val="none"/>
                </w:rPr>
                <w:t>Directors, Executive Officers and Corporate Governance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90">
              <w:r>
                <w:rPr>
                  <w:rStyle w:val="InternetLink"/>
                  <w:rFonts w:ascii="Times New Roman;sans-serif" w:hAnsi="Times New Roman;sans-serif"/>
                  <w:b w:val="false"/>
                  <w:color w:val="0000FF"/>
                  <w:sz w:val="19"/>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11.</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93">
              <w:r>
                <w:rPr>
                  <w:rStyle w:val="InternetLink"/>
                  <w:rFonts w:ascii="Times New Roman;sans-serif" w:hAnsi="Times New Roman;sans-serif"/>
                  <w:b w:val="false"/>
                  <w:strike w:val="false"/>
                  <w:dstrike w:val="false"/>
                  <w:color w:val="000000"/>
                  <w:sz w:val="19"/>
                  <w:u w:val="none"/>
                  <w:effect w:val="none"/>
                </w:rPr>
                <w:t>Executive Compensation</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93">
              <w:r>
                <w:rPr>
                  <w:rStyle w:val="InternetLink"/>
                  <w:rFonts w:ascii="Times New Roman;sans-serif" w:hAnsi="Times New Roman;sans-serif"/>
                  <w:b w:val="false"/>
                  <w:color w:val="0000FF"/>
                  <w:sz w:val="19"/>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12.</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96">
              <w:r>
                <w:rPr>
                  <w:rStyle w:val="InternetLink"/>
                  <w:rFonts w:ascii="Times New Roman;sans-serif" w:hAnsi="Times New Roman;sans-serif"/>
                  <w:b w:val="false"/>
                  <w:strike w:val="false"/>
                  <w:dstrike w:val="false"/>
                  <w:color w:val="000000"/>
                  <w:sz w:val="19"/>
                  <w:u w:val="none"/>
                  <w:effect w:val="none"/>
                </w:rPr>
                <w:t>Security Ownership of Certain Beneficial Owners and Management and Related Stockholder Matters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96">
              <w:r>
                <w:rPr>
                  <w:rStyle w:val="InternetLink"/>
                  <w:rFonts w:ascii="Times New Roman;sans-serif" w:hAnsi="Times New Roman;sans-serif"/>
                  <w:b w:val="false"/>
                  <w:color w:val="0000FF"/>
                  <w:sz w:val="19"/>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13.</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99">
              <w:r>
                <w:rPr>
                  <w:rStyle w:val="InternetLink"/>
                  <w:rFonts w:ascii="Times New Roman;sans-serif" w:hAnsi="Times New Roman;sans-serif"/>
                  <w:b w:val="false"/>
                  <w:strike w:val="false"/>
                  <w:dstrike w:val="false"/>
                  <w:color w:val="000080"/>
                  <w:sz w:val="19"/>
                  <w:u w:val="single"/>
                  <w:effect w:val="none"/>
                </w:rPr>
                <w:t>Certain Relationships and Related Transactions</w:t>
              </w:r>
            </w:hyperlink>
            <w:hyperlink w:anchor="ia741dac77d4a44c98e59804b33ecc307_199">
              <w:r>
                <w:rPr>
                  <w:rStyle w:val="InternetLink"/>
                  <w:rFonts w:ascii="Times New Roman;sans-serif" w:hAnsi="Times New Roman;sans-serif"/>
                  <w:b w:val="false"/>
                  <w:strike w:val="false"/>
                  <w:dstrike w:val="false"/>
                  <w:color w:val="000080"/>
                  <w:sz w:val="19"/>
                  <w:u w:val="single"/>
                  <w:effect w:val="none"/>
                </w:rPr>
                <w:t xml:space="preserve"> and Director Independence</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199">
              <w:r>
                <w:rPr>
                  <w:rStyle w:val="InternetLink"/>
                  <w:rFonts w:ascii="Times New Roman;sans-serif" w:hAnsi="Times New Roman;sans-serif"/>
                  <w:b w:val="false"/>
                  <w:color w:val="0000FF"/>
                  <w:sz w:val="19"/>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14.</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02">
              <w:r>
                <w:rPr>
                  <w:rStyle w:val="InternetLink"/>
                  <w:rFonts w:ascii="Times New Roman;sans-serif" w:hAnsi="Times New Roman;sans-serif"/>
                  <w:b w:val="false"/>
                  <w:strike w:val="false"/>
                  <w:dstrike w:val="false"/>
                  <w:color w:val="000000"/>
                  <w:sz w:val="19"/>
                  <w:u w:val="none"/>
                  <w:effect w:val="none"/>
                </w:rPr>
                <w:t>Principal Accountant Fees and Services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02">
              <w:r>
                <w:rPr>
                  <w:rStyle w:val="InternetLink"/>
                  <w:rFonts w:ascii="Times New Roman;sans-serif" w:hAnsi="Times New Roman;sans-serif"/>
                  <w:b w:val="false"/>
                  <w:color w:val="0000FF"/>
                  <w:sz w:val="19"/>
                  <w:u w:val="singl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05">
              <w:r>
                <w:rPr>
                  <w:rStyle w:val="InternetLink"/>
                  <w:rFonts w:ascii="Times New Roman;sans-serif" w:hAnsi="Times New Roman;sans-serif"/>
                  <w:b/>
                  <w:color w:val="0000FF"/>
                  <w:sz w:val="19"/>
                  <w:u w:val="single"/>
                </w:rPr>
                <w:t>PART IV</w:t>
              </w:r>
            </w:hyperlink>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15.</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08">
              <w:r>
                <w:rPr>
                  <w:rStyle w:val="InternetLink"/>
                  <w:rFonts w:ascii="Times New Roman;sans-serif" w:hAnsi="Times New Roman;sans-serif"/>
                  <w:b w:val="false"/>
                  <w:strike w:val="false"/>
                  <w:dstrike w:val="false"/>
                  <w:color w:val="000000"/>
                  <w:sz w:val="19"/>
                  <w:u w:val="none"/>
                  <w:effect w:val="none"/>
                </w:rPr>
                <w:t>Exhibits and Financial Statement Schedules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08">
              <w:r>
                <w:rPr>
                  <w:rStyle w:val="InternetLink"/>
                  <w:rFonts w:ascii="Times New Roman;sans-serif" w:hAnsi="Times New Roman;sans-serif"/>
                  <w:b w:val="false"/>
                  <w:color w:val="0000FF"/>
                  <w:sz w:val="19"/>
                  <w:u w:val="single"/>
                </w:rPr>
                <w:t>113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16.</w:t>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Form 10-K Summary</w:t>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11">
              <w:r>
                <w:rPr>
                  <w:rStyle w:val="InternetLink"/>
                  <w:rFonts w:ascii="Times New Roman;sans-serif" w:hAnsi="Times New Roman;sans-serif"/>
                  <w:b w:val="false"/>
                  <w:color w:val="0000FF"/>
                  <w:sz w:val="19"/>
                  <w:u w:val="single"/>
                </w:rPr>
                <w:t>117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214">
              <w:r>
                <w:rPr>
                  <w:rStyle w:val="InternetLink"/>
                  <w:rFonts w:ascii="Times New Roman;sans-serif" w:hAnsi="Times New Roman;sans-serif"/>
                  <w:b w:val="false"/>
                  <w:strike w:val="false"/>
                  <w:dstrike w:val="false"/>
                  <w:color w:val="000000"/>
                  <w:sz w:val="19"/>
                  <w:u w:val="none"/>
                  <w:effect w:val="none"/>
                </w:rPr>
                <w:t>Signatures</w:t>
              </w:r>
            </w:hyperlink>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41dac77d4a44c98e59804b33ecc307_214">
              <w:r>
                <w:rPr>
                  <w:rStyle w:val="InternetLink"/>
                  <w:rFonts w:ascii="Times New Roman;sans-serif" w:hAnsi="Times New Roman;sans-serif"/>
                  <w:b w:val="false"/>
                  <w:color w:val="0000FF"/>
                  <w:sz w:val="19"/>
                  <w:u w:val="single"/>
                </w:rPr>
                <w:t>118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all references in this Form 10-K to Republic, the Company, we, us and our refer to Republic Services, Inc. and its consolidated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1.BUSINESS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Republic is one of the largest providers of environmental services in the United States, as measured by revenue. We operate across the United States and Canada through 367 collection operations, 248 transfer stations, 75 recycling centers, 208 active landfills, 2 treatment, recovery and disposal facilities, 23 treatment, storage and disposal facilities (TSDF), 5 salt water disposal wells, 14 deep injection wells, and 1 polymer center. We are engaged in 79 landfill gas-to-energy and other renewable energy projects and had post-closure responsibility for 125 closed landfills.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total addressable North American environmental services market in which we operate generates approximately $165 billion of annual revenue, which includes the $105 billion United States and Canada recycling and waste industry, $35 billion of the broader environmental solutions industry, and $25 billion in sustainability innovation (described below) and emerging waste and recycling technologies. Within our recycling and waste business, we prioritize investments in market verticals with above average growth rates and higher return profiles. Environmental solutions remains fragmented, which provides consolidation opportunities to drive scale. We believe customer demand for products and services that respond to evolving environmental trends, including decarbonization and circularity, should support above average growth rates and attractive returns in our sustainability innovation businesses. We believe we can further expand our addressable market into other segments of the environmental services industry over time by leveraging our differentiated capabilities, including (1) customer zeal, (2) digital and (3) sustainability.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throughout North America, but the physical collection and recycling or disposal of material is very much a local business, and the dynamics and opportunities differ in each of the markets we serve. By combining local operating management with standardized business practices, we drive greater overall operating efficiency across the Company while maintaining day-to-day operating decisions at the local level, closest to the customer.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purpose-driven vision is to partner with customers to create a more sustainable world. We believe that our products and services are valuable to our customers and essential for long-term sustainability.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further believe our focus on and commitment to sustainability allows us to attract and retain the best talent, win more customers, increase customer loyalty and, ultimately, drive higher revenue and profits.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Foundational Elements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is designed to generate profitable growth by sustainably managing our customers’ needs, and it is underpinned by three foundational elements – (1) our market position, (2) our operating model and (3) our people and talent agenda.</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Market Position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goal is to develop the best vertically integrated market position to enable us to build density and improve returns. We strive to have a leading market position in each of the markets we serve, or have a clear path toward how we will achieve a leading market position over time. In situations where we cannot establish a leading market position, or where operations are not generating acceptable returns, we may decide to divest certain assets and reallocate resources to other markets.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robust market planning process to identify opportunities to grow internally through capital investments and infrastructure development and externally through acquisitions and public-private partnerships. Additionally, our market planning process allows us to analyze market conditions and proactively adjust to trends as they emerge, including the effects of legislation, demographic shifts and changes in the market and the competitive landscape.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Internal Growth</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Volume Growth</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We believe volumes are driven by population growth, household formation and new business formation. Volume growth through increases in our customer base and service offerings is the most capital efficient method to grow our business. We seek to obtain long-term contracts for collecting recyclable, solid waste and industrial waste material under residential collection contracts with municipalities, exclusive franchise agreements, small-container and large-container contracts and environmental solutions service contracts. We also look to enter into long-term disposal and recycling contracts with municipalities and other third parties. By obtaining such long-term agreements, we can grow our contracted revenue base at a rate consistent with the underlying economic growth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markets. In addition, by securing long-term agreements, we are better able to help ensure we earn an appropriate return on the capital deployed.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Price Increases</w:t>
      </w:r>
      <w:r>
        <w:rPr>
          <w:color w:val="000000"/>
        </w:rPr>
        <w:t xml:space="preserve"> </w:t>
      </w:r>
      <w:r>
        <w:rPr>
          <w:rFonts w:ascii="Times New Roman;sans-serif" w:hAnsi="Times New Roman;sans-serif"/>
          <w:b w:val="false"/>
          <w:i/>
          <w:color w:val="000000"/>
          <w:sz w:val="20"/>
        </w:rPr>
        <w:t>- </w:t>
      </w:r>
      <w:r>
        <w:rPr>
          <w:rFonts w:ascii="Times New Roman;sans-serif" w:hAnsi="Times New Roman;sans-serif"/>
          <w:b w:val="false"/>
          <w:color w:val="000000"/>
          <w:sz w:val="20"/>
        </w:rPr>
        <w:t xml:space="preserve">We seek to secure price increases necessary to offset increased costs, improve our operating margins and earn an appropriate return on our substantial investments in vehicles, equipment, recycling centers, transfer stations, TSDFs, deep well injection facilities, landfills, and other post-collection infrastructure.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Expansion of Recycling Capabilities</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Based on the most recent United States Environmental Protection Agency (EPA) data, approximately 32% of municipal solid waste is recycled and/or composted. We expect that percentage to increase over the long-term as communities enhance and expand their recycling programs for their residents. As a key player in the circular economy, we are strategically focused on expanding recycling volume through innovative material handling processes and programs to help our customers achieve their goals related to sustainability and environmentally sound waste practices while also generating an appropriate return. In 2024, we commenced operation at our first Polymer Center in Las Vegas, Nevada, and completed construction at our Polymer Center in Indianapolis, Indiana. Our Polymer Centers are part of a vertical integration that will advance circularity for plastics and help us manage the plastics stream from curbside collection to delivery of recycled content for consumer packaging. Our Polymer Centers will enable us to produce food-grade drop-in substitutes for virgin plastics, while allowing us to expand recycling of plastics across North America. In 2023, we announced the development of Blue Polymers, a joint-venture with Ravago JV Holdings, LLC, creating vertical integration that will further advance circularity by acquiring all olefins produced by the Polymer Centers to further process and manufacture custom blended pellets for food-grade and non-food-grade packaging. Blue Polymers production facilities are currently being constructed in Indianapolis, Indiana, and Buckeye, Arizona. We will continue to look for opportunities to expand or enhance our recycling capabilities in markets where customers are demanding these services, demonstrating a willingness to pay and where we can earn an appropriate return on our investment.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Infrastructure Development - We seek to identify opportunities to further our position as a vertically integrated service provider in markets where we are not fully integrated. Our goal is to create market-specific, vertically integrated operations typically consisting of one or more collection operations, recycling centers, transfer stations, TSDFs, deep well injection facilities, and landfills. Where appropriate, we seek to obtain permits to build recycling centers, transfer stations, TSDFs, deep well injection facilities, and landfills that would vertically integrate our waste services or expand the service areas for our existing disposal sites. Additionally, we seek opportunities to expand and permit new airspace at our existing landfills in order to replace airspace consumed. Development projects, while generally less capital intensive than acquisitions, typically require extensive permitting efforts that can take years to complete with no assurance of success. We undertake development projects when we believe there is a reasonable probability of success and where reasonably priced acquisition opportunities are not available. Through landfill and fleet innovation, recycling and circularity of key materials and renewable energy production, we are committed to continuous development of environmentally responsible operations that increase our efficiency as well as our ability to partner with customers to create a more sustainable world.</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External Growth - Acquisitions and Public-Private Partnerships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acquisition growth strategy focuses primarily on acquiring privately held environmental services businesses that complement our existing business platform. We believe our ability to successfully complete these acquisitions is enhanced by the challenges facing many privately-held companies, including increasing competition in the environmental services industry, increasing capital requirements due to changes in regulatory requirements and technology and the limited number of exit strategies for privately-held companies. We also evaluate stand-alone opportunities to acquire businesses and/or facilities that are being divested by other publicly-owned companies.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invest in value-enhancing acquisitions in existing markets. Given our free cash flow, availability under our credit facilities and our ability to access the public capital markets, we have the financial flexibility to make additional acquisitions that will complement our existing business platform, including larger acquisitions if the right opportunities present themselves.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focus on growth through public-private partnerships, which include the recycling and waste operations and facilities of municipal and other local governments. We believe over time we have an opportunity to acquire operations and facilities from municipalities and other local governments as they seek to raise capital and/or reduce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realize synergies from consolidating businesses into our existing operations, whether through acquisitions or public-private partnerships, which allows us to reduce capital expenditures and expenses associated with truck routing, personnel, fleet maintenance, inventories and back-office administration.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Model</w:t>
      </w:r>
    </w:p>
    <w:p>
      <w:pPr>
        <w:pStyle w:val="TextBody"/>
        <w:bidi w:val="0"/>
        <w:spacing w:lineRule="auto" w:line="288" w:before="100" w:after="283"/>
        <w:jc w:val="left"/>
        <w:rPr/>
      </w:pPr>
      <w:r>
        <w:rPr>
          <w:rFonts w:ascii="Times New Roman;sans-serif" w:hAnsi="Times New Roman;sans-serif"/>
          <w:b w:val="false"/>
          <w:color w:val="000000"/>
          <w:sz w:val="20"/>
        </w:rPr>
        <w:t xml:space="preserve">Our operating model allows us to deliver a consistent, high-quality service to all our customers through the Republic Way: </w:t>
      </w:r>
      <w:r>
        <w:rPr>
          <w:rFonts w:ascii="Times New Roman;sans-serif" w:hAnsi="Times New Roman;sans-serif"/>
          <w:b w:val="false"/>
          <w:i/>
          <w:color w:val="000000"/>
          <w:sz w:val="20"/>
        </w:rPr>
        <w:t>One Way. Everywhere. Every Day</w:t>
      </w:r>
      <w:r>
        <w:rPr>
          <w:rFonts w:ascii="Times New Roman;sans-serif" w:hAnsi="Times New Roman;sans-serif"/>
          <w:b w:val="false"/>
          <w:color w:val="000000"/>
          <w:sz w:val="20"/>
        </w:rPr>
        <w:t>. This approach of developing standardized processes with rigorous controls and tracking allows us to leverage our scale and deliver durable operational excellence. The Republic Way is the key to harnessing the best of what we do as operators and translating that across all facets of our business. Key elements of our operating model are our organizational structure, safety, fleet automation, fleet electrification and standardized maintenance.</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Organizational Structure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key enabler of the Republic Way operating model is our organizational structure that fosters a high performance culture by maintaining 360-degree accountability and full profit and loss responsibility with local management, supported by a functional structure to provide subject matter expertise. This structure allows us to take advantage of our scale by coordinating functionally across all of our markets, while empowering local management to respond to unique market dynamics.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 this operating model, we have rolled out several productivity and cost control initiatives designed to deliver the best service possible to our customers in an efficient and environmentally sound way.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each provide integrated environmental services, including but not limited to collection, transfer, recycling and disposal.</w:t>
      </w:r>
    </w:p>
    <w:p>
      <w:pPr>
        <w:pStyle w:val="TextBody"/>
        <w:bidi w:val="0"/>
        <w:spacing w:lineRule="auto" w:line="288" w:before="100" w:after="283"/>
        <w:jc w:val="left"/>
        <w:rPr/>
      </w:pPr>
      <w:r>
        <w:rPr>
          <w:rFonts w:ascii="Times New Roman;sans-serif" w:hAnsi="Times New Roman;sans-serif"/>
          <w:b w:val="false"/>
          <w:i/>
          <w:color w:val="000000"/>
          <w:sz w:val="20"/>
        </w:rPr>
        <w:t>Safety</w:t>
      </w:r>
      <w:r>
        <w:rPr>
          <w:color w:val="000000"/>
        </w:rPr>
        <w:t xml:space="preserve"> </w:t>
      </w:r>
    </w:p>
    <w:p>
      <w:pPr>
        <w:pStyle w:val="TextBody"/>
        <w:bidi w:val="0"/>
        <w:spacing w:lineRule="auto" w:line="288" w:before="100" w:after="283"/>
        <w:jc w:val="left"/>
        <w:rPr/>
      </w:pPr>
      <w:r>
        <w:rPr>
          <w:rFonts w:ascii="Times New Roman;sans-serif" w:hAnsi="Times New Roman;sans-serif"/>
          <w:b w:val="false"/>
          <w:color w:val="000000"/>
          <w:sz w:val="20"/>
        </w:rPr>
        <w:t xml:space="preserve">Republic is dedicated to the safety of our employees, customers and the communities we serve. We have a dedicated team of safety professionals at our corporate headquarters and in our field operations, led by our Vice President of Environmental Health and Safety who reports directly to our Chief Operating Officer. Due to the nature of our industry, we make safety a top priority and we recognize and reward employees for outstanding safety records. Over the past 10 years, our safety performance (based on OSHA recordable rates) has been 24% better than the industry average. Our </w:t>
      </w:r>
      <w:r>
        <w:rPr>
          <w:rFonts w:ascii="Times New Roman;sans-serif" w:hAnsi="Times New Roman;sans-serif"/>
          <w:b w:val="false"/>
          <w:i/>
          <w:color w:val="000000"/>
          <w:sz w:val="20"/>
        </w:rPr>
        <w:t>Think, Choose, Live</w:t>
      </w:r>
      <w:r>
        <w:rPr>
          <w:color w:val="000000"/>
        </w:rPr>
        <w:t xml:space="preserve"> </w:t>
      </w:r>
      <w:r>
        <w:rPr>
          <w:rFonts w:ascii="Times New Roman;sans-serif" w:hAnsi="Times New Roman;sans-serif"/>
          <w:b w:val="false"/>
          <w:color w:val="000000"/>
          <w:sz w:val="20"/>
        </w:rPr>
        <w:t xml:space="preserve">slogan encapsulates our everyday safety messaging to our employees to: </w:t>
      </w:r>
      <w:r>
        <w:rPr>
          <w:rFonts w:ascii="Times New Roman;sans-serif" w:hAnsi="Times New Roman;sans-serif"/>
          <w:b w:val="false"/>
          <w:i/>
          <w:color w:val="000000"/>
          <w:sz w:val="20"/>
        </w:rPr>
        <w:t>Think</w:t>
      </w:r>
      <w:r>
        <w:rPr>
          <w:color w:val="000000"/>
        </w:rPr>
        <w:t xml:space="preserve"> </w:t>
      </w:r>
      <w:r>
        <w:rPr>
          <w:rFonts w:ascii="Times New Roman;sans-serif" w:hAnsi="Times New Roman;sans-serif"/>
          <w:b w:val="false"/>
          <w:color w:val="000000"/>
          <w:sz w:val="20"/>
        </w:rPr>
        <w:t xml:space="preserve">about what you are doing, </w:t>
      </w:r>
      <w:r>
        <w:rPr>
          <w:rFonts w:ascii="Times New Roman;sans-serif" w:hAnsi="Times New Roman;sans-serif"/>
          <w:b w:val="false"/>
          <w:i/>
          <w:color w:val="000000"/>
          <w:sz w:val="20"/>
        </w:rPr>
        <w:t>Choose</w:t>
      </w:r>
      <w:r>
        <w:rPr>
          <w:color w:val="000000"/>
        </w:rPr>
        <w:t xml:space="preserve"> </w:t>
      </w:r>
      <w:r>
        <w:rPr>
          <w:rFonts w:ascii="Times New Roman;sans-serif" w:hAnsi="Times New Roman;sans-serif"/>
          <w:b w:val="false"/>
          <w:color w:val="000000"/>
          <w:sz w:val="20"/>
        </w:rPr>
        <w:t xml:space="preserve">the safe answer and </w:t>
      </w:r>
      <w:r>
        <w:rPr>
          <w:rFonts w:ascii="Times New Roman;sans-serif" w:hAnsi="Times New Roman;sans-serif"/>
          <w:b w:val="false"/>
          <w:i/>
          <w:color w:val="000000"/>
          <w:sz w:val="20"/>
        </w:rPr>
        <w:t>Live</w:t>
      </w:r>
      <w:r>
        <w:rPr>
          <w:color w:val="000000"/>
        </w:rPr>
        <w:t xml:space="preserve"> </w:t>
      </w:r>
      <w:r>
        <w:rPr>
          <w:rFonts w:ascii="Times New Roman;sans-serif" w:hAnsi="Times New Roman;sans-serif"/>
          <w:b w:val="false"/>
          <w:color w:val="000000"/>
          <w:sz w:val="20"/>
        </w:rPr>
        <w:t>to go home to your family. With the phrase printed on numerous items, including hard hats and the equipment our employees use, there are constant reminders for employees to go home in the same condition in which they came to work. Our goal is to ensure every one of our employees returns home safely each night.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Safety Amplified program, we are providing more tools and driving greater awareness to help our teams better execute our safety standards. Regular training, multifaceted programs and strategic partnerships are key components to this program. It is simple by design and comprised of actions and activities that ensure safety is embedded in all we do. The program includes six initiatives to help us achieve our goal to have zero employee fatalities and reduce our OSHA Total Recordable Incident Rate.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Focus Together: This effort is the very core of our safety program and is designed to help frontline employees eliminate the six most common types of serious incidents.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Lead Together: We provide best-in-class communication channels and advanced training techniques for all frontline supervisors and managers to help them guide their teams.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Partner Together: Staying safe requires involvement by employees at all levels. We’ve increased leadership visits with frontline employees and supervisors to support each divisions’ safety goals.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Celebrate Together: We take pride in recognizing employees who demonstrate a relentless commitment to safety. Employees with the best driving records are eligible for the industry’s most prestigious award, the National Waste &amp; Recycling Association’s Driver of the Year. Republic drivers have won 69% of the Driver of the Year awards issued for the large truck category since 2009. In addition, our best drivers are recognized and rewarded with competing in our National Road-EO competition.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Analyze Together: We analyze real-time data to make short- and long-term decisions and identify opportunities for improvement. Examples include analysis of roadway awareness training, data mapping and other employee protection and preparedness insights.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Innovate Together: We employ the latest technologies in our fleet, including automation, rear cameras, in-cab backup alarms and event recording systems, and we take a data-driven approach to support our employees. We also work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manufacturers to incorporate safety elements such as seat belt alarms, blind spot awareness, lane departure alarms and other potentially lifesaving equipment in our fleet.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Safety Amplified program provides additional benefits for our Company and stakeholders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further strengthening relationships within the communities we service;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enhancing customer trust;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streamlining operational processes and increasing productivity;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delivering a reputational advantage, including positioning our Company as an employer-of-choice;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building and sustaining a safety culture in all areas of our business;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contributing to employee engagement.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regarding our safety performance, refer to our Sustainability Accounting Standards Board (SASB) report, which can be found at republicservices.com/sustainability. The information contained on our website shall not be deemed incorporated by reference in this Annual Report on Form 10-K or in any other filing we make under the Securities Exchange Act of 1934, as amended (Exchange Act).</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Fleet Automation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77% of our residential routes have been converted to automated single-driver trucks. By converting our residential routes to automated service, we reduce labor costs, improve driver productivity, decrease emissions and create a safer work environment for our employees. Additionally, communities using automated vehicles generally have higher participation rates in recycling programs, thereby complementing our initiative to expand our recycling capabilities.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Fleet Electrification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are taking a leadership position in electric technology innovation for our recycling and waste collection fleet. This is a critical step toward reducing our environmental impact through lower fleet emissions. We believe it will also improve our total cost of ownership while providing a competitive advantage in certain communities. We are partnering with multiple manufacturers to pilot electric-powered recycling and waste trucks. As electric vehicle technology continues to develop, we expect to further deploy electrification to our fleet. As of December 31, 2024, we operated 52 electric collection vehicles and had 22 commercial scale electric charging facilities.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Standardized Maintenance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an industry trade publication, we operate the third largest vocational fleet in the United States. As of December 31, 2024, our average fleet age for recycling and waste collection vehicles in years, by line of business, was as follows:</w:t>
      </w:r>
    </w:p>
    <w:tbl>
      <w:tblPr>
        <w:tblW w:w="7193" w:type="dxa"/>
        <w:jc w:val="left"/>
        <w:tblInd w:w="0" w:type="dxa"/>
        <w:tblLayout w:type="fixed"/>
        <w:tblCellMar>
          <w:top w:w="28" w:type="dxa"/>
          <w:left w:w="28" w:type="dxa"/>
          <w:bottom w:w="28" w:type="dxa"/>
          <w:right w:w="28" w:type="dxa"/>
        </w:tblCellMar>
      </w:tblPr>
      <w:tblGrid>
        <w:gridCol w:w="511"/>
        <w:gridCol w:w="448"/>
        <w:gridCol w:w="452"/>
        <w:gridCol w:w="109"/>
        <w:gridCol w:w="109"/>
        <w:gridCol w:w="109"/>
        <w:gridCol w:w="939"/>
        <w:gridCol w:w="939"/>
        <w:gridCol w:w="941"/>
        <w:gridCol w:w="109"/>
        <w:gridCol w:w="109"/>
        <w:gridCol w:w="109"/>
        <w:gridCol w:w="676"/>
        <w:gridCol w:w="676"/>
        <w:gridCol w:w="957"/>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Approximate Number of 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Approximate Average Age</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Small-container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Large-container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17,600 </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OneFleet, our standardized vehicle maintenance program, enables us to use best practices for fleet management, truck care and maintenance. Through standardization of core functions, we believe we can minimize variability in our maintenance processes, resulting in higher vehicle quality and a lower environmental footprint while extending the average service life of our fleet. Additionally, our focus on preventative maintenance is improving the reliability of our fleet and enabling us to provide superior service to our customers, differentiating us from our competition.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People and Talent Agenda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Being human-centered is at the core of our robust people and talent agenda. We strive to maintain an environment that attracts and retains the best talent. Our approximately 42,000 full-time employees are a critical component in successfully executing our strategy and running our operations. We work hard to remain a company where the best people, with exceptional talents and diverse backgrounds, can thrive and foster a culture of caring where people feel respected, supported and encouraged to bring their best selves to work every day.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dedicated to driving our people and talent agenda, which includes (1) representing the diversity of the communities we serve and sustaining a safe and inclusive culture, (2) maintaining a highly engaged workforce, (3) developing our talent through learning and development experiences and (4) offering rewards that attract and retain the best workforce. We review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 metrics such as engagement and turnover and regularly report on these metrics to our Board of Directors. This level of reporting holds all of our leaders accountable for the continued growth and development of our people.</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Inclusion and Diversity</w:t>
      </w:r>
    </w:p>
    <w:p>
      <w:pPr>
        <w:pStyle w:val="TextBody"/>
        <w:bidi w:val="0"/>
        <w:spacing w:lineRule="auto" w:line="288" w:before="100" w:after="283"/>
        <w:jc w:val="left"/>
        <w:rPr/>
      </w:pPr>
      <w:r>
        <w:rPr>
          <w:rFonts w:ascii="Times New Roman;sans-serif" w:hAnsi="Times New Roman;sans-serif"/>
          <w:b w:val="false"/>
          <w:color w:val="000000"/>
          <w:sz w:val="20"/>
        </w:rPr>
        <w:t>We believe the composite strength of our employees’ ideas, built on their unique experiences and backgrounds, is essential to our ability to meet and anticipate our customers’ needs.</w:t>
      </w:r>
      <w:r>
        <w:rPr>
          <w:color w:val="000000"/>
        </w:rPr>
        <w:t xml:space="preserve"> </w:t>
      </w:r>
      <w:r>
        <w:rPr>
          <w:rFonts w:ascii="Times New Roman;sans-serif" w:hAnsi="Times New Roman;sans-serif"/>
          <w:b w:val="false"/>
          <w:color w:val="000000"/>
          <w:sz w:val="20"/>
        </w:rPr>
        <w:t>We are proud of the diversity of our frontline workforce, as it closely represents the demographics of the communities we serve. We continue to improve representation of diverse groups across all levels of the Company. Our commitment to inclusion and diversity starts at the top of our organization, as outlined in our Mission of Supporting an Inclusive Culture (MOSAIC), established in 2013 and supported by the MOSAIC Council. The MOSAIC Council consists of leaders from across the Company who serve as ambassadors and thought partners for inclusion and diversity. This enables us to continue to develop new strategies and activities that are tied to the needs of our employees, customers and business with the goal of creating an even more inclusive work environment and diverse workforce.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support inclusion and connectivity for our diverse populations through our Business Resource Groups (BRG) and focus on the involvement of our field locations in all of our BRGs, including Women of Republic, VALOR (Veterans, Advocacy, Learning, Outreach and Recruiting), UNIDOS, the Black Employee Network and PRISM in support of the LGBTQ+ community. In May 2024, we launched a new BRG called AAPI in support of the Asian American and Pacific Islander community.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Employee Engagement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an engaged workforce is a key element of our success as engaged employees deliver better customer service and are more productive. We measure employee engagement through a third-party survey, assessing employee sentiment on a variety of topics such as pride for the Company, job satisfaction and intention to stay. Our data reinforces that business units with a highly engaged workforce experience less turnover. We also found that employees whose leaders are highly inclusive are more likely to speak up and share their perspective. Regularly hearing from our employees allows us to understand how to support and strengthen an exceptional employee experience. Our goal is to achieve and maintain employee engagement scores at or above 88 by 2030. Our employee engagement score was 86 in 2024, which is above a national benchmark by seven points. Approximately 99% of our employees participated in the engagement survey process in March and September 2024, which represented an all-time high participation rate and is 24% higher than the national benchmark. Employee engagement is a core part of our business strategy, which is why we compensate our General Managers, in part, on their employee engagement scores. This reinforces our commitment for leaders to listen and take action on employee feedback and helps to ensure that our leaders are held accountable and rewarded for their efforts to drive a more engaged workforce.</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Talent Development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providing our employees with opportunities to develop throughout their careers. Our programs, including new hire onboarding and new leader assimilation, reinforce our Company values, expectations and business approach. We relaunched our successful Leadership Fundamentals program in 2022, targeting field leaders. With a goal of reaching all leaders through this program, approximately 1,226 leaders completed this training in 2024, with approximately 1,600 more slated to participate in 2025. Targeted development experiences support the growth of people in key roles, including Driver Training, Technician Training, Supervisor Training, Sales Acceleration and General Manager Onboarding, among others. We believe these programs provide the fundamental skills necessary to be successful across roles. Additionally, to meet the specific needs of the business, we opened a comprehensive Technical Training Institute in April 2021 where we train and develop our technicians. We have had 267 participants in the course since its inception.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leadership programs are a critical part of growing our people. We remain focused on attracting, hiring and developing early career leaders. Our rotational training and development programs, including our General Manager Acceleration Program (GMAP) and Operations Manager Acceleration Program, help us attract, develop and advance a diverse and talented pool of individuals from across our organization. Our Executive Leadership team sponsors these programs, providing visibility and support for the career advancement of our high-potential talent across the organization. Since the beginning of these programs in 2017, 109 leaders have graduated into leadership positions. Additionally, our MBA intern program, with 51 participants since 2019, introduces strong talent to the organization and is a path of opportunity into the GMAP program. We have found that these programs and experiences help ensure that the next generation of leaders build the necessary skills and experiences to be successful in their roles today and in the future.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leverage innovative training methods using mixed mediums to deliver trainings and instruction to our employees across the country. We remain committed to expanding employee participation in learning programs that are relevant to our business strategy and contribute to career advancement for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offer compensation and benefits that help improve our employees' overall financial, physical and emotional wellbeing, as well as recognize hard work with opportunities to grow. Our commitment to paying market competitive wages enables us to attract and hire talent all across the country, including an expansion of many opportunities to work remotely. Our approach to paying for performance supports our focus on pay equity. Our compensation packages are designed to provide employees with a stable and livable wage and growth potential. Our focus on wellness also provides our employees with a competitive paid time off plan, access to preventative care, advice on financial planning and support for mental health, contributing to our efforts to provide a total rewards package that improves and enhances the lives of our employees.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Differentiating Capabilities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effectively execute our strategic plan, we prioritize the development and investment in capabilities that will differentiate us in the marketplace. These capabilities include – (1) customer zeal, (2) digital and (3) sustainability.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Customer Zeal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goal of customer zeal is to drive customer loyalty by offering differentiated products and services specifically designed to meet our customers’ needs. We offer a broad set of environmental services across the United States and Canada as the sole provider, which we believe sets us apart in the industry. Customers appreciate our track record of safe and environmentally compliant operations, with the expertise to manage complex waste streams. We believe our value proposition increases customer loyalty and willingness to pay for our differentiated offerings. Customer zeal is a cultural commitment to enable and empower our employees to own their role in the customer experience.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help our sales team identify specific customer needs and configure the right offering, we use a Priority Based Selling (PBS) technique and our Capture pricing tool nationwide.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PBS enables us to identify and segment customers’ buying priorities and attract customers that are willing to pay for enhanced offerings.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Capture is a cloud-based pricing tool that creates a more professional sales experience, helps realize better pricing levels at the point of sale and provides enhanced controls over the price quoting process.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expand our offering of products and services to meet customer demand for a single provider for their environmental service needs. We have made progress on this front, including through the expansion of our environmental solutions segment supported by the acquisition of US Ecology, along with subsequent acquisitions. Our acquisitions of leading environmental solutions providers enable us to offer a complete set of products and services, including treatment, recycling and disposal of hazardous, non-hazardous and specialty waste. For services that we do not provide, we fulfill demand through our alliance partnerships while maintaining the customer facing relationship.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help ensure a consistent customer experience, we have invested in our customer service capabilities and our centralized Customer Experience function. This modern technology provides our customer services employees with the tools and capabilities they need to provide better levels of service through a variety of communication channels. The standardized approach enhances the customer experience and provides us a platform to reduce the cost to service our customers.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help ensure our efforts are making an impact and building customer loyalty, we solicit feedback from our customers, including Net Promoter Score℠, so that every General Manager receives recent, relevant feedback that allows him or her the ability to reach out to customers directly and address issues immediately.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Digital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goal of prioritizing our digital capabilities is to allow us to provide a consistent experience across our business. We believe investments in our digital platforms support improved processes for our employees that lead to enhanced employee engagement and enable our customers to do business with us through more channels and with better access to information, ultimately driving increased customer loyalty.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increasing the ease of use and functionality of our web-based market presence, we believe we enhance customer satisfaction, interaction and connectivity while lowering our costs. These tools reinforce to our customers that they can rely on us to handle their recycling and waste service needs in a way that is easy and convenient for them.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website and mobile app are online account management tools, allowing customers access to their accounts and our services.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e-commerce sales channel allows customers to secure services on a real-time basis, provides capabilities to meet our customers' evolving buying preferences and provides a lower cost sales channel.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leveraging technology to digitally connect our customers, drivers, logistics analysts, supervisors and trucks via our "RISE" dispatch platform and in-cab technology. With the roll-out of this technology we have improved productivity through more real-time routing information and data visualization tools, increasing customer connectivity and enabling automated service verification communications and enhancing the employee experience by providing better tools and technology designed around employee interaction.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installed advanced technology on recycling and waste collection vehicles that utilizes cameras to identify recycling contamination and overfilled containers. We expect this technology will reduce recycling contamination over time and drive incremental revenue.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in the early stages of deploying our “MPower” enterprise asset management system to digitally connect our maintenance team to our collection fleet of vehicles. This technology is designed to streamline our fleet maintenance record keeping and parts management processes and allow improved technician efficiency and enhanced warranty recovery across our fleet. We expect the deployment of this technology to be complete in late 2025.</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Sustainability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goal of our differentiating sustainability capabilities is to provide our customers with fully integrated sustainable solutions that support a cleaner, safer and healthier world. We have long been a leader in environmental services and sustainability. We introduced our Elements of Sustainability, the foundation of our sustainability platform, in 2014. Our elements, Safety, Talent, Climate Leadership and Communities, are deeply integrated into our business and anchor our ambitious 2030 sustainability goals.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Sustainability &amp; Corporate Responsibility Committee has oversight responsibility with respect to our sustainability performance, our corporate responsibilities and our role as a socially responsible organization. The Committee meets at least quarterly to be updated on progress and conducts a formal comprehensive review of the Company’s performance in these areas on an annual basis.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2030 Sustainability Goals</w:t>
      </w:r>
    </w:p>
    <w:p>
      <w:pPr>
        <w:pStyle w:val="TextBody"/>
        <w:bidi w:val="0"/>
        <w:spacing w:lineRule="auto" w:line="288" w:before="100" w:after="283"/>
        <w:jc w:val="left"/>
        <w:rPr/>
      </w:pPr>
      <w:r>
        <w:rPr>
          <w:rFonts w:ascii="Times New Roman;sans-serif" w:hAnsi="Times New Roman;sans-serif"/>
          <w:b w:val="false"/>
          <w:color w:val="000000"/>
          <w:sz w:val="20"/>
        </w:rPr>
        <w:t>As we grow, so does our opportunity to make a meaningful, positive impact on the environment and society. Our ambitious 2030 goals are aligned with the UN Sustainable Development Goals</w:t>
      </w: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and our greenhouse gas reduction goal is aligned with The Paris Agreement. Each goal is aligned with one of the Company's elements of sustainability. Together they are designed to significantly benefit the environment and society, while enhancing the foundation and profitability of our business for the long-term.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 xml:space="preserve">Safety Amplified: </w:t>
      </w:r>
      <w:r>
        <w:rPr>
          <w:rFonts w:ascii="Times New Roman;sans-serif" w:hAnsi="Times New Roman;sans-serif"/>
          <w:b w:val="false"/>
          <w:color w:val="000000"/>
          <w:sz w:val="20"/>
        </w:rPr>
        <w:t>Achieve zero annual employee fatalities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 xml:space="preserve">Incident Reduction: </w:t>
      </w:r>
      <w:r>
        <w:rPr>
          <w:rFonts w:ascii="Times New Roman;sans-serif" w:hAnsi="Times New Roman;sans-serif"/>
          <w:b w:val="false"/>
          <w:color w:val="000000"/>
          <w:sz w:val="20"/>
        </w:rPr>
        <w:t>Reduce OSHA Total Recordable Incident Rate (TRIR) to 2.0 or less by 2030</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Engaged Workforce:</w:t>
      </w:r>
      <w:r>
        <w:rPr>
          <w:color w:val="000000"/>
        </w:rPr>
        <w:t xml:space="preserve"> </w:t>
      </w:r>
      <w:r>
        <w:rPr>
          <w:rFonts w:ascii="Times New Roman;sans-serif" w:hAnsi="Times New Roman;sans-serif"/>
          <w:b w:val="false"/>
          <w:color w:val="000000"/>
          <w:sz w:val="20"/>
        </w:rPr>
        <w:t>Achieve and maintain employee engagement scores at or above 88 by 2030</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Science Based Target:</w:t>
      </w:r>
      <w:r>
        <w:rPr>
          <w:color w:val="000000"/>
        </w:rPr>
        <w:t xml:space="preserve"> </w:t>
      </w:r>
      <w:r>
        <w:rPr>
          <w:rFonts w:ascii="Times New Roman;sans-serif" w:hAnsi="Times New Roman;sans-serif"/>
          <w:b w:val="false"/>
          <w:color w:val="000000"/>
          <w:sz w:val="20"/>
        </w:rPr>
        <w:t>Reduce absolute Scope 1 and 2 greenhouse gas emissions 35% by 2030</w:t>
      </w:r>
      <w:r>
        <w:rPr>
          <w:rFonts w:ascii="Times New Roman;sans-serif" w:hAnsi="Times New Roman;sans-serif"/>
          <w:b w:val="false"/>
          <w:color w:val="000000"/>
          <w:sz w:val="13"/>
        </w:rPr>
        <w:t>(2)</w:t>
      </w:r>
      <w:r>
        <w:rPr>
          <w:rFonts w:ascii="Times New Roman;sans-serif" w:hAnsi="Times New Roman;sans-serif"/>
          <w:b w:val="false"/>
          <w:color w:val="000000"/>
          <w:sz w:val="20"/>
        </w:rPr>
        <w:t>, approved by SBTi</w:t>
      </w:r>
      <w:r>
        <w:rPr>
          <w:rFonts w:ascii="Times New Roman;sans-serif" w:hAnsi="Times New Roman;sans-serif"/>
          <w:b w:val="false"/>
          <w:color w:val="000000"/>
          <w:sz w:val="13"/>
        </w:rPr>
        <w:t>(3)</w:t>
      </w:r>
      <w:r>
        <w:rPr>
          <w:rFonts w:ascii="Times New Roman;sans-serif" w:hAnsi="Times New Roman;sans-serif"/>
          <w:b w:val="false"/>
          <w:color w:val="000000"/>
          <w:sz w:val="20"/>
        </w:rPr>
        <w:t>, with an interim goal of achieving a 10% reduction by 2025</w:t>
      </w:r>
      <w:r>
        <w:rPr>
          <w:rFonts w:ascii="Times New Roman;sans-serif" w:hAnsi="Times New Roman;sans-serif"/>
          <w:b w:val="false"/>
          <w:color w:val="000000"/>
          <w:sz w:val="13"/>
        </w:rPr>
        <w:t>(4)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Circular Economy:</w:t>
      </w:r>
      <w:r>
        <w:rPr>
          <w:color w:val="000000"/>
        </w:rPr>
        <w:t xml:space="preserve"> </w:t>
      </w:r>
      <w:r>
        <w:rPr>
          <w:rFonts w:ascii="Times New Roman;sans-serif" w:hAnsi="Times New Roman;sans-serif"/>
          <w:b w:val="false"/>
          <w:color w:val="000000"/>
          <w:sz w:val="20"/>
        </w:rPr>
        <w:t>Increase recovery of key materials by 40% on a combined basis by 2030</w:t>
      </w:r>
      <w:r>
        <w:rPr>
          <w:rFonts w:ascii="Times New Roman;sans-serif" w:hAnsi="Times New Roman;sans-serif"/>
          <w:b w:val="false"/>
          <w:color w:val="000000"/>
          <w:sz w:val="13"/>
        </w:rPr>
        <w:t>(2)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Renewable Energy:</w:t>
      </w:r>
      <w:r>
        <w:rPr>
          <w:color w:val="000000"/>
        </w:rPr>
        <w:t xml:space="preserve"> </w:t>
      </w:r>
      <w:r>
        <w:rPr>
          <w:rFonts w:ascii="Times New Roman;sans-serif" w:hAnsi="Times New Roman;sans-serif"/>
          <w:b w:val="false"/>
          <w:color w:val="000000"/>
          <w:sz w:val="20"/>
        </w:rPr>
        <w:t>Increase beneficial reuse of biogas by 50% by 2030</w:t>
      </w:r>
      <w:r>
        <w:rPr>
          <w:rFonts w:ascii="Times New Roman;sans-serif" w:hAnsi="Times New Roman;sans-serif"/>
          <w:b w:val="false"/>
          <w:color w:val="000000"/>
          <w:sz w:val="13"/>
        </w:rPr>
        <w:t>(2)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Charitable Giving:</w:t>
      </w:r>
      <w:r>
        <w:rPr>
          <w:color w:val="000000"/>
        </w:rPr>
        <w:t xml:space="preserve"> </w:t>
      </w:r>
      <w:r>
        <w:rPr>
          <w:rFonts w:ascii="Times New Roman;sans-serif" w:hAnsi="Times New Roman;sans-serif"/>
          <w:b w:val="false"/>
          <w:color w:val="000000"/>
          <w:sz w:val="20"/>
        </w:rPr>
        <w:t>Create sustainable neighborhoods through strong community partnerships for 45 million people by 2030</w:t>
      </w:r>
      <w:r>
        <w:rPr>
          <w:rFonts w:ascii="Times New Roman;sans-serif" w:hAnsi="Times New Roman;sans-serif"/>
          <w:b w:val="false"/>
          <w:color w:val="000000"/>
          <w:sz w:val="13"/>
        </w:rPr>
        <w:t>(2)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reducing our impact on the planet and improving the quality of life for its inhabitants are the right things to do, and they are also necessary actions to ensure a vibrant future for our organization.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 to our Sustainability Report for our progress toward our 2030 sustainability goals, and refer to our full suite of climate-related sustainability reporting for updates regarding our progress toward our climate goals, including the Task Force on Climate-Related Financial Disclosures (TCFD), SASB, Global Reporting Initiative and CDP Climate Change, all of which can be found at republicservices.com/sustainability/reporting. The information contained on our website shall not be deemed incorporated by reference in this Annual Report on Form 10-K or in any other filing we make under the Exchange Act.</w:t>
      </w:r>
    </w:p>
    <w:p>
      <w:pPr>
        <w:pStyle w:val="TextBody"/>
        <w:bidi w:val="0"/>
        <w:spacing w:lineRule="auto" w:line="288"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We have aligned our 2030 goals with the following UN Sustainable Development Goals: (3) Good Health and Well-being, (4) Quality Education, (7) Affordable Clean Energy, (8) Decent Work and Economic Growth, (9) Industry, Innovation and Infrastructure, (10) Reduced Inequalities, (11) Sustainable Cities and Communities, (12) Responsible Consumption and Production, (13) Climate Action and (14) Peace, Justice and Strong Institutions.</w:t>
      </w:r>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Targets are relative to the 2017 baseline year.</w:t>
      </w:r>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 SBTi, or Science Based Targets initiative, is a collaboration between CDP, the United Nations Global Compact, World Resources Institute and the World Wide Fund for Nature.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 Interim target achieved early, in fiscal year 2023.</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Cash Utilization Strategy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take a consistent and balanced approach to capital allocation to drive long-term, sustainable value for our shareholders. The predictability of our free cash flows allows us to efficiently execute our capital allocation strategy, which includes investing in value-creating acquisitions and returning free cash flow to our shareholders through dividends and share repurchases. We are committed to an efficient capital structure and maintaining our investment grade credit ratings on our senior debt, which was rated BBB+ by Standard &amp; Poor’s Ratings Services, A- by Fitch Ratings, Inc. and Baa1 by Moody’s Investors Service, Inc. Such ratings have allowed us, and should continue to allow us, to readily access capital markets at competitive rates.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free cash flow by ensuring that capital expenditures and operating asset levels are appropriate in light of our existing business and growth opportunities and by closely managing our working capital.</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00" w:after="283"/>
        <w:jc w:val="left"/>
        <w:rPr/>
      </w:pPr>
      <w:r>
        <w:rPr>
          <w:rFonts w:ascii="Times New Roman;sans-serif" w:hAnsi="Times New Roman;sans-serif"/>
          <w:b w:val="false"/>
          <w:color w:val="000000"/>
          <w:sz w:val="20"/>
        </w:rPr>
        <w:t>In July 2024, our Board of Directors approved an increase in the quarterly dividend to $0.580 per share, which represents an increase of approximately 8% over the prior year. This increase represented the 21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consecutive year of a dividend increase. Over the last five years, our dividends have increased at a compounded annual growth rate of 6.4%. We expect to continue paying quarterly cash dividends and may consider additional dividend increases if we believe they will enhance shareholder value.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00" w:after="283"/>
        <w:jc w:val="left"/>
        <w:rPr/>
      </w:pPr>
      <w:r>
        <w:rPr>
          <w:rFonts w:ascii="Times New Roman;sans-serif" w:hAnsi="Times New Roman;sans-serif"/>
          <w:b w:val="false"/>
          <w:color w:val="000000"/>
          <w:sz w:val="20"/>
        </w:rPr>
        <w:t xml:space="preserve">In October 2023, our Board of Directors approved a $3.0 billion share repurchase authorization effective starting January 1, 2024, and extending through December 31, 2026. Share repurchases under the current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On a quarterly basis, our Board of Directors reviews the parameters around which we repurchase our shares. Refer to </w:t>
      </w:r>
      <w:r>
        <w:rPr>
          <w:rFonts w:ascii="Times New Roman;sans-serif" w:hAnsi="Times New Roman;sans-serif"/>
          <w:b w:val="false"/>
          <w:i/>
          <w:color w:val="000000"/>
          <w:sz w:val="20"/>
        </w:rPr>
        <w:t xml:space="preserve">Item 5. Market for Registrant's Common Equity, Related Stockholder Matters and Issuer Purchases of Equity Securities </w:t>
      </w:r>
      <w:r>
        <w:rPr>
          <w:rFonts w:ascii="Times New Roman;sans-serif" w:hAnsi="Times New Roman;sans-serif"/>
          <w:b w:val="false"/>
          <w:color w:val="000000"/>
          <w:sz w:val="20"/>
        </w:rPr>
        <w:t>for repurchase authority remaining as of December 31, 2024.</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Shareholder Value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creating long-term shareholder value by generating consistent earnings and cash flow growth while continually improving returns on invested capital. Our incentive compensation programs are aligned with these objectives at all levels of management. We have an active shareholder outreach program and routinely interact with shareholders on a number of matters, including environmental, social, governance, talent and executive compensation.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Management Team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building and blending a diverse team of strong industry veterans, along with talented people from other industries who bring unique skill sets, will contribute to what we call our Composite Strength. Composite Strength combines the vast, varied experience and capability of both strong environmental services industry veterans and talented people from other industries. Additionally, Composite Strength helps ensure the continuity of leadership and preservation of institutional knowledge, while also bringing in skills and new ideas from other companies outside of our industry - many of them from leading companies.</w:t>
      </w:r>
    </w:p>
    <w:p>
      <w:pPr>
        <w:pStyle w:val="TextBody"/>
        <w:bidi w:val="0"/>
        <w:spacing w:lineRule="auto" w:line="288" w:before="100" w:after="283"/>
        <w:jc w:val="left"/>
        <w:rPr/>
      </w:pPr>
      <w:r>
        <w:rPr>
          <w:rFonts w:ascii="Times New Roman;sans-serif" w:hAnsi="Times New Roman;sans-serif"/>
          <w:b w:val="false"/>
          <w:i/>
          <w:color w:val="000000"/>
          <w:sz w:val="20"/>
        </w:rPr>
        <w:t xml:space="preserve">Jon Vander Ark </w:t>
      </w:r>
      <w:r>
        <w:rPr>
          <w:rFonts w:ascii="Times New Roman;sans-serif" w:hAnsi="Times New Roman;sans-serif"/>
          <w:b w:val="false"/>
          <w:color w:val="000000"/>
          <w:sz w:val="20"/>
        </w:rPr>
        <w:t>was named Chief Executive Officer in 2021. Since joining Republic in 2013, Mr. Vander Ark has held management roles of increasing responsibility, including Executive Vice President, Chief Marketing Officer, Executive Vice President, Operations, Executive Vice President, Chief Operating Officer, President and his current role as President and Chief Executive Officer. Prior to joining the Company, he served as a partner at McKinsey &amp; Company’s Detroit office, managing clients across a variety of industries, including transportation, logistics, manufacturing and consumer products. Mr. Vander Ark serves on the Board of Directors of Lennox International Inc.</w:t>
      </w:r>
    </w:p>
    <w:p>
      <w:pPr>
        <w:pStyle w:val="TextBody"/>
        <w:bidi w:val="0"/>
        <w:spacing w:lineRule="auto" w:line="288" w:before="100" w:after="283"/>
        <w:jc w:val="left"/>
        <w:rPr/>
      </w:pPr>
      <w:r>
        <w:rPr>
          <w:rFonts w:ascii="Times New Roman;sans-serif" w:hAnsi="Times New Roman;sans-serif"/>
          <w:b w:val="false"/>
          <w:i/>
          <w:color w:val="000000"/>
          <w:sz w:val="20"/>
        </w:rPr>
        <w:t xml:space="preserve">Brian Bales </w:t>
      </w:r>
      <w:r>
        <w:rPr>
          <w:rFonts w:ascii="Times New Roman;sans-serif" w:hAnsi="Times New Roman;sans-serif"/>
          <w:b w:val="false"/>
          <w:color w:val="000000"/>
          <w:sz w:val="20"/>
        </w:rPr>
        <w:t>was named Executive Vice President, Chief Development Officer in February 2015. Mr. Bales has been with Republic for over 25 years, serving as Executive Vice President, Business Development from December 2008 to February 2015 and Vice President, Corporate Development from 1998 to December 2008. Prior to his time at Republic, Mr. Bales held roles of increasing responsibility in finance and business development for Ryder System, Inc. from 1993 to 1998 and served as chief financial officer for EDIFEX &amp; VTA Communications from 1988 through 1993. Prior to that, Mr. Bales was an accountant for PwC (formerly Price Waterhouse) from 1986 to 1988. Mr. Bales serves on the Board of Directors of RB Global,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pPr>
      <w:r>
        <w:rPr>
          <w:rFonts w:ascii="Times New Roman;sans-serif" w:hAnsi="Times New Roman;sans-serif"/>
          <w:b w:val="false"/>
          <w:i/>
          <w:color w:val="000000"/>
          <w:sz w:val="20"/>
        </w:rPr>
        <w:t xml:space="preserve">Gregg Brummer </w:t>
      </w:r>
      <w:r>
        <w:rPr>
          <w:rFonts w:ascii="Times New Roman;sans-serif" w:hAnsi="Times New Roman;sans-serif"/>
          <w:b w:val="false"/>
          <w:color w:val="000000"/>
          <w:sz w:val="20"/>
        </w:rPr>
        <w:t>was named Executive Vice President, Chief Operating Officer in August 2023. Prior to his current role, Mr. Brummer served as Senior Vice President, Operations from June 2019 to August 2023 where he was responsible for maximizing field performance, ensuring superior service delivery, executing the operating plan, and achieving financial and operational results across the Company. Mr. Brummer joined the Company in January 2014 as Area President, a role he held until June 2019. Prior to joining the Company, Mr. Brummer was a Regional Vice President as well as General Manager at BlueLinx Corporation and held various leadership positions at Georgia Pacific Corporation.</w:t>
      </w:r>
    </w:p>
    <w:p>
      <w:pPr>
        <w:pStyle w:val="TextBody"/>
        <w:bidi w:val="0"/>
        <w:spacing w:lineRule="auto" w:line="288" w:before="100" w:after="283"/>
        <w:jc w:val="left"/>
        <w:rPr/>
      </w:pPr>
      <w:r>
        <w:rPr>
          <w:rFonts w:ascii="Times New Roman;sans-serif" w:hAnsi="Times New Roman;sans-serif"/>
          <w:b w:val="false"/>
          <w:i/>
          <w:color w:val="000000"/>
          <w:sz w:val="20"/>
        </w:rPr>
        <w:t>Brian DelGhiaccio</w:t>
      </w:r>
      <w:r>
        <w:rPr>
          <w:color w:val="000000"/>
        </w:rPr>
        <w:t xml:space="preserve"> </w:t>
      </w:r>
      <w:r>
        <w:rPr>
          <w:rFonts w:ascii="Times New Roman;sans-serif" w:hAnsi="Times New Roman;sans-serif"/>
          <w:b w:val="false"/>
          <w:color w:val="000000"/>
          <w:sz w:val="20"/>
        </w:rPr>
        <w:t>was named Executive Vice President, Chief Financial Officer in June 2020. Mr. DelGhiaccio has over 25 years of experience with Republic in a variety of roles of increasing responsibility. He was named Executive Vice President and Chief Transformation Officer in June 2019. Before that, Mr. DelGhiaccio served as Vice President, Investor Relations from 2012 to 2014, progressed to Senior Vice President, Finance from 2014 to 2017 and then to Senior Vice President, Business Transformation in 2017. Prior to his time at Republic, Mr. DelGhiaccio worked in the audit practice of Arthur Andersen. Mr. DelGhiaccio serves on the Board of Directors of Aramark.</w:t>
      </w:r>
    </w:p>
    <w:p>
      <w:pPr>
        <w:pStyle w:val="TextBody"/>
        <w:bidi w:val="0"/>
        <w:spacing w:lineRule="auto" w:line="288" w:before="100" w:after="283"/>
        <w:jc w:val="left"/>
        <w:rPr/>
      </w:pPr>
      <w:r>
        <w:rPr>
          <w:rFonts w:ascii="Times New Roman;sans-serif" w:hAnsi="Times New Roman;sans-serif"/>
          <w:b w:val="false"/>
          <w:i/>
          <w:color w:val="000000"/>
          <w:sz w:val="20"/>
        </w:rPr>
        <w:t>Catharine D. Ellingsen</w:t>
      </w:r>
      <w:r>
        <w:rPr>
          <w:color w:val="000000"/>
        </w:rPr>
        <w:t xml:space="preserve"> </w:t>
      </w:r>
      <w:r>
        <w:rPr>
          <w:rFonts w:ascii="Times New Roman;sans-serif" w:hAnsi="Times New Roman;sans-serif"/>
          <w:b w:val="false"/>
          <w:color w:val="000000"/>
          <w:sz w:val="20"/>
        </w:rPr>
        <w:t>was named Executive Vice President, Chief Legal Officer, Chief Ethics &amp; Compliance Officer and Corporate Secretary in June 2016. Ms. Ellingsen has over 20 years of experience with Republic in a variety of roles of increasing responsibility. She was named Managing Corporate Counsel in January 2003, Director, Legal and Associate General Counsel in January 2005 and Vice President and Deputy General Counsel in June 2007. Ms. Ellingsen was named Senior Vice President, Human Resources in August 2011 and served in that position until June 2016. Before joining the Company, Ms. Ellingsen was an attorney at Steptoe &amp; Johnson LLP from 1996 to 2001 and at Bryan Cave LLP from 1993 to 1996.</w:t>
      </w:r>
    </w:p>
    <w:p>
      <w:pPr>
        <w:pStyle w:val="TextBody"/>
        <w:bidi w:val="0"/>
        <w:spacing w:lineRule="auto" w:line="288" w:before="100" w:after="283"/>
        <w:jc w:val="left"/>
        <w:rPr/>
      </w:pPr>
      <w:r>
        <w:rPr>
          <w:rFonts w:ascii="Times New Roman;sans-serif" w:hAnsi="Times New Roman;sans-serif"/>
          <w:b w:val="false"/>
          <w:i/>
          <w:color w:val="000000"/>
          <w:sz w:val="20"/>
        </w:rPr>
        <w:t xml:space="preserve">Amanda Hodges </w:t>
      </w:r>
      <w:r>
        <w:rPr>
          <w:rFonts w:ascii="Times New Roman;sans-serif" w:hAnsi="Times New Roman;sans-serif"/>
          <w:b w:val="false"/>
          <w:color w:val="000000"/>
          <w:sz w:val="20"/>
        </w:rPr>
        <w:t>was named Executive Vice President, Chief Commercial Officer in August 2024. In this role, Ms. Hodges leads the Company’s sales organization and customer service team to drive profitable growth and customer loyalty. Prior to her current role, Ms. Hodges served as Executive Vice President, Chief Marketing Officer from November 2020 to August 2024. Prior to joining Republic, Ms. Hodges spent 15 years in leadership roles for Dell Technologies, most recently serving as Senior Vice President of North America Marketing and the Global Customer Briefing Program. Before joining Dell, Ms. Hodges worked as a consultant for McKinsey &amp; Company.</w:t>
      </w:r>
    </w:p>
    <w:p>
      <w:pPr>
        <w:pStyle w:val="TextBody"/>
        <w:bidi w:val="0"/>
        <w:spacing w:lineRule="auto" w:line="288" w:before="100" w:after="283"/>
        <w:jc w:val="left"/>
        <w:rPr/>
      </w:pPr>
      <w:r>
        <w:rPr>
          <w:rFonts w:ascii="Times New Roman;sans-serif" w:hAnsi="Times New Roman;sans-serif"/>
          <w:b w:val="false"/>
          <w:i/>
          <w:color w:val="000000"/>
          <w:sz w:val="20"/>
        </w:rPr>
        <w:t>Courtney Rodriguez</w:t>
      </w:r>
      <w:r>
        <w:rPr>
          <w:color w:val="000000"/>
        </w:rPr>
        <w:t xml:space="preserve"> </w:t>
      </w:r>
      <w:r>
        <w:rPr>
          <w:rFonts w:ascii="Times New Roman;sans-serif" w:hAnsi="Times New Roman;sans-serif"/>
          <w:b w:val="false"/>
          <w:color w:val="000000"/>
          <w:sz w:val="20"/>
        </w:rPr>
        <w:t xml:space="preserve">was named Executive Vice President, Chief Human Resources Officer in March 2023. In this role, she is responsible for all aspects of the Company’s talent strategy, including talent acquisition and retention, learning and development, and total rewards. Prior to joining Republic, Ms. Rodriguez served as Senior Vice President, Global HR, for Dell Technologies. She has over 20 years of HR experience, including frontline, customer operations, culture transformation and M&amp;A support. Ms. Rodriguez started her career in finance as a senior auditor for Arthur Andersen before moving to Dell as a financial analyst. </w:t>
      </w:r>
    </w:p>
    <w:p>
      <w:pPr>
        <w:pStyle w:val="TextBody"/>
        <w:bidi w:val="0"/>
        <w:spacing w:lineRule="auto" w:line="288" w:before="100" w:after="283"/>
        <w:jc w:val="left"/>
        <w:rPr/>
      </w:pPr>
      <w:r>
        <w:rPr>
          <w:rFonts w:ascii="Times New Roman;sans-serif" w:hAnsi="Times New Roman;sans-serif"/>
          <w:b w:val="false"/>
          <w:i/>
          <w:color w:val="000000"/>
          <w:sz w:val="20"/>
        </w:rPr>
        <w:t>Julia Arambula</w:t>
      </w:r>
      <w:r>
        <w:rPr>
          <w:color w:val="000000"/>
        </w:rPr>
        <w:t xml:space="preserve"> </w:t>
      </w:r>
      <w:r>
        <w:rPr>
          <w:rFonts w:ascii="Times New Roman;sans-serif" w:hAnsi="Times New Roman;sans-serif"/>
          <w:b w:val="false"/>
          <w:color w:val="000000"/>
          <w:sz w:val="20"/>
        </w:rPr>
        <w:t>was named Senior Vice President, Operations, Environmental Solutions in August 2024. Ms. Arambula joined the company in 2002 and has held a variety of roles of increasing responsibility. In her current role, Ms. Arambula is responsible for maximizing field performance, ensuring superior service delivery, executing the operating plan, and achieving financial and operational results for Group 3, our environmental solutions business. Prior to her current role, Ms. Arambula was Senior Vice President, Operations over Group 2 from November 2021 to August 2024. Prior to that, Ms. Arambula served as Senior Vice President, Operations Support from March 2020 to November 2021, where she led the operations support function for the Company, including collections, post collections, recycling operations, fleet &amp; asset management and engineering &amp; environmental compliance. Ms. Arambula held the position of Vice President, Financial Planning and Analysis from March 2015 to March 2020, and prior to that held a variety of finance and accounting roles of increasing responsibility. Prior to Republic, Ms. Arambula was a senior auditor with Arthur Anderson.</w:t>
      </w:r>
    </w:p>
    <w:p>
      <w:pPr>
        <w:pStyle w:val="TextBody"/>
        <w:bidi w:val="0"/>
        <w:spacing w:lineRule="auto" w:line="288" w:before="100" w:after="283"/>
        <w:jc w:val="left"/>
        <w:rPr/>
      </w:pPr>
      <w:r>
        <w:rPr>
          <w:rFonts w:ascii="Times New Roman;sans-serif" w:hAnsi="Times New Roman;sans-serif"/>
          <w:b w:val="false"/>
          <w:i/>
          <w:color w:val="000000"/>
          <w:sz w:val="20"/>
        </w:rPr>
        <w:t>Larson Richardson</w:t>
      </w:r>
      <w:r>
        <w:rPr>
          <w:color w:val="000000"/>
        </w:rPr>
        <w:t xml:space="preserve"> </w:t>
      </w:r>
      <w:r>
        <w:rPr>
          <w:rFonts w:ascii="Times New Roman;sans-serif" w:hAnsi="Times New Roman;sans-serif"/>
          <w:b w:val="false"/>
          <w:color w:val="000000"/>
          <w:sz w:val="20"/>
        </w:rPr>
        <w:t>was named Senior Vice President, Operations in December 2023. In his current role, Mr. Richardson is responsible for maximizing field performance, ensuring superior service delivery, executing the operating plan, and achieving financial and operational results for Group 1, which covers recycling and waste field operations in the western portion of the United States and Canada. Prior to his current role, Mr. Richardson was Area President over the Company’s Heartland Area from June 2019 to December 2023, where he was responsible for leading the execution of the operating plan and results for the recycling and waste operations within the Heartland. Prior to that, Mr. Richardson was Area Vice President for the Southeast Area from September 2017 to June 2019, and held the position of Senior Manager Municipal Sales from June 2015 to September 2017. Mr. Richardson started with Republic as a General Manager in the Southeast Area, a position he held from May 2012 to June 2015. Prior to Republic, Mr. Richardson was an Area General Manager at Waste Industries USA.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local and area management teams have extensive industry experience in growing, operating and managing environmental services companies and have substantial experience in their local geographic markets. This allows us to quickly respond to and meet our customers’ needs and stay in touch with local businesses and municipalities. We believe our strong area management teams allow us to effectively and efficiently drive our initiatives and help ensure consistency throughout the organization. Our area management teams and area presidents have extensive authority and responsibility over operations within their respective geographic markets. As a result of retaining experienced managers with extensive knowledge of and involvement in their local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communities, we are proactive in anticipating customers’ needs and adjusting to changes in our markets. We also seek to implement the best practices of our various business units throughout our operations to continue improving our operations and our operating margins.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Comprehensive Environmental Services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serve customers with a strong, vertically-integrated operating platform and offer a complete set of products and services, including the collection and processing of recyclable, solid waste and industrial waste materials; transportation and disposal of non-hazardous and hazardous waste streams; and other environmental solutions. We offer a wide array of products and services with a proven track record in safety, compliance and environmental stewardship.</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Recycling &amp; Waste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 strong, national, vertically-integrated operating platform that allows us to compete more effectively and efficiently in the local markets in which we operate. Where appropriate, we seek to achieve a high rate of internalization by managing material streams from the point of collection through recycling processing or disposal. During the year ended December 31, 2024, approximately 67% of the total solid waste volume we collected was disposed at landfills we own or operate (internalization). Our fully integrated markets generally have a lower cost of operations and more favorable cash flows than our markets that are not fully integrated. Through acquisitions, landfill operating agreements and other market development activities, we create market-specific, vertically-integrated operations typically consisting of one or more collection operations, transfer stations and landfills. We also operate recycling centers in markets where diversion of waste is a priority, customers are willing to pay for the service and we can earn an appropriate return on our investment.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Collection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residential, small-container and large-container collection services through 367 collection operations. In 2024, approximately 68% of our total revenue was derived from our collection business, of which approximately 18% of our total revenue related to residential services, approximately 30% related to small-container services, approximately 19% related to large-container services and approximately 1% related to other collection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residential collection business involves the curbside collection of material for transport to transfer stations, or directly to recycling centers, organics processing facilities, or landfills. We typically perform residential collection services under contracts with municipalities, which we generally secure through competitive bids, which give us exclusive rights to service all or a portion of the homes in the municipalities. These contracts usually range in duration from one to five years, although some of our exclusive franchises are for significantly longer periods. We also perform residential services on a subscription basis, in which individual households contract directly with us. The fees received for subscription residential collection are based primarily on the market, collection frequency, type of service, the distance to the disposal facility and the cost of processing or disposal. In general, subscription residential collection fees are paid quarterly in advance by the customers receiving the service.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our small-container business, we supply our customers with recycling and waste containers of varying sizes. We typically perform small-container collection services under one- to three-year service agreements, and fees are determined based on a number of factors including the market, collection frequency, type of equipment furnished, type and volume or weight of the material collected, transportation costs and the cost of processing or disposal. Our small-container services are typically offered to small business complexes, multi-family housing and strip malls and include industries such as restaurants, retail, real-estate and professional and other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large-container collection business includes both recurring and temporary customer relationships. For the recurring portion, we supply our customers with recycling and waste containers of varying sizes and rent compactors to large generators of material. We typically perform the collection services under one- to three-year service agreements, and fees are determined based on a number of factors including the market, collection frequency, type of equipment furnished, type and volume or weight of the material collected, transportation costs and the cost of processing or disposal. Our recurring large-container services are typically offered to larger facilities, hotels and office buildings and include industries such as manufacturing, retail, hospitality, professional and other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temporary portion of our large-container collection business, the majority of the material relates to construction and demolition activities and is typically event-driven. We provide temporary collection services on a contractual basis with terms ranging from a single pickup to one-year or longer.</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Transfer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own or operate 248 transfer stations. Revenue at our transfer stations is primarily generated by charging tipping or disposal fees, which accounted for approximately 5% of our revenue during 2024. Our collection operations deposit material at these transfer stations, as do other private and municipal haulers, for compaction and transfer to disposal sites or recycling centers.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stations provide collection operations with a cost-effective means to consolidate material and reduce transportation costs while providing our landfills with an additional mechanism to extend their geographic reach.</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our own collection operations use our transfer stations, this improves internalization by allowing us to retain fees we would otherwise pay to third-party disposal sites. It also allows us to manage costs associated with material disposal because: (1) transfer trucks have larger capacities than collection trucks, allowing us to deliver more material to the landfill or processing center in each trip; (2) material is accumulated and compacted at strategically located transfer stations to increase efficiency; and (3) we can retain volume by managing the material to one of our own landfills or processing centers rather than to a competitor’s.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Recycling Processing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own or operate 75 recycling centers. These centers generate revenue through the processing and sale of old corrugated containers (OCC), old newsprint (ONP), aluminum, glass and other materials, which accounted for approximately 2% of our total revenue during 2024. Approximately 82% of our total recycling center volume is fiber based and includes OCC, ONP and other mixed paper. During 2024, we processed and sold 2.1 million tons, excluding glass and organics, from our recycling centers. An additional 2.2 million tons were collected by us and delivered to third parties. We are investing in innovative recycling technology and have expanded our organics operations to help customers meet their diversion goals. We processed 1.1 million and sold 0.3 million tons of organic materials, respectively, from our recycling centers in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Changing market demand for recycled commodities causes volatility in commodity prices. At current volumes and mix of materials, we believe a $10 per ton change in the price of recycled commodities would change both annual revenue and operating income by approximately $11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certain instances, we issue recycling rebates to our municipal or large-container customers, which can be based on the price we receive upon the final sale of recycled commodities, a fixed contractual rate or other measures. We also receive rebates when we dispose of recycled commodities at third-party processing facilities.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met increased consumer demand for recycling services by integrating recycling components across our collection service offerings. Our goal is to provide a complete material stream management solution to our customers in a vertically integrated, environmentally sustainable way.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proven technologies to control costs and to simplify and streamline recycling for our customers. For example, robotics and advanced sorting equipment, such as disk screens, magnets and optical sorters, identify and separate different kinds of paper, metals, plastics and other materials to increase efficiency and maximize our recycling efforts.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Landfill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own or operate 208 active landfills. Our landfill tipping fees charged to third parties accounted for approximately 11% of our revenue during 2024. As of December 31, 2024, we had 41,158 estimated permitted acres and estimated total available disposal capacity of 5.0 billion in-place cubic yards. The in-place capacity of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 Some of our landfills accept non-hazardous special waste, including utility ash, asbestos and contaminated soils.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active landfill sites have the potential for expanded disposal capacity beyond the currently permitted acreage. We monitor the availability of permitted disposal capacity at each of our landfills and evaluate whether to pursue an expansion at a given landfill based on estimated future waste volumes and prices, market needs, remaining capacity and the likelihood of obtaining an expansion. To satisfy future disposal demand, we are seeking to expand permitted capacity at certain landfills; however, all proposed or future expansions may not be permitted.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responsibility for 125 closed landfills, for which we have associated closure and post-closure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Environmental Solutions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capabilities to address the complex environmental and sustainability needs of our customers. Our environmental solutions offerings include collection, treatment, consolidation, disposal and recycling of hazardous and non-hazardous waste; field and industrial services; equipment rental; emergency response and standby services; and in-plant services. Environmental solutions volume is generated by the daily operations of industrial, petrochemical and refining facilities and oil and natural gas exploration and production sites, including maintenance, plant turnarounds and capital projects. Volume also is generated by private and government funded projects including site remediation, redevelopment or emergency spill response. In 2024, approximately 11% of our revenue was derived from environmental solutions.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Waste Treatment &amp; Disposal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own or operate 6 active hazardous waste landfills, 9 active energy waste landfills, 2 treatment, recovery and disposal facilities, 23 treatment, storage and disposal facilities, 5 salt water disposal wells and 14 deep injection wells. We recycle, treat and dispose of hazardous and non-hazardous industrial wastes. The waste streams handled include substances which are classified as “hazardous” because of their corrosive, ignitable, reactive or toxic properties and other wastes subject to federal, state and provincial environmental regulation. The waste we handle comes in solid, liquid and sludge form and can be received in a variety of containerized and bulk forms and transported to our facilities by truck and rail.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operate thermal desorption units that recover oil and metal bearing catalyst from refinery and other organic and oil-based waste. The recycled oil and recycled catalyst are sold to third parties.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Field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field services include a wide range of specialty and total waste management services provided to refineries, chemical plants, manufacturing plants, pharmaceutical manufacturers, technology companies, research laboratories and other government, commercial and industrial facilities either on-site or at our network of facilities. These services include industrial cleaning and maintenance, retail services, lab pack, site remediation, equipment cleaning and maintenance services, specialty equipment rental, transportation and emergency response.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an integral part of our services, we employ highly trained staff and operate a network of service centers that characterize, package and collect hazardous and non-hazardous wastes from customers and transport such wastes to and between our facilities for treatment or bulking for shipment to final disposal locations.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Sustainability Innovation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uniquely positioned to offer products and services to address the complex sustainability needs of our customers. Our sustainability innovation product and service offerings include operations that allow for greater material circularity and support decarbonization. We believe demand for post-consumer content in consumer packaging and low carbon energy alternatives continues to increase. We are able to invest independently or through joint ventures to create solutions for the evolving marketplace.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Circularity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2024, we commenced operations at our first Polymer Center in Las Vegas and completed construction of our second Polymer Center in Indianapolis. Through its Polymer Centers, Republic is the first company to manage the plastics stream through an integrated process from curbside collection of recycled material to production and delivery of high-quality recycled content for consumer packaging. Rigid plastics – polyethylene terephthalate (PET), high-density polyethylene (HDPE) and polypropylene (PP) – collected from residential and commercial customers and sorted at local recycling facilities are delivered to the Polymer Center for secondary processing. Each facility is expected to produce more than 100 million pounds per year of recycled plastic, including 100% post-consumer PET flake delivered to the food-grade marketplace to enable bottle-to-bottle circularity. In addition, HDPE and PP packaging such as detergent jugs or butter tubs, which today are collected in multicolored bundles, can be separated by plastic type and color. We plan to commence operations at the Indianapolis Polymer Center during 2025 and anticipate opening two additional Polymer Centers in the coming years.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2023, we announced the creation of Blue Polymers, LLC, a joint venture with Ravago, that will further advance circularity in the plastics industry. The Blue Polymers facilities will utilize the color-sorted recycled HDPE and PP from our Polymer Centers to create custom recycled resins for consumer packaging and other applications. The process is expected to convert recycled HDPE and PP into fully formulated products for use in both food-grade and non-food-grade sustainable applications. Four Blue Polymers facilities are planned to open over the coming years, beginning with an Indianapolis facility in 2025. Once operational, these facilities are expected to produce a combined 300 million pounds per year of recycled plastics. Products are expected to include custom-blended and compounded materials for individual customers to help them achieve their sustainability goals and comply with federal, state or local requirements for recycled content.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Decarbonization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are increasingly looking for decarbonization solutions, and Republic is leveraging our network of landfills to meet that need. Republic is committed to harnessing landfill gas, a natural byproduct of decomposing waste, and converting it to energy. More than 87% of our landfill acreage is covered by gas collection systems. Collecting and converting landfill gas into renewable energy provides economic and environmental benefits, including reducing fugitive greenhouse gas emissions.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operated 79 landfill gas-to-energy projects. The majority of these projects were developed and are owned by a third party, where we earn a royalty based on renewable energy sold. We presently have 45 landfill gas-to-renewable natural gas (RNG) projects in development that are expected to begin operations in the coming years. The majority of the development portfolio is part of a joint venture with Archaea Energy, a bp company, in which Republic is a minority equity owner. RNG is a low-carbon, pipeline-quality fuel that’s fully interchangeable with fossil fuel-derived natural gas; it can be used as a transportation fuel in commercial fleets, including our own.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are producing renewable energy at our landfills through solar projects we host at six sites, which generate clean electricity for local communities.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Other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consists primarily of National Accounts revenue generated from nationwide or regional contracts in markets outside our operating areas where the associated material handling services are subcontracted to local operators. Consequently, substantially all of this revenue is offset with related subcontract costs, which are recorded in cost of operations.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competitive industry. Competition in the environmental services industry comes from a few other large, national publicly-owned companies, several regional publicly- and privately-owned companies and thousands of small privately-owned companies. In any given market, competitors may have larger operations and greater resources. In addition, we compete with municipalities that maintain material collection or disposal operations. These municipalities may have financial advantages due to the availability of tax revenue and greater opportunities for tax-exempt financing.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compete for collection accounts primarily based on our product offering, quality of service and price. From time-to-time, our competitors reduce the price of their services in an effort to expand market share or to win a competitively bid municipal contract. Our ability to maintain and increase prices in certain markets may be impacted by our competitors’ pricing policies. This may have an effect on our future revenue and profitability.</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Seasonality and Severe Weather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revenues tend to be somewhat higher in the summer months, primarily due to higher volumes of construction and demolition waste. The volumes of large-container and residential recycling and waste in certain regions of the country also tend to increase during the summer months. Our second and third quarter revenues and results of operations typically reflect this seasonality.</w:t>
      </w:r>
    </w:p>
    <w:p>
      <w:pPr>
        <w:pStyle w:val="TextBody"/>
        <w:bidi w:val="0"/>
        <w:spacing w:lineRule="auto" w:line="288" w:before="100" w:after="283"/>
        <w:jc w:val="left"/>
        <w:rPr/>
      </w:pPr>
      <w:r>
        <w:rPr>
          <w:rFonts w:ascii="Times New Roman;sans-serif" w:hAnsi="Times New Roman;sans-serif"/>
          <w:b w:val="false"/>
          <w:color w:val="000000"/>
          <w:sz w:val="20"/>
        </w:rPr>
        <w:t>We provide essential environmental services in the communities we serve and our operations can be adversely affected by periods of inclement or severe weather and natural disasters, which could increase the volume of material collected under our existing contracts (without corresponding compensation), delay the collection and disposal of material, reduce the volume of material delivered to our disposal sites or delay the construction or expansion of our landfill sites and other facilities. These risks may increase with the physical impacts of climate change. The impacts from adverse weather and natural disasters have the potential to last several months and to affect several facilities. We have business continuity plans in place for severe weather, natural disasters and other emergencies—hurricanes, tornadoes, flooding, winter storms, earthquakes and wildfires, among others—to help limit disruptions in our operations and</w:t>
      </w:r>
      <w:r>
        <w:rPr>
          <w:color w:val="000000"/>
        </w:rPr>
        <w:t xml:space="preserve"> </w:t>
      </w:r>
      <w:r>
        <w:rPr>
          <w:rFonts w:ascii="Times New Roman;sans-serif" w:hAnsi="Times New Roman;sans-serif"/>
          <w:b w:val="false"/>
          <w:color w:val="000000"/>
          <w:sz w:val="20"/>
        </w:rPr>
        <w:t>help</w:t>
      </w:r>
      <w:r>
        <w:rPr>
          <w:color w:val="000000"/>
        </w:rPr>
        <w:t xml:space="preserve"> </w:t>
      </w:r>
      <w:r>
        <w:rPr>
          <w:rFonts w:ascii="Times New Roman;sans-serif" w:hAnsi="Times New Roman;sans-serif"/>
          <w:b w:val="false"/>
          <w:color w:val="000000"/>
          <w:sz w:val="20"/>
        </w:rPr>
        <w:t>ensure the continuity of our services. Our operations can also be favorably affected by severe weather and natural disasters, which could increase the volume of material in situations where we are able to charge for our additional services. Refer to our TCFD Report for more information on climate impacts and our risk management strategies, available at investor.republicservices.com/sustainability. The information contained on our website shall not be deemed incorporated by reference in this Annual Report on Form 10-K or in any other filing we make under the Exchange Act.</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facilities and operations are subject to a variety of federal, state, provincial and local requirements that regulate, among other things, the environment, public health, safety, zoning and land use. Operating and other permits, licenses and other approvals generally are required for landfills and transfer stations, recycling centers, certain waste collection vehicles, fuel storage tanks and other equipment and facilities that we own or operate. These permits are subject to denial, revocation, modification and renewal in certain circumstances. Any revocation, modification or denial of permits could have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adverse effect on us. Federal, state and local laws and regulations vary, but generally govern wastewater or storm water discharges, air emissions, the handling, transportation, treatment, storage and disposal of hazardous and non-hazardous waste and the remediation of contamination associated with the release or threatened release of hazardous substances. These laws and regulations provide governmental authorities with strict powers of enforcement, which include the ability to revoke or decline to renew any of our operating permits, obtain injunctions, or impose fines or penalties in the event of violations, including criminal penalties. The United States EPA and various other federal, state, provincial and local authorities administer these regulations. Regulations with respect to hazardous waste are particularly relevant for our Group 3 reportable segment that provides treatment, recycling and disposal of hazardous waste.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comply with these regulations, we must incur substantial capital expenditures relating to our vehicles, landfills, transfer stations, recycling centers and other assets, and in connection with our capping, closure, post-closure and environmental remediation activities. 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could increase our costs to operate or require additional capital expenditures.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decrease in regulation may lower barriers to entry for our competitors. Further, we compete with counties and municipalities that operate their own collection and disposal facilities, and have the benefits of tax revenue and greater opportunities for tax-exempt financing.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conduct our operations in compliance with applicable laws, regulations and permits. However, from time to time we have been issued citations or notices from governmental authorities that have resulted in the need to expend funds for remedial work and related activities at various landfills and other facilities or in the need to expend funds for fines, penalties or settlements. Citations and notices may be issued in the future, notwithstanding our strong regulatory compliance efforts. We have established final capping, closure, post-closure and remediation reserves that we believe, based on currently available information, will be adequate to cover our current estimates of regulatory costs; however, actual costs may exceed our reserves.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Federal Regulation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primary federal, environmental and occupational health and safety-related statutes that affect our facilities and operations:</w:t>
      </w:r>
    </w:p>
    <w:p>
      <w:pPr>
        <w:pStyle w:val="TextBody"/>
        <w:bidi w:val="0"/>
        <w:spacing w:lineRule="auto" w:line="256" w:before="100" w:after="283"/>
        <w:ind w:left="0" w:right="0" w:hanging="360"/>
        <w:jc w:val="left"/>
        <w:rPr/>
      </w:pPr>
      <w:r>
        <w:rPr>
          <w:color w:val="000000"/>
        </w:rPr>
        <w:t>•</w:t>
      </w:r>
      <w:r>
        <w:rPr>
          <w:rFonts w:ascii="Times New Roman;sans-serif" w:hAnsi="Times New Roman;sans-serif"/>
          <w:b w:val="false"/>
          <w:i/>
          <w:color w:val="000000"/>
          <w:sz w:val="20"/>
        </w:rPr>
        <w:t>The Solid Waste Disposal Act, including the Resource Conservation and Recovery Act</w:t>
      </w:r>
      <w:r>
        <w:rPr>
          <w:color w:val="000000"/>
        </w:rPr>
        <w:t xml:space="preserve"> </w:t>
      </w:r>
      <w:r>
        <w:rPr>
          <w:rFonts w:ascii="Times New Roman;sans-serif" w:hAnsi="Times New Roman;sans-serif"/>
          <w:b w:val="false"/>
          <w:color w:val="000000"/>
          <w:sz w:val="20"/>
        </w:rPr>
        <w:t>(RCRA). RCRA establishes a framework for regulating the handling, transportation, treatment, storage and disposal of hazardous and non-hazardous solid waste, and requires states to develop programs to ensure the safe disposal of solid waste in sanitary landfills.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Subtitle C of RCRA establishes a framework for regulating the disposal of hazardous waste, and Subtitle D of RCRA establishes a framework for regulating the disposal of municipal solid waste. Regulations under Subtitle C set requirements for hazardous waste generators, transporters and treatment, storage and disposal facilities. Regulations under Subtitle D currently include minimum comprehensive solid waste management criteria and guidelines, including location restrictions, facility design and operating criteria, final capping, closure and post-closure requirements, financial assurance standards, groundwater monitoring requirements and corrective action standards. The EPA may authorize states to implement certain hazardous waste requirements of Subtitle C, and if a state program does not exist, the EPA directly implements the hazardous waste requirements. Nearly all of the states in which we operate have implemented permit programs pursuant to RCRA and Subtitles C and D. These state permit programs may include landfill requirements that are more stringent than those of Subtitles C and D. Our failure to comply with any of these environmental requirements at any of our locations may lead to temporary or permanent loss of an operating permit, which would result in costs in connection with securing new permits, reduced revenue from lost operational time and increased third party disposal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our planned landfill expansions and new landfill development projects have been engineered to meet or exceed Subtitles C and D requirements, as applicable. Operating and design criteria for existing operations have been modified to comply with these regulations. Compliance with Subtitles C and D regulations has resulted in increased capital expenditures and operating costs and may in the future require substantial additional expenditures in addition to other costs normally associated with our waste management activities.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The Comprehensive Environmental Response, Compensation and Liability Act of 1980</w:t>
      </w:r>
      <w:r>
        <w:rPr>
          <w:color w:val="000000"/>
        </w:rPr>
        <w:t xml:space="preserve"> </w:t>
      </w:r>
      <w:r>
        <w:rPr>
          <w:rFonts w:ascii="Times New Roman;sans-serif" w:hAnsi="Times New Roman;sans-serif"/>
          <w:b w:val="false"/>
          <w:color w:val="000000"/>
          <w:sz w:val="20"/>
        </w:rPr>
        <w:t xml:space="preserve">(CERCLA). CERCLA, among other things, provides for the cleanup of sites from which there is a release or threatened release of a hazardous substance into the environment. CERCLA may impose strict joint and several liability for the costs of cleanup and for damages to natural resources upon current owners and operators of a site, parties who were owners or operators of a site at the time the hazardous substances were disposed of, parties who transported the hazardous substances to a site and parties who arranged for the disposal of the hazardous substances at a site. Under the authority of CERCLA and its implementing regulations, detailed requirements apply to the manner and degree of investigation and remediation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sites where hazardous substances have been or are threatened to be released into the environment. Liability under CERCLA is not dependent on the existence or disposal of only hazardous wastes, but also can be based upon the existence of small quantities of more than 700 substances currently characterized by the EPA as hazardous, many of which are found in common household waste. The EPA may also designate additional substances as hazardous; in 2024, the EPA finalized a rule that designated two PFAS as hazardous substances. Among other things, CERCLA authorizes the federal government to investigate and remediate sites at which hazardous substances have been or are threatened to be released into the environment, or to order persons potentially liable for the cleanup of the hazardous substances to do so themselves. In addition, the EPA has established a National Priorities List of sites at which hazardous substances have been, or are threatened to be, released and which require investigation or cleanup.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CERCLA liability is strict liability. It can be founded upon the release or threatened release, even as a result of unintentional, non-negligent or lawful action, of hazardous substances, including very small quantities of such substances. Thus, even if we have never knowingly transported or received hazardous substances, it is possible that hazardous substances have been deposited or released at landfills or other facilities that we presently or historically have owned or operated, or at properties owned by third parties to which we have transported waste. Therefore, we could be liable under CERCLA for the cost of cleaning up, or protecting against the release of, such hazardous substances at such sites and for damages to natural resources, even if those substances were deposited at our facilities before we acquired or operated them. The costs of a CERCLA cleanup can be very expensive and can include the costs of disposing of hazardous substances at appropriately-licensed facilities. Given the difficulty of obtaining insurance for environmental impairment liability, any such liability could have a material effect on our business, financial condition, results of operations and cash flows.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The Federal Water Pollution Control Act of 1972</w:t>
      </w:r>
      <w:r>
        <w:rPr>
          <w:color w:val="000000"/>
        </w:rPr>
        <w:t xml:space="preserve"> </w:t>
      </w:r>
      <w:r>
        <w:rPr>
          <w:rFonts w:ascii="Times New Roman;sans-serif" w:hAnsi="Times New Roman;sans-serif"/>
          <w:b w:val="false"/>
          <w:color w:val="000000"/>
          <w:sz w:val="20"/>
        </w:rPr>
        <w:t>(the Clean Water Act). This act regulates the discharge of pollutants from a variety of sources, including solid waste disposal sites, into streams, rivers and other waters of the United States. Runoff from our landfills and transfer stations that is discharged into surface waters through discrete conveyances must be covered by discharge permits that generally require us to conduct sampling and monitoring, and, under certain circumstances, to reduce the quantity of pollutants in those discharges. Storm water discharge regulations under the Clean Water Act require a permit for certain construction activities and for runoff from industrial operations and facilities, which may affect our operations. If a landfill or transfer station discharges wastewater through a sewage system to a publicly-owned treatment works, the facility must comply with discharge limits imposed by that treatment works. In addition, states may adopt groundwater protection programs under the Clean Water Act or the Safe Drinking Water Act that could affect the manner in which our landfills monitor and control their waste management activities. Furthermore, if development at any of our facilities alters or affects wetlands, we may be required to secure permits before such development starts. In these situations, permitting agencies may require mitigation of wetland impacts.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The Clean Air Act.</w:t>
      </w:r>
      <w:r>
        <w:rPr>
          <w:color w:val="000000"/>
        </w:rPr>
        <w:t> </w:t>
      </w:r>
      <w:r>
        <w:rPr>
          <w:rFonts w:ascii="Times New Roman;sans-serif" w:hAnsi="Times New Roman;sans-serif"/>
          <w:b w:val="false"/>
          <w:color w:val="000000"/>
          <w:sz w:val="20"/>
        </w:rPr>
        <w:t xml:space="preserve">The Clean Air Act imposes limitations on emissions from various sources, including landfills. In 1996, the EPA promulgated regulations that require large municipal solid waste landfills to install landfill gas monitoring systems along with landfill gas control systems unless emissions are below established thresholds. These regulations apply to landfills that commenced construction, reconstruction or modification on or after May 30, 1991, and, principally, to landfills that can accommodate 2.5 million cubic meters or more of municipal solid waste. The regulations apply whether the landfills are active or closed. The date by which each affected landfill must have a gas collection and control system installed and made operational varies depending on calculated emission rates at the landfill. In July 2016, the EPA issued final amendments to its regulations that require large landfills that commenced construction, reconstruction, or modification on or after July 17, 2014 to capture additional landfill gas to reduce emissions of methane and certain non-methane gases, which are recognized as greenhouse gases. In a separate rule finalized at the same time, the EPA issued updates to its 1996 Emission Guidelines to reduce emissions of landfill gas from existing active landfills. Both actions were part of the Obama Administration's Climate Action Plan - Strategy to Reduce Methane Emissions. As part of the Biden Administration's focus on climate change, the EPA has taken further steps to implement these regulations. These and other efforts to curtail the emission of greenhouse gases and to ameliorate the effect of climate change may require our landfills to deploy more stringent emission controls and monitoring systems, with resulting capital or operating costs. Many state regulatory agencies also currently require monitoring systems for the collection and control of certain landfill gas. Certain of these state agencies are also implementing greenhouse gas control regulations that would also apply to landfill gas emissions. See Item 1A, </w:t>
      </w:r>
      <w:r>
        <w:rPr>
          <w:rFonts w:ascii="Times New Roman;sans-serif" w:hAnsi="Times New Roman;sans-serif"/>
          <w:b w:val="false"/>
          <w:i/>
          <w:color w:val="000000"/>
          <w:sz w:val="20"/>
        </w:rPr>
        <w:t>Risk Factors</w:t>
      </w:r>
      <w:r>
        <w:rPr>
          <w:color w:val="000000"/>
        </w:rPr>
        <w:t xml:space="preserve"> – </w:t>
      </w:r>
      <w:r>
        <w:rPr>
          <w:rFonts w:ascii="Times New Roman;sans-serif" w:hAnsi="Times New Roman;sans-serif"/>
          <w:b w:val="false"/>
          <w:i/>
          <w:color w:val="000000"/>
          <w:sz w:val="20"/>
        </w:rPr>
        <w:t>Regulation of greenhouse gas emissions and other governmental regulations could impose costs on our operations, the magnitude of which is difficult to estimate</w:t>
      </w:r>
      <w:r>
        <w:rPr>
          <w:rFonts w:ascii="Times New Roman;sans-serif" w:hAnsi="Times New Roman;sans-serif"/>
          <w:b w:val="false"/>
          <w:color w:val="000000"/>
          <w:sz w:val="20"/>
        </w:rPr>
        <w:t>, in this Annual Report on Form 10-K.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vehicle fleet may become subject to higher efficiency standards or other carbon-emission restrictions. Over the past decade, the EPA and the National Highway Traffic Safety Administration (NHTSA) have adopted regulations mandating the reduction of vehicle tail pipe emissions as a means of reducing greenhouse gas emissions. The regulations take the form of fuel economy standards. The EPA and the NHTSA have developed fuel economy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standards in two vehicle categories: (1) passenger automobiles and light-duty trucks (collectively, light-duty vehicles); and (2) heavy-duty trucks, including solid waste collection vehicles and tractor trailers. We own and operate vehicles in both categories. EPA and NHTSA periodically issue rules covering additional model years, typically increasing the stringency of the relevant vehicle standards, and those rules are frequently challenged in court.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The Occupational Safety and Health Act of 1970</w:t>
      </w:r>
      <w:r>
        <w:rPr>
          <w:color w:val="000000"/>
        </w:rPr>
        <w:t xml:space="preserve"> </w:t>
      </w:r>
      <w:r>
        <w:rPr>
          <w:rFonts w:ascii="Times New Roman;sans-serif" w:hAnsi="Times New Roman;sans-serif"/>
          <w:b w:val="false"/>
          <w:color w:val="000000"/>
          <w:sz w:val="20"/>
        </w:rPr>
        <w:t>(OSHA). This act authorizes the Occupational Safety and Health Administration of the United States Department of Labor to promulgate occupational safety and health standards. A number of these standards, including standards for notices of hazardous chemicals and the handling of asbestos, apply to our facilities and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State and Local Regulation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state in which we operate has its own laws and regulations governing solid waste disposal, water and air pollution, and, in most cases, releases and cleanup of hazardous substances and liabilities for such matters. States also have adopted regulations governing the design, operation, maintenance and closure of landfills and transfer stations. Some counties, municipalities and other local governments have adopted similar laws and regulations. In addition, our operations may be affected by the trend in many states toward requiring solid waste reduction and recycling programs. For example, several states have enacted laws that require counties or municipalities to adopt comprehensive plans to reduce, through solid waste planning, composting, recycling or other programs, the volume of solid waste deposited in landfills. Additionally, laws and regulations restricting the disposal of certain waste in solid waste landfills, including yard waste, food waste, newspapers, beverage containers, unshredded tires, lead-acid batteries, electronic wastes and household appliances, have been adopted in several states and are being considered in others. Some jurisdictions have enacted or are considering enacting “extended producer responsibility” regulations, which are designed to obligate producers to fund the post-use life cycle of their products by providing recycling programs for their products. State and municipal governments also have enacted or may enact “organic diversion” regulations that require food waste to be managed separately from the other waste streams, similar to the rules recently enacted in California. Several states have also enacted or are considering “minimum recycled content” regulations mandating certain minimum post-consumer recycled content in certain types of packaging, including California. Legislative and regulatory measures to mandate or encourage waste reduction and recycling also have been considered, or are under consideration by, the United States Congress and the EPA. These regulations may present new opportunities to offer sustainable environmental services to our customers but may require investment of time, effort and money to be able to offer these new solutions and expose us to additional regulatory requirements and competition from others offering these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construct, operate and expand a landfill, we must obtain one or more construction or operating permits, as well as zoning and land use approvals. These permits and approvals may be burdensome to obtain and to comply with, are often opposed by neighboring landowners and citizens’ groups, may be subject to periodic renewal, and are subject to denial, modification, non-renewal and revocation by the issuing agency. Significant compliance disclosure obligations often accompany these processes. In connection with our acquisition of existing landfills, we may be required to spend considerable time, effort and money to bring the acquired facilities into compliance with applicable requirements and to obtain the permits and approvals necessary to increase their capacity.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Canadian Waste Regulation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Group 3 operations and facilities are subject to, among other regulations, Canadian hazardous and non-hazardous waste regulations. The Canadian federal government regulates issues within federal jurisdiction, including activities that cross provincial boundaries or affect Canada’s relations with other nations. The Canadian provinces also have jurisdiction over environmental matters within their respective boundaries, including primary responsibility for regulation and management of hazardous and non-hazardous waste.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main federal laws governing waste management are the Canadian Environmental Protection Act, 1999 (CEPA) and the Transportation of Dangerous Goods Act, 1992. Environment and Climate Change Canada (ECCC) is the federal agency with responsibility for environmental matters. CEPA charges ECCC and Health Canada with the protection of human health and the environment and seeks to control the production, importation and use of substances in Canada and their impact on the environment. The Cross-border Movement of Hazardous Waste and Hazardous Recyclable Material Regulations under CEPA control the transboundary movement of hazardous waste and hazardous recyclable materials. These regulations require that anyone proposing to export or import hazardous waste or hazardous recyclable materials or transport them through Canada notify ECCC and obtain a permit to do so.</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facilities are subject to the Québec Environment Quality Act, the Ontario Environmental Protection Act or the Alberta Environmental Protection and Enhancement Act and their respective regulations. These statutes and regulations regulate the generation, collection, characterization, documentation, transport, storage, treatment, recovery and disposal of hazardous and non-hazardous wastes, establish the requirements for waste management facilities and waste transportation systems and govern actual or potential releases of contaminants in the environment, such as air emissions and soil, groundwater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surface water contamination issues. Similarly, the federal Fisheries Act and provincial statutes such as the Ontario Water Resources Act also regulate releases of contaminants to bodies of water.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Hazardous waste transporters are required to hold permits to operate under the provincial statutes and regulations and are also subject to safety documentation and reporting requirements under provincial law and the federal Transportation of Dangerous Goods Act, 1992.</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Maritime Regulations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Group 3 operations own and use 63 vessels registered under the United States flag. Accordingly, we are subject to various United States federal, state and local statutes and regulations governing the ownership, operation and maintenance of our vessels. Our United States-flag vessels are subject to the direct jurisdiction of the United States Coast Guard, the United States Customs and Border Protection and the United States Maritime Administration as well as other federal and state agencies. We are also subject to international laws and conventions and the local laws of foreign jurisdictions when we operate outside of the United States.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operations of our standby services business within Group 3 is conducted in the United States coastwise trade. This is a protected market that is subject to United States cabotage laws that impose certain restrictions on the ownership and operation of vessels in the United States coastwise trade. These laws are principally contained in 46 U.S.C. Chapters 121, 505 and 551 and the related regulations, which are commonly referred to collectively as the “Jones Act.” The Jones Act restricts transportation of merchandise by water or by land and water, either directly or via a foreign port, between points in the United States and certain of its island territories. Subject to limited exceptions, the Jones Act requires that vessels engaged in United States coastwise trade be owned and operated by United States citizens within the meaning of the Jones Act, be built in and registered under the laws of the United States and manned by predominantly United States citizen crews. We have compliance mechanisms in place designed to assist with monitoring and maintaining compliance with the ownership requirements of the Jones Act.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our offshore vessels are subject to either United States or international safety and classification standards and sometimes both. United States-flag vessels, barges and crew boats are required to undergo periodic inspections pursuant to United States Coast Guard regulations.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a number of safety, security and environmental laws and regulations, including the Oil Pollution Act of 1990, CERCLA, the Clean Air Act, and the International Ship and Port Facility Security Code (ISPFS Code), an amendment to the International Convention for the Safety of Life at Sea (SOLAS) as implemented in the Maritime Transportation and Security Act of 2002 to align United States regulations with those of SOLAS and the ISPS Code. The ISPS Code provides that owners or operators of certain vessels and facilities must provide security and security plans for their vessels and facilities and obtain appropriate certification of compliance. Under the ISPS Code, we perform worldwide security assessments, risk analyses and develop vessel and required port facility security plans to enhance safe and secure vessel and facility operations. Additionally, we have developed security annexes for those United States-flag vessels that transit or work in waters designated as high risk by the United States Coast Guard pursuant to the latest revision of Marsec Directive 104-6.</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Other Regulations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facilities and operations are subject to the Toxic Substances Control Act of 1976 (TSCA) and the Atomic Energy Act of 1954, as amended (AEA). TSCA regulates the treatment, storage and disposal of polychlorinated biphenyls and asbestos. The AEA assigns the United States Nuclear Regulatory Commission (USNRC) regulatory authority over receipt, possession, use and transfer of certain radioactive materials, including disposal. The USNRC has adopted regulations for licensing commercial low-level radioactive waste regulated under the AEA for disposal and has delegated regulatory authority to certain states, including states where one or more of our facilities are located. The USNRC and United States Department of Transportation regulate the transport of radioactive materials. Shippers must comply with both the general requirements for hazardous materials transportation and specific requirements for transporting radioactive materials.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facilities own and operate underground storage tanks that are generally used to store petroleum-based products. These tanks can be subject to federal, state and local laws and regulations that mandate their periodic testing, upgrading, closure and removal. In the event of leaks or releases from these tanks, these regulations require that polluted groundwater and soils be remediated. If underground storage tanks we own or operate leak, we could be liable for response costs and, if the leakage migrates onto the property of others, we could be liable for damages to third parties. We are unaware of facts indicating that issues of compliance with regulations related to underground storage tanks will have a material adverse effect on our consolidated financial condition, results of operations or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regard to our solid waste transportation operations, we are subject to the jurisdiction of the Surface Transportation Board and are regulated by the Federal Highway Administration, Office of Motor Carriers and by regulatory agencies in states that regulate such matters. Various state and local government authorities have adopted, or are considering adopting,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regulations that would restrict the transportation of solid waste across state, county, or other jurisdictional lines. In 1978, the United States Supreme Court ruled that a law that restricts the importation of out-of-state solid waste is unconstitutional; however, states have attempted to distinguish proposed laws from those involved in and implicated by that ruling. In 1994, the United States Supreme Court ruled that a flow control law, which attempted to restrict solid waste from leaving its place of generation, imposes an impermissible burden upon interstate commerce and is unconstitutional. In 2007, however, the United States Supreme Court upheld the right of a local government to direct the flow of solid waste to a publicly-owned and publicly-operated waste facility. A number of county and other local jurisdictions have enacted ordinances or other regulations restricting the free movement of solid waste across jurisdictional boundaries. Other governments may enact similar regulations in the future. These regulations may cause a decline in volumes of waste delivered to our landfills or transfer stations and may increase our costs of disposal, thereby adversely affecting our operations and our financial results.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engaged in 79 landfill gas-to-energy and other renewable energy projects. The production of renewable fuel through certain of these projects is incentivized by the federal Renewable Fuel Standard (RFS) program, which was authorized under the Energy Policy Act of 2005 and expanded through the Energy Independence and Security Act of 2007. Oil refiners and importers are required through the RFS program to blend specified volumes of renewable transportation fuels with gasoline or buy credits, known as renewable identification numbers (RINs), from renewable fuel producers. The amount of RIN credits generated by each gallon of renewable fuel depends on the process and feedstock used to create the specific renewable fuel. There is a market for RINs and, as we and/or our partners produce RFS-compliant renewable fuel, RINs are generated and sold to parties purchasing such RINs to achieve compliance with the RFS program.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Climate and Sustainability Trends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Jurisdictions have been updating climate policies toward the goal of reporting and reducing greenhouse gas (GHG) emissions through a broad range of sustainability initiatives. We believe reducing our impact on the planet and improving the quality of life of its inhabitants are the right things to do, and have committed to heightened emissions reduction goals. Taking into account the challenges associated with quantifying environmental services emissions precisely, we evaluate and offer strategic opportunities to provide our customers with sustainable solutions to reduce their GHG emissions as new regulatory and business developments related to concerns about climate change arise. As a provider of a highly regulated public service, we recognize the importance of broad stakeholder engagement in these endeavors, and we actively seek opportunities for discussion on more sustainable materials management practices. In addition, we cooperate with and support initiatives at the federal and state level that encourage sustainable practices including the production and use of renewable, low-carbon fuels and electricity and the processing of recyclables and organics.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long been a leader in sustainability as it relates to environmental services and strive to maintain this reputation. Our sustainability commitments, as well as our progress toward our current goals, are published in our Sustainability Report and accompanying reports and can be found at investor.republicservices.com/sustainability. The information contained on our website shall not be deemed incorporated by reference in this Annual Report on Form 10-K or in any other filing we make under the Exchange Act.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Liabilities Established for Landfill and Environmental Costs</w:t>
      </w:r>
    </w:p>
    <w:p>
      <w:pPr>
        <w:pStyle w:val="TextBody"/>
        <w:bidi w:val="0"/>
        <w:spacing w:lineRule="auto" w:line="288" w:before="100" w:after="283"/>
        <w:jc w:val="left"/>
        <w:rPr/>
      </w:pPr>
      <w:r>
        <w:rPr>
          <w:rFonts w:ascii="Times New Roman;sans-serif" w:hAnsi="Times New Roman;sans-serif"/>
          <w:b w:val="false"/>
          <w:color w:val="000000"/>
          <w:sz w:val="20"/>
        </w:rPr>
        <w:t xml:space="preserve">We have established reserves for landfill and environmental costs, which include landfill site final capping, closure and post-closure costs. We periodically reassess such costs based on various methods and assumptions regarding landfill airspace and the technical requirements of Subtitles C and D of RCRA, and we adjust our amortization rates used to expense final capping, closure and post-closure costs accordingly. Based on current information and regulatory requirements, we believe that our recorded reserves for such landfill and environmental expenditures are adequate; however, environmental laws may change, and our recorded reserves may not be adequate to cover requirements under existing or new environmental laws and regulations, future changes or interpretations of existing laws and regulations, or adverse environmental conditions previously unknown to us. Refer to the </w:t>
      </w:r>
      <w:r>
        <w:rPr>
          <w:rFonts w:ascii="Times New Roman;sans-serif" w:hAnsi="Times New Roman;sans-serif"/>
          <w:b w:val="false"/>
          <w:i/>
          <w:color w:val="000000"/>
          <w:sz w:val="20"/>
        </w:rPr>
        <w:t>Material Cash Requirements and Intended Uses of Cash</w:t>
      </w:r>
      <w:r>
        <w:rPr>
          <w:color w:val="000000"/>
        </w:rPr>
        <w:t xml:space="preserve"> </w:t>
      </w:r>
      <w:r>
        <w:rPr>
          <w:rFonts w:ascii="Times New Roman;sans-serif" w:hAnsi="Times New Roman;sans-serif"/>
          <w:b w:val="false"/>
          <w:color w:val="000000"/>
          <w:sz w:val="20"/>
        </w:rPr>
        <w:t xml:space="preserve">section of our Management’s Discussion and Analysis of Financial Condition and Results of Operations contained in Part II, Item 7 of this Annual Report on Form 10-K and to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to our audited consolidated financial statements in Part II, Item 8 of this Annual Report on Form 10-K for further information.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Liability Insurance and Bonding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nature of our business exposes us to the possible risk of liabilities arising out of our operations, including damages to the environment, property, employees or the general public, or those resulting from cyber incidents. We focus on operating safely and prudently, but occasionally we receive claims, alleging damages, negligence or other wrongdoing in the planning or performance of work, which resulted in harm to the environment, property, employees or the general public. These liabilities can be significant. We also could be subject to fines and civil and criminal penalties in connection with alleged violations of regulatory requirements. We maintain various policies of insurance that, subject to limitations, exclusions, or deductibles, provide coverage for these types of claims. While we believe the amount of insurance is appropriate for our type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insurance may not be adequate, in scope or amount, in the event of a major loss, and we may be exposed to uninsured liabilities that could have a material adverse effect on our consolidated financial condition, results of operations or cash flows. We may choose not to continue to maintain the insurance should market conditions in the insurance industry make such coverage cost prohibitive.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deductibles are based on claims filed and actuarial estimates of claims development and claims incurred but not reported. Due to the variable condition of the insurance market, we have experienced, and may experience in the future, increased deductible retention levels and increased premiums or unavailability of insurance. As we assume more risk through higher retention levels, we may experience more variability in our insurance reserves and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we also purchase surety bonds, insurance policies, letters of credit, or marketable securities deposits in connection with, among other things, municipal residential collection contracts, financial assurance for closure and post-closure of landfills, environmental remediation, environmental permits and business licenses and permits as a financial guarantee of our performance.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Availability of Reports and Other Information</w:t>
      </w:r>
    </w:p>
    <w:p>
      <w:pPr>
        <w:pStyle w:val="TextBody"/>
        <w:bidi w:val="0"/>
        <w:spacing w:lineRule="auto" w:line="288" w:before="100" w:after="283"/>
        <w:jc w:val="left"/>
        <w:rPr/>
      </w:pPr>
      <w:r>
        <w:rPr>
          <w:rFonts w:ascii="Times New Roman;sans-serif" w:hAnsi="Times New Roman;sans-serif"/>
          <w:b w:val="false"/>
          <w:color w:val="000000"/>
          <w:sz w:val="20"/>
        </w:rPr>
        <w:t xml:space="preserve">Our corporate website is </w:t>
      </w:r>
      <w:r>
        <w:rPr>
          <w:rFonts w:ascii="Times New Roman;sans-serif" w:hAnsi="Times New Roman;sans-serif"/>
          <w:b w:val="false"/>
          <w:color w:val="000000"/>
          <w:sz w:val="20"/>
          <w:u w:val="single"/>
        </w:rPr>
        <w:t>republicservices.com</w:t>
      </w:r>
      <w:r>
        <w:rPr>
          <w:rFonts w:ascii="Times New Roman;sans-serif" w:hAnsi="Times New Roman;sans-serif"/>
          <w:b w:val="false"/>
          <w:color w:val="000000"/>
          <w:sz w:val="20"/>
        </w:rPr>
        <w:t>. We make available on that website, free of charge, access to our Annual Reports on Form 10-K, Quarterly Reports on Form 10-Q, Current Reports on Form 8-K, Proxy Statements on Schedule 14A and amendments to those materials filed or furnished with the Securities and Exchange Commission (SEC) pursuant to Section 13(a) or 15(d) of the Securities Exchange Act of 1934. We make such materials available as soon as reasonably practicable after we electronically submit them to the SEC. Our corporate website also contains our Certificate of Incorporation, Bylaws, Corporate Governance Guidelines, Code of Ethics and Conduct, Political Contributions Policy, Human Rights Policy and Charters of the Audit Committee, Management Development and Compensation Committee, Nominating and Corporate Governance Committee and Sustainability and Corporate Responsibility Committee of the Board of Directors. In addition, the SEC makes available at its website (</w:t>
      </w:r>
      <w:r>
        <w:rPr>
          <w:rFonts w:ascii="Times New Roman;sans-serif" w:hAnsi="Times New Roman;sans-serif"/>
          <w:b w:val="false"/>
          <w:color w:val="000000"/>
          <w:sz w:val="20"/>
          <w:u w:val="single"/>
        </w:rPr>
        <w:t>sec.gov</w:t>
      </w:r>
      <w:r>
        <w:rPr>
          <w:rFonts w:ascii="Times New Roman;sans-serif" w:hAnsi="Times New Roman;sans-serif"/>
          <w:b w:val="false"/>
          <w:color w:val="000000"/>
          <w:sz w:val="20"/>
        </w:rPr>
        <w:t xml:space="preserve">), free of charge, reports, proxy statements and other information regarding issuers, such as us, that file electronically with the SEC. Information on our website or the SEC website is not part of this Annual Report on Form 10-K. We intend to satisfy the disclosure requirements under Item 5.05 of Form 8-K and applicable New York Stock Exchange (NYSE) rules regarding amendments to or waivers of our Code of Ethics by posting this information on our website at </w:t>
      </w:r>
      <w:r>
        <w:rPr>
          <w:rFonts w:ascii="Times New Roman;sans-serif" w:hAnsi="Times New Roman;sans-serif"/>
          <w:b w:val="false"/>
          <w:color w:val="000000"/>
          <w:sz w:val="20"/>
          <w:u w:val="single"/>
        </w:rPr>
        <w:t>republicservices.com</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color w:val="000000"/>
          <w:sz w:val="20"/>
        </w:rPr>
        <w:t>RISK FACTORS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Disclosure Regarding Forward-Looking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Among other sections of this Form 10-K, the Risk Factors and Management’s Discussion and Analysis of Financial Condition and Results of Operations include forward-looking statements. These statements include statements about our plans, strategies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and market conditions, including inflation and changes in fuel, interest rates, international trade restrictions, labor, risk, health insurance and other variable costs that generally are not within our control, and our exposure to credit and counterparty risk;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fluctuations in prices for recycled commodities that we sell to customers;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whether our estimates and assumptions concerning critical accounting issues are correct or appropriate, including estimates and assumptions concerning selected balance sheet accounts, income tax accounts, final capping, closure, post-closure and remediation costs, available airspace, projected costs and expenses related to our landfills and property and equipment, fair values of acquired assets and liabilities assumed in our acquisitions and labor, fuel rates and economic and inflationary trends;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competition and demand for services in the environmental services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price increases to our customers, which may not be adequate to offset the impact of increased costs, including labor, third-party disposal and fuel and may cause us to lose volume;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growth and execute our growth strategy;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compliance with, and future changes in, environmental and flow control regulations and our ability to obtain approvals from regulatory agencies in connection with operating and expanding our landfills and other facilities;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on us of our substantial indebtedness, including on our ability to obtain financing on acceptable terms to finance our operations and growth strategy and to operate within the limitations imposed by financing arrangements;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retain our investment grade ratings for our debt;</w:t>
      </w:r>
    </w:p>
    <w:p>
      <w:pPr>
        <w:pStyle w:val="TextBody"/>
        <w:bidi w:val="0"/>
        <w:spacing w:lineRule="auto" w:line="288" w:before="100" w:after="120"/>
        <w:ind w:left="0" w:right="0" w:hanging="360"/>
        <w:jc w:val="left"/>
        <w:rPr/>
      </w:pPr>
      <w:r>
        <w:rPr>
          <w:color w:val="000000"/>
        </w:rPr>
        <w:t>•</w:t>
      </w:r>
      <w:r>
        <w:rPr>
          <w:rFonts w:ascii="Times New Roman;sans-serif" w:hAnsi="Times New Roman;sans-serif"/>
          <w:b w:val="false"/>
          <w:color w:val="000000"/>
          <w:sz w:val="20"/>
        </w:rPr>
        <w:t>our dependence on key personnel;</w:t>
      </w:r>
    </w:p>
    <w:p>
      <w:pPr>
        <w:pStyle w:val="TextBody"/>
        <w:bidi w:val="0"/>
        <w:spacing w:lineRule="auto" w:line="288" w:before="100" w:after="120"/>
        <w:ind w:left="0" w:right="0" w:hanging="360"/>
        <w:jc w:val="left"/>
        <w:rPr/>
      </w:pPr>
      <w:r>
        <w:rPr>
          <w:color w:val="000000"/>
        </w:rPr>
        <w:t>•</w:t>
      </w:r>
      <w:r>
        <w:rPr>
          <w:rFonts w:ascii="Times New Roman;sans-serif" w:hAnsi="Times New Roman;sans-serif"/>
          <w:b w:val="false"/>
          <w:color w:val="000000"/>
          <w:sz w:val="20"/>
        </w:rPr>
        <w:t>our dependence on large, long-term collection, transfer and disposal contracts;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capital intensive nature of our business, which may consume cash in excess of cash flow from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exposure to liabilities or losses, to the extent not adequately covered by insurance, which could result in substantial expenses;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associated with undisclosed liabilities of acquired businesses;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associated with pending and future legal proceedings, including litigation, audits or investigations brought by or before any governmental body;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severe weather conditions, including those brought about by climate change, which could impair our financial results by causing increased costs, loss of revenue, reduced operational efficiency or disruptions to our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compliance with existing and future legal and regulatory requirements, including changes relating to PFAS and other chemicals of emerging concern and limitations or bans on disposal of certain types of wastes or on the transportation of waste, which could limit our ability to conduct or grow our business, increase our costs to operate or require additional capital expenditures;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achieve reduction in our greenhouse gas emissions and our other sustainability goals;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safety and operational risks, including the risk of personal injury to our employees or third parties;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potential increases in our costs if we are required to provide additional funding to any multiemployer pension plan to which we contribute or if a withdrawal event (including our voluntary withdrawal, which we consider from time to time, or the mass withdrawal of all contributing employers from any underfunded multiemployer pension plan) occurs with respect to any such plan;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negative impact on our operations of union organizing campaigns, work stoppages or labor shortages;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negative effect that trends toward requiring recycling, waste reduction at the source and prohibiting the disposal of certain types of wastes could have on volumes of waste going to landfills;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by the Financial Accounting Standards Board or other accounting regulatory bodies to generally accepted accounting principles or policies;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United States and international tax laws and regulations on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interruptions and breaches of our information technology systems that could adversely affect, or temporarily disable, all or a portion of our operations or have a negative effect on our infrastructure;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negative impact that a cyber-security incident could have on our business and our relationships with customers and employees;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acts of war, riots or terrorism, including the continuing war on terrorism, as well as actions taken or to be taken by the United States or other governments as a result of further acts or threats of terrorism and the impact of these acts on economic, financial and social conditions in the United States.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risks included here are not exhaustive. Refer to the Risk Factors in this Item 1A for further discussion regarding our exposure to risks. You should be aware that any forward-looking statement in this Annual Report on Form 10-K and the documents incorporated herein by reference or elsewhere, speaks only as of the date on which we make it. Additionally, new risk factors emerge from time to time and it is not possible for us to predict all such risk factors, or to assess the impact such risk factors might have on our business or the extent to which any factor or combination of factors may cause actual results to differ materially from those contained in any forward-looking statements. You should not place undue reliance on any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looking statement. Except to the extent required by applicable law or regulation, we undertake no obligation to update or publish revised forward-looking statements to reflect events or circumstances after the date of this Annual Report on Form 10-K and the documents incorporated by reference, as the case may be, or to reflect the occurrence of unanticipated events.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The environmental services industry is highly competitive and includes competitors that may have greater financial and operational resources, flexibility to reduce prices or other competitive advantages that could make it difficult for us to compete effectively.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principally compete with large national waste management companies, numerous municipalities and numerous regional and local companies. Competition for collection accounts is typically based on the quality of services, ease of doing business and/or price. Competition for disposal business is primarily based on geographic location, quality of operations and price. One of our competitors may have greater financial and operational resources than we do. Further, many counties and municipalities that operate their own collection and disposal facilities have the benefits of tax revenue and greater opportunities for tax-exempt financing. Our ability to obtain solid waste volume for our landfills also may be limited by the fact that some major collection operations also own or operate landfills to which they send their waste. In certain markets in which we do not own or operate a landfill, our collection operations may have difficulty competing effectively. We are also subject to risks associated with contracts awarded by municipalities and other entities through competitive bidding. For example, we may not be the successful bidder, we may need to lower our price in order to win or retain a contract, and our competitors may have lower financial expectations that permit them to reduce their prices in order to win a contract. If we were to lose market share or if we were to lower prices to address competitive issues, it could negatively impact our consolidated financial condition, results of operations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Increases in the cost of fuel or petrochemicals increase our operating expenses, and we may not be able to recover such cost increases from our customers.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fuel purchased in the open market to operate our collection and transfer trucks and other equipment used for collection, transfer, disposal and other environmental services. Fuel prices are unpredictable and fluctuate significantly based on events beyond our control, including geopolitical developments, actions by the Organization of the Petroleum Exporting Countries and other oil and gas producers, changes in refinery operations, supply and demand for oil and gas, war, terrorism and unrest in oil-producing countries, adverse weather and regional production patterns. Due to contractual or market factors, we may not be able to offset increased fuel costs resulting from such volatility through fuel recovery fees. Our fuel costs were $470 million in 2024, or 2.9% of revenue, compared to $542 million in 2023, or 3.6% of revenue.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current consumption levels, a twenty-cent per gallon change in the price of diesel fuel changes our fuel costs by approximately $27 million on an annual basis. Offsetting these changes in fuel expense would be changes in our fuel recovery fee charged to our customers. At current participation rates, we believe a twenty-cent per gallon change in the price of diesel fuel changes our fuel recovery fee by approximately $38 million. A substantial rise or drop in fuel costs could materially affect our revenue and cost of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the last decade, regulations have been adopted mandating changes in the composition of fuels for motor vehicles. The renewable fuel standards that the EPA sets annually affect the type of fuel our motor vehicle fleet uses. It is difficult to predict the quantity of renewable fuel volumes that the EPA will mandate for future years. These regulations are one of many factors that may affect the cost of the fuel we use.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 of our fleet of vehicles is powered by CNG and we also operate CNG fueling stations. We have invested higher upfront capital costs in order to purchase and support our CNG vehicles and fueling stations in order to reduce our overall fleet operating costs through lower fuel expenses and to create a competitive advantage in communities that focus on protecting the environment. CNG is not yet widely adopted in North America. As the CNG industry develops, new regulations, the availability of alternative fuel technologies, fluctuations in the price or availability of CNG or reductions in tax incentives for the use of CNG vehicles could substantially affect our revenue and costs of operations and reduce the benefits sought by investing in CNG vehicles and fueling stations.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also require the use of products (such as liners at our landfills) whose costs may vary with the price of petrochemicals. An increase in the price of petrochemicals could increase the cost of those products, which would increase our operating and capital costs. Petrochemical prices, and hence our operating and capital costs, may be further affected by regulatory efforts to reduce greenhouse gases from the industries that produce such petrochemicals. We are also susceptible to increases in fuel recovery fees from our vendors.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Fluctuations in prices for recycled commodities that we sell to customers may adversely affect our consolidated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or collect and process recyclable materials such as paper, cardboard, plastics, aluminum and other metals for sale to third parties. Our results of operations may be affected by changing prices or market requirements for recyclable materials. The resale and purchase prices of, and market demand for, recyclable materials are volatile due to changes in economic conditions and numerous other factors beyond our control. For instance, in 2017 the Chinese government imposed strict limits on the import of recyclable materials, including by restricting the amount of contaminants allowed in imported recycled paper. These limitations significantly decreased the global demand for recyclable materials and resulted in lower commodity prices. Significant price fluctuations or increased operating costs may affect our consolidated financial condition, results of operations and cash flows. In 2024, approximately 82% of our recycling center volume was fiber-based and included OCC, ONP and other mixed paper.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current volumes and mix of materials, we believe a $10 per ton change in the price of recycled commodities change both annual revenue and operating income by approximately $11 million. Accordingly, a substantial rise or drop in recycled commodity prices could materially affect our revenue and operating income. Although we have entered into hedging agreements to help offset volatility in recycled commodity prices in the past, we do not have any such hedging agreements currently, and we may not enter into these agreements in the future.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Acute and chronic weather events, including those brought about by climate change, may adversely impact our operations and increase the costs of collection, transfer, disposal and other environmental services we provide.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could be adversely impacted by extreme weather events, changing weather patterns and rising mean temperature and sea levels, some of which we are already experiencing. For example, we have operations in multiple states that are affected by hurricanes and/or wildfires, and we have seen the impact of storms and associated flooding or other damage in our day-to-day operations and to our infrastructure. Changing weather patterns and rising temperatures are expected to result in more severe heat waves, fires, storms and other extreme weather events. Any of these factors could increase the volume of material collected or processed under our existing contracts (without corresponding compensation), impede our employees' and equipment's ability to operate, result in asset impairment, disrupt our supply chain, delay the development of landfill capacity, or reduce the volume of material generated by our customers. In addition, while we have business continuity plans in place for severe weather, natural disasters and other emergencies, these events may result in the temporary suspension of our operations, which can significantly affect our operating results in the affected regions during those periods.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The environmental services industry is a capital-intensive industry and our capital expenditures may exceed current expectations, which could require us to obtain additional funding for our operations or impair our ability to grow our business.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remain competitive and to grow our business largely depends on our cash flow from operations and access to capital. If our capital efficiency programs cannot offset the effect of inflation and business growth, it may be necessary to increase the amount we spend. Additionally, if we make acquisitions or further expand our operations, the amount we spend on capital, capping, closure, post-closure, environmental remediation and other items will increase. Our cash needs also will increase if the expenditures for capping, closure, post-closure and remediation activities increase above our current estimates, which may occur over a long period due to changes in federal, state, provincial, or local government requirements and other factors beyond our control. Increases in expenditures would negatively impact our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obtain or maintain required permits or to expand existing permitted capacity of our facilities, which could decrease our revenue and increase our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will be able to obtain or maintain the permits required for our operations because permits to operate new landfills, transfer stations and other facilities, or to expand the permitted capacity of existing landfills, increase acceptable volume at transfer stations or otherwise increase the capabilities of our facilities,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governmental agencies and others may oppose the issuance of a permit or approval we may need, allege violations of the permits under which we currently operate or laws or regulations to which we are subject, or seek to impose liability on us for environmental damage. Such actions could also create risks related to our reputation, which may limit our ability to do business. Responding to these challenges has, at times, increased our costs and extended the time associated with establishing new landfills, transfer stations and other facilities and expanding existing facilities. In addition, failure to receive regulatory and zoning approval may prohibit us from establishing new landfills, transfer stations and other facilities, or expanding existing facilities. Our failure to obtain the required permits to operate our landfills, transfer stations and other facilities could have a material adverse effect on our consolidated financial condition, results of operations and cash flows. In addition, we may have to transport and dispose collected waste at facilities operated by our competitors or haul the waste long distances at a higher cost to one of our other facilities, either of which could significantly increase our waste transportation and disposal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If we do not appropriately estimate landfill capping, closure, post-closure and remediation costs, our consolidated financial condition and results of operations may be adversely affected.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landfill must be closed and capped, and post-closure maintenance commenced, once the landfill's permitted capacity is reached and additional capacity is not authorized. Further, we undertake remediation activities at some of our solid waste facilities. We have significant financial obligations relating to capping, closure, post-closure and remediation costs at our existing owned or operated landfills, and will have material financial obligations with respect to any future owned or operated landfills. We establish accruals for the estimated costs associated with capping, closure, post-closure and remediation obligations. We could underestimate such costs and our financial obligations for capping, closure, post-closure or remediation costs could exceed the amounts accrued or amounts otherwise receivable pursuant to trust funds established for this purpose. Additionally, if a landfill must be closed earlier than expected or its remaining airspace is reduced for any other reason, the accruals for capping, closure, post-closure and remediation could be required to be accelerated. If our capping, closure, post-closure or remediation costs exceed the amounts accrued, or if such accruals are required to be accelerated, this could have a material adverse effect on our consolidated financial condition, results of operations and cash flows.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Alternatives to landfill disposal could reduce our disposal volumes and cause our revenues and operating results to decline.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states in which we operate landfills require counties and municipalities to formulate comprehensive plans to reduce the volume of solid waste deposited in landfills through waste planning, composting, recycling or other programs. Some state and local governments mandate waste reduction at the source and prohibit the disposal of certain types of wastes, such as yard waste, at landfills. Further, many of our customers voluntarily are diverting waste to alternatives to landfill disposal, such as recycling and composting, while also working to reduce the amount of waste they generate. Many of the largest companies in the United States are setting zero-waste goals in which they strive to send no waste to landfills and some jurisdictions have enacted or are considering waste reduction regulations such as extended producer responsibility, organic diversion and minimum recycled content regulations. Although such actions help to protect our environment and reduce the impact of waste on climate change, they have reduced, and will in the future reduce, the volume of waste going to landfills and may affect the prices that we can charge for landfill disposal. Accordingly, we may not be able to operate our landfills at their current volumes or charge current prices for landfill disposal services due to possible decreases in demand for such services. If we cannot expand our service offerings and grow lines of business to service waste streams that do not go to landfills and to provide services for customers that wish to reduce waste entirely, this could have a negative effect on our consolidated financial condition, results of operations and cash flows. Further, even if we can develop such service offerings and lines of business, disposal alternatives nonetheless could have a negative effect on our consolidated financial condition, results of operations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could incur charges to income, which could be material, if landfill and transfer station site development projects or expansion projects are not completed, or certain other events occur.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accounting principles generally accepted in the United States of America (U.S. GAAP), we capitalize certain expenditures relating to the development and expansion of landfills, transfer stations and other projects. If a facility or operation is permanently shut down or determined to be impaired, or a development, expansion or other project is not completed or is determined to be impaired, we will charge against earnings any unamortized capitalized expenditures relating to such facility or project that we are unable to recover through sale, transfer or otherwise. We also carry a significant amount of goodwill on our consolidated balance sheets, which we must assess for impairment annually, and more frequently in the case of certain triggering events. We may incur charges against earnings in accordance with this policy, or other events may cause impairments. Such charges could have a material adverse effect on our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business and assets we operate expose us to safety, operational and other risks, including the risk of personal injury to our employees or third parties.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of environmental services, including the operation of our facilities, a substantial fleet of trucks and other waste-related assets, involves risks. These risks include, among others, the risk of truck accidents, equipment defects, malfunctions and failures, improper use of dangerous equipment, the release of hazardous substances, fire and explosion, any of which could result in environmental liability, personal injury, loss of life, business interruption or property damage or destruction. While we carry insurance to cover many contingencies, and seek to minimize our exposure to these risks through maintenance, training and compliance programs, any substantial losses could have a material adverse effect on our business, results of operations and financial condition.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work stoppages and other workforce effects, which could increase our operating costs and disrupt our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approximately 22% of our workforce was covered by collective bargaining agreements. If our union-represented employees engage in strikes, work stoppages or other slowdowns, we could experience a significant disruption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and an increase in our operating costs, which could have an adverse effect on our consolidated financial condition, results of operations and cash flows. We have experienced interrupted service when our union-represented employees have engaged in strikes and work stoppages in the past, and we would expect the same to occur as a result of any future strikes or work stoppages. Additional groups of employees may seek union representation in the future which could result in increased operating costs. If a greater percentage of our workforce becomes union-represented, our consolidated financial condition, results of operations and cash flows could be adversely impacted due to the potential for increased operating costs.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achieve reduction of our greenhouse gas emissions and our other sustainability goals.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Climate change and other sustainability matters are embedded in our core value and vision. As part of our strategic long-term plans to address sustainability, among other sustainability goals, we are committed to reducing our absolute Scope 1 and Scope 2 greenhouse gas emissions 35% by 2030 relative to the 2017 baseline year. The execution of our plans and achievement of our goals are subject to risks and uncertainties, including our ability to develop, obtain, license or scale the innovations, technologies and modeling and measurement tools that may be necessary to achieve our plans and the availability, cost and benefits of materials and infrastructure associated with our sustainability projects, such as our CNG vehicles, fleet electrification, recycling, circularity of key materials, landfill gas-to-energy and other renewable energy projects.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increasing governmental and societal attention to sustainability matters, including expanding mandatory and voluntary reporting, diligence and disclosure on topics such as climate change, waste production, water usage, talent management and risk oversight, could expand the nature, scope and complexity of matters that we are required to control, assess and report. These and other rapidly changing laws, regulations, policies and related interpretations, as well as increased enforcement actions by various governmental and regulatory agencies, create challenges for us. If we are unable to continue to meet these challenges and comply with all laws, regulations, policies and related interpretations, and meet the sustainability values, standards and metrics that we set for ourselves, it could negatively impact our reputation and our business results.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Risks Related to our Legal and Regulatory Environment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costly environmental and flow-control regulations and requirements that may affect our operating margins, restrict our operations and subject us to additional liability.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Complying with laws and regulations governing the collection, treatment, storage, transfer and disposal of material, air quality and emissions of greenhouse gases, water quality and the remediation of contamination associated with the release of hazardous substances is costly. Laws and regulations often require us to, among other things, enhance or replace our equipment and to modify landfill operations or initiate final closure of a landfill. We may not be able to implement price increases sufficient to offset the costs of complying with these laws and regulations. In addition, environmental regulatory changes, including those relating to per- and polyfluoroalkyl substances (commonly referred to as PFAS) and other chemicals of emerging concern, could accelerate or increase expenditures for capping, closure, post-closure and environmental and remediation activities at our waste facilities and obligate us to spend sums in addition to those presently accrued for such purposes, which could have a negative effect on our consolidated financial position, results of operations and cash flows. For example, the EPA in 2024 listed two PFAS as hazardous substances under CERCLA, and has indicated it is considering listing additional PFAS as hazardous substances under CERCLA, which could trigger additional obligations or liabilities under CERCLA or other laws and regulations. Further, under certain municipal and other agreements, we are subject to landfill diversion requirements that if not met, subject us to liquidated damages and other costs and expenses, the result of which could adversely affect our business, reputation and operating margins.</w:t>
      </w:r>
    </w:p>
    <w:p>
      <w:pPr>
        <w:pStyle w:val="TextBody"/>
        <w:bidi w:val="0"/>
        <w:spacing w:lineRule="auto" w:line="288" w:before="100" w:after="283"/>
        <w:jc w:val="left"/>
        <w:rPr/>
      </w:pPr>
      <w:r>
        <w:rPr>
          <w:rFonts w:ascii="Times New Roman;sans-serif" w:hAnsi="Times New Roman;sans-serif"/>
          <w:b w:val="false"/>
          <w:color w:val="000000"/>
          <w:sz w:val="20"/>
        </w:rPr>
        <w:t>Our Group 3 operations and facilities also are subject to Canadian environmental laws and regulations, including federal and provincial regulations governing the management of hazardous waste, as well as various treaties, laws and regulations governing the ownership, operation and maintenance of maritime vessels used in the business.</w:t>
      </w:r>
      <w:r>
        <w:rPr>
          <w:color w:val="000000"/>
        </w:rPr>
        <w:t xml:space="preserve"> </w:t>
      </w:r>
      <w:r>
        <w:rPr>
          <w:rFonts w:ascii="Times New Roman;sans-serif" w:hAnsi="Times New Roman;sans-serif"/>
          <w:b w:val="false"/>
          <w:color w:val="000000"/>
          <w:sz w:val="20"/>
        </w:rPr>
        <w:t>Our Group 3 operations are also subject to federal statutes regulating the treatment, storage and disposal of certain radioactive materials.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and will continue to be affected by state, county, provincial, or local laws or regulations that restrict the transportation of solid waste across state, county, provincial, or other jurisdictional lines or that direct the flow of waste to a specified facility or facilities. Such laws and regulations could negatively affect our operations, resulting in declines in landfill volumes and increased costs of alternate disposal.</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Regulation of greenhouse gas emissions and other governmental regulations could impose costs on our operations, the magnitude of which is difficult to estimate.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Efforts to curtail the emission of greenhouse gases and to ameliorate the effects of climate change continue to progress. Our landfill operations emit anthropogenic methane, identified as a greenhouse gas, and our vehicle fleet emits, among other things,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carbon dioxide, which also is a greenhouse gas. While passage of comprehensive, federal climate change legislation appears unlikely in the near term, we expect any such legislation, if enacted, to impose costs on our operations, which could be material.</w:t>
      </w:r>
    </w:p>
    <w:p>
      <w:pPr>
        <w:pStyle w:val="TextBody"/>
        <w:bidi w:val="0"/>
        <w:spacing w:lineRule="auto" w:line="288" w:before="100" w:after="283"/>
        <w:jc w:val="left"/>
        <w:rPr/>
      </w:pPr>
      <w:r>
        <w:rPr>
          <w:rFonts w:ascii="Times New Roman;sans-serif" w:hAnsi="Times New Roman;sans-serif"/>
          <w:b w:val="false"/>
          <w:color w:val="000000"/>
          <w:sz w:val="20"/>
        </w:rPr>
        <w:t xml:space="preserve">Absent comprehensive federal legislation to control greenhouse gas emissions, the EPA has taken certain actions administratively under its existing Clean Air Act authority. The EPA is compelled to issue rules by the United States Supreme Court's April 2007 </w:t>
      </w:r>
      <w:r>
        <w:rPr>
          <w:rFonts w:ascii="Times New Roman;sans-serif" w:hAnsi="Times New Roman;sans-serif"/>
          <w:b w:val="false"/>
          <w:i/>
          <w:color w:val="000000"/>
          <w:sz w:val="20"/>
        </w:rPr>
        <w:t>Massachusetts v. EPA</w:t>
      </w:r>
      <w:r>
        <w:rPr>
          <w:color w:val="000000"/>
        </w:rPr>
        <w:t xml:space="preserve"> </w:t>
      </w:r>
      <w:r>
        <w:rPr>
          <w:rFonts w:ascii="Times New Roman;sans-serif" w:hAnsi="Times New Roman;sans-serif"/>
          <w:b w:val="false"/>
          <w:color w:val="000000"/>
          <w:sz w:val="20"/>
        </w:rPr>
        <w:t xml:space="preserve">ruling that greenhouse gases are pollutants for purposes of the Clean Air Act and the EPA's December 2009 finding that continued emissions of greenhouse gases endanger human health and welfare. With respect to our light- and heavy-duty vehicle fleet, the EPA has issued regulations limiting greenhouse gas emissions and increasing fuel economy standards. The EPA and the NHTSA periodically issue additional regulations covering additional model years of vehicles, typically increasing the stringency of the relevant vehicle standards, and those rules are frequently challenged in court. For further discussion, see Item 1. </w:t>
      </w:r>
      <w:r>
        <w:rPr>
          <w:rFonts w:ascii="Times New Roman;sans-serif" w:hAnsi="Times New Roman;sans-serif"/>
          <w:b w:val="false"/>
          <w:i/>
          <w:color w:val="000000"/>
          <w:sz w:val="20"/>
        </w:rPr>
        <w:t>Business – Regulation – Federal Regulation – The Clean Air Act</w:t>
      </w:r>
      <w:r>
        <w:rPr>
          <w:rFonts w:ascii="Times New Roman;sans-serif" w:hAnsi="Times New Roman;sans-serif"/>
          <w:b w:val="false"/>
          <w:color w:val="000000"/>
          <w:sz w:val="20"/>
        </w:rPr>
        <w:t xml:space="preserve">, in this Annual Report on Form 10-K. These standards and further federal efforts to curtail greenhouse gas emissions and to increase the fuel efficiency of light-duty and heavy-duty vehicles could have a material adverse effect on our consolidated financial condition, results of operations and cash flows.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regard to greenhouse gas emissions from our landfills, on July 14, 2016, the EPA issued amendments to its regulations that require large landfills that commenced construction, reconstruction or modification on or after July 17, 2014 to capture additional landfill gas to reduce emissions of methane and certain non-methane gases, which are recognized as greenhouse gases. In a separate action finalized that same day, the EPA issued updates to its 1996 Emission Guidelines to reduce emissions of landfill gas from existing active landfills. The EPA has taken further steps to implement these regulations. These regulations, or an amended version of them that eventually goes into effect, may require our landfills to deploy more stringent emission controls and monitoring systems, with resulting capital or operating costs. The application of these or other greenhouse gas regulations to our landfills could have a material adverse effect on our landfill operations and on our consolidated financial condition, results of operations and cash flows. We cannot predict what other actions or regulations the current administration may undertake that would affect our industry.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Canada, the federal Greenhouse Gas Pollution Pricing Act imposes a carbon pricing system for industry in provinces and territories that have not implemented carbon pricing systems of their own or, in the opinion of the federal government, have implemented carbon pricing systems that do not align with the federal benchmark requirements. This federal system imposes a carbon levy to the sale of fuel and sets out an output-based pricing system that applies to industrial emitters that meet certain criteria set out in the statute and its regulations, which creates a price incentive for industrial emitters to reduce greenhouse gas emissions by establishing a regulatory trading system for industry. The carbon levy on fuel is administered by the Canada Revenue Agency and is a carbon tax that applies to the sale of 22 different types of fuel as set out in the statute and its regulations. As of 2024, the Fuel Charge is $80 per ton of CO2e and will increase to $95 per ton on April 1, 2025 and to $170 per ton by 2030. Additionally, the Canadian federal government proposed draft regulations in June 2024 intended to reduce methane emissions from solid waste landfills, the consultation period for which closed on August 28, 2024. Both direct and indirect costs associated with compliance with this and other greenhouse gas legislation could have a material adverse effect on our consolidated financial condition, results of operations and cash flows, including material increases to our capital or operating costs related to matters such as infrastructure upgrades or increased fuel costs.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incur losses from liabilities that are not covered by our insurance. Changes in insurance markets also may impact our financial results.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incur liabilities or suffer losses arising from our operations or properties that resulted in harm to the environment, property, employees or the general public. We maintain insurance for these liabilities and losses, including high deductibles for our environmental liability insurance coverage. If we were to incur substantial liability or loss in connection with these contingencies, our insurance coverage may be inadequate to cover such liability or loss. This could have a material adverse effect on our consolidated financial condition, results of operations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Also, due to the variable condition of the insurance market, we have experienced, and may experience in the future, increased insurance retention levels and increased premiums or unavailability of insurance. As we assume more risk for insurance through higher retention levels, we may experience more variability in our insurance reserves and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Despite our efforts, we may incur additional liability under environmental laws in excess of amounts presently known and accrued.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potentially responsible party at many sites under CERCLA, which provides for the remediation of contaminated facilities and imposes strict, joint and several liability for the cost of remediation on current owners and operators of a facility at which there has been a release or a threatened release of a hazardous substance. CERCLA liability also extends to parties who were site owners and operators at the time hazardous substances were disposed and on persons who arrange for the disposal of such substances at the facility (e.g., generators of the waste and transporters who selected the disposal site). Hundreds of substances are defined as hazardous under CERCLA and their presence, even in minute amounts, can result in substantial liability.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our efforts to comply with applicable environmental laws, we may have additional liability under environmental laws in excess of our current reserves because, among other things, hazardous substances may be present in waste collected by us or disposed of in our landfills (or in waste collected, transported or disposed of in the past by businesses we have acquired), environmental laws or regulations may change, or there may be adverse environmental conditions that develop or were otherwise previously unknown to us. Environmental liabilities in excess of our current reserves could have a material adverse effect on our consolidated financial position, results of operations and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Currently pending or future litigation or governmental proceedings could result in material adverse consequences, including judgments or settlements.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and will continue to be involved in lawsuits, regulatory inquiries and governmental and other legal proceedings. Many of these matters raise complicated factual and legal issues and are subject to uncertainties. The timing of the final resolutions to lawsuits, regulatory inquiries and governmental and other legal proceedings is uncertain. Further, the possible outcomes or resolutions to these matters could include adverse judgments, fines or settlements, any of which could require substantial payments and adversely affect our consolidated financial condition, results of operations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we incur costs to defend against litigation brought by government agencies and private parties who allege we are in violation of our permits and applicable environmental laws and regulations, or who assert claims alleging nuisance, environmental damage, personal injury or property damage. As a result, we may be required to pay fines or judgments or implement corrective measures, or we may have our permits and licenses modified or revoked. A significant judgment against us or settlement, the loss of a significant permit or license, or the imposition of a significant fine could have a material adverse effect on our consolidated financial condition, results of operations and cash flows. We establish accruals for our estimates of the costs associated with lawsuits, regulatory, governmental and other legal proceedings. We could underestimate such accruals. Such shortfalls could result in significant unanticipated charges to income.</w:t>
      </w:r>
    </w:p>
    <w:p>
      <w:pPr>
        <w:pStyle w:val="TextBody"/>
        <w:bidi w:val="0"/>
        <w:spacing w:lineRule="auto" w:line="288" w:before="180" w:after="283"/>
        <w:jc w:val="left"/>
        <w:rPr/>
      </w:pPr>
      <w:r>
        <w:rPr>
          <w:rFonts w:ascii="Times New Roman;sans-serif" w:hAnsi="Times New Roman;sans-serif"/>
          <w:b/>
          <w:i/>
          <w:color w:val="000000"/>
          <w:sz w:val="20"/>
        </w:rPr>
        <w:t>Changes</w:t>
      </w:r>
      <w:r>
        <w:rPr>
          <w:color w:val="000000"/>
        </w:rPr>
        <w:t xml:space="preserve"> </w:t>
      </w:r>
      <w:r>
        <w:rPr>
          <w:rFonts w:ascii="Times New Roman;sans-serif" w:hAnsi="Times New Roman;sans-serif"/>
          <w:b/>
          <w:i/>
          <w:color w:val="000000"/>
          <w:sz w:val="20"/>
        </w:rPr>
        <w:t>to federal renewable fuel policies could affect our financial performance in that sector as a renewable fuel producer and impact our projected future investments.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engaged in 79 landfill gas-to-energy and other renewable energy projects. The production of renewable fuel through certain of these projects is incentivized by the federal Renewable Fuel Standard (RFS) program. Oil refiners and importers are required through the RFS program to blend specified volumes of renewable transportation fuels with gasoline or buy RINs from renewable fuel producers. RIN prices generally respond to administrative actions, decisions and/or regulations from the EPA, including the issuance of an annual renewable volumetric obligation, as well as fluctuations in supply and demand. Changes in the RFS market, the structure of the RFS program or RIN prices and demand may impact the financial performance of the projects developed to capture and treat gas and could impact or alter our projected future investments.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Risks Related to Financial Strategy and Indebtedness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have substantial indebtedness, which may limit our financial flexibility.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approximately $13 billion in principal value of debt and finance leases outstanding.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of our debt instruments. Further, our ability to comply with these financial and other covenants may be affected by changes in economic or business conditions or other events that are beyond our control. If we do not comply with these covenants, we may be required to take actions such as reducing or delaying capital expenditures, reducing or eliminating dividends or stock repurchases, selling assets, restructuring or refinancing all or part of our existing debt, or seeking additional equity capital.</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maintain our credit ratings or execute our financial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execute our financial strategy depends in part on our ability to maintain investment grade ratings on our debt. The credit rating process is contingent upon a number of factors, many of which are beyond our control. We may not be able to maintain our investment grade ratings in the future. If we were unable to do so, our interest expense would increase and our ability to obtain financing on favorable terms may be adversely affected.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strategy also depends on our ability to generate sufficient cash flow to reinvest in our existing business, fund internal growth, acquire other environmental services businesses, pay dividends, repurchase stock and take other actions to enhance shareholder value. We may not succeed in executing our broad-based pricing initiatives, and we may not generate sufficient cash flow to execute our financial strategy, pay cash dividends at our present rate, or increase them, or be able to continue our share repurchase program.</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Weakness in the United States economy may expose us to credit risk for amounts due from governmental entities, large national accounts, industrial customers and others.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Weakness in the United States economy can reduce the amount of taxes collected by various governmental entities. We provide services to a number of these entities, including numerous municipalities. These governmental entities may suffer financial difficulties resulting from a decrease in tax revenue and may ultimately be unable or unwilling to pay amounts owed to us. In addition, weakness in the economy may cause other customers, including our large national accounts, or industrial or other environmental services clients, to suffer financial difficulties and ultimately to be unable or unwilling to pay amounts owed to us. This could negatively impact our consolidated financial condition, results of operations and cash flows.</w:t>
      </w:r>
    </w:p>
    <w:p>
      <w:pPr>
        <w:pStyle w:val="TextBody"/>
        <w:bidi w:val="0"/>
        <w:spacing w:lineRule="auto" w:line="288" w:before="180" w:after="283"/>
        <w:jc w:val="left"/>
        <w:rPr/>
      </w:pPr>
      <w:r>
        <w:rPr>
          <w:rFonts w:ascii="Times New Roman;sans-serif" w:hAnsi="Times New Roman;sans-serif"/>
          <w:b/>
          <w:i/>
          <w:color w:val="000000"/>
          <w:sz w:val="20"/>
        </w:rPr>
        <w:t>Our consolidated financial statements are based on estimates and assumptions that may differ from actual results.</w:t>
      </w:r>
      <w:r>
        <w:rPr>
          <w:color w:val="000000"/>
        </w:rPr>
        <w:t xml:space="preserve"> </w:t>
      </w:r>
      <w:r>
        <w:rPr>
          <w:rFonts w:ascii="Times New Roman;sans-serif" w:hAnsi="Times New Roman;sans-serif"/>
          <w:b/>
          <w:i/>
          <w:color w:val="000000"/>
          <w:sz w:val="20"/>
        </w:rPr>
        <w:t>The liabilities we record based on such estimates and assumptions may not be adequate to cover the costs we ultimately will face.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have been prepared in accordance with U.S. GAAP and necessarily include amounts based on management's estimates. Actual results may differ from these amounts. Significant items requiring management to make subjective or complex judgments that are inherently uncertain include the recoverability of long-lived assets, the depletion and amortization of landfill development costs, accruals for final capping, closure and post-closure costs, valuation allowances for accounts receivable and deferred tax assets, liabilities for potential litigation, claims and assessments and liabilities for environmental remediation, multiemployer pension plans, employee benefit plans, deferred taxes, uncertain tax positions, insurance and our estimates of the fair values of assets acquired and liabilities assumed in any acquisition. The liabilities recorded for items such as these may not be adequate to cover the costs we ultimately will face.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obligation to fund multiemployer pension plans to which we contribute, or our withdrawal from such plans, may have an adverse effect on us.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participate in multiemployer pension plans that generally provide retirement benefits to participants of contributing employers. We do not administer these plans and generally are not represented on the boards of trustees of these plans. The Pension Protection Act enacted in 2006 (the PPA) requires under-funded pension plans to improve their funding ratios. Based on the information available to us, we believe that some of the multiemployer plans to which we contribute are either critical or endangered as those terms are defined in the PPA. We cannot presently determine the amount of additional funding, if any, we may be required to make to these plans. However, plan assessments could have a material adverse effect on our results of operations or cash flows for a given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under current law, upon the termination of a multiemployer pension plan, or in the event of a withdrawal by us (which we consider from time to time) or a mass withdrawal of contributing employers (each, a Withdrawal Event), we would be required to make payments to the plan for our proportionate share of the plan's unfunded vested liabilities. We cannot assure you that there will not be a Withdrawal Event with respect to any of the multiemployer pension plans to which we contribute or that, in the event of such a Withdrawal Event, the amounts we would be required to contribute would not have a material adverse effect on our consolidated financial condition, results of operations and cash flows.</w:t>
      </w:r>
    </w:p>
    <w:p>
      <w:pPr>
        <w:pStyle w:val="TextBody"/>
        <w:bidi w:val="0"/>
        <w:spacing w:lineRule="auto" w:line="288" w:before="100" w:after="283"/>
        <w:jc w:val="left"/>
        <w:rPr/>
      </w:pPr>
      <w:r>
        <w:rPr>
          <w:rFonts w:ascii="Times New Roman;sans-serif" w:hAnsi="Times New Roman;sans-serif"/>
          <w:b w:val="false"/>
          <w:color w:val="000000"/>
          <w:sz w:val="20"/>
        </w:rPr>
        <w:t xml:space="preserve">For additional discussion and detail regarding multiemployer pension plans see Note 12, </w:t>
      </w:r>
      <w:r>
        <w:rPr>
          <w:rFonts w:ascii="Times New Roman;sans-serif" w:hAnsi="Times New Roman;sans-serif"/>
          <w:b w:val="false"/>
          <w:i/>
          <w:color w:val="000000"/>
          <w:sz w:val="20"/>
        </w:rPr>
        <w:t xml:space="preserve">Employee Benefit Plans, </w:t>
      </w:r>
      <w:r>
        <w:rPr>
          <w:rFonts w:ascii="Times New Roman;sans-serif" w:hAnsi="Times New Roman;sans-serif"/>
          <w:b w:val="false"/>
          <w:color w:val="000000"/>
          <w:sz w:val="20"/>
        </w:rPr>
        <w:t>of the notes to our audited consolidated financial statements in Part II, Item 8 of this Annual Report on Form 10-K.</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Risks Related to Our Growth Strategy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manage our growth effectively.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growth strategy places significant demands on our financial, operational and management resources. To continue our growth, we may need to add administrative, managerial and other personnel, and may need to make additional investments in operations and systems. We may not be able to find and train qualified personnel, or do so on a timely basis, or to expand or otherwise modify our operations and systems to the extent, and in the time,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execute our acquisition growth strategy.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execute our growth strategy depends in part on our ability to identify and acquire desirable acquisition candidates and on our ability to successfully integrate acquired operations into our business. The integration of our operations with those of acquired companies may present significant challenges to our management. In addition, competition for acquisition candidates may prevent us from acquiring certain acquisition candidates. Thus, we cannot assure you that: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desirable acquisition candidates exist or will be identified;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be able to acquire any of the candidates identified;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effectively integrate and manage companies we acquire;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acquisitions will be profitable or accretive to our earnings.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any of these factors force us to alter our growth strategy, our growth prospects could be adversely affected.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Businesses we acquire may have undisclosed liabilities.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due diligence investigations of acquisition candidates may fail to discover certain undisclosed liabilities. If we acquire a company with undisclosed liabilities such as environmental, remediation or contractual liabilities, as a successor owner we may be responsible for such undisclosed liabilities. We try to minimize our exposure to such liabilities by conducting due diligence, by obtaining indemnification from each seller of the acquired companies, by deferring payment of a portion of the purchase price as security for the indemnification, by obtaining representations and warranties insurance and by acquiring only specified assets. However, we may not be able to obtain indemnification, insurance coverage or other security, and such indemnification, insurance coverage or other security obtained may not be enforceable, collectible or sufficient in amount, scope or duration to fully offset any undisclosed liabilities arising from our acquisitions.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Risks Related to Technology and Intellectual Property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strategy includes an increasing dependence on technology in our operations. If any of our key technology fails, our business could be adversely affected.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increasingly dependent on technology. Our information technology systems are critical to our ability to drive profitable growth through differentiation, continue the implementation of standardized processes and deliver a consistent customer experience. One of our three differentiating capabilities is to enable our customers to do business with us through more channels and with better access to information and, accordingly, we have made substantial investment in our e-commerce platform. Problems with the operation of the information or communication technology systems we use could adversely affect, or temporarily disable, all or a portion of our operations. Inabilities and delays in implementing new systems can also affect our ability to realize projected or expected revenue or cost savings. Further, any systems failures could impede our ability to timely collect and report financial results in accordance with applicable laws.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technologies, including those that are used to recycle and process waste as an alternative to disposal of waste in landfills, represent risks, as well as opportunities, to our current business model. The costs associated with developing or investing in emerging technologies could require substantial capital and adversely affect our results of operations and cash flows. Delays in the development or implementation of such emerging technologies and difficulties in marketing new products or services based on emerging technologies could have similar negative impacts. Our financial results may suffer if we are not able to develop or license emerging technologies, or if a competitor obtains exclusive rights to an emerging technology that disrupts the current methods used in the environmental services industry.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 cybersecurity incident could negatively impact our business and our relationships with customers.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information technology and operational technology assets, including computer and information networks, in substantially all aspects of our business operations. We also use mobile devices, social networking and other online activities to connect with our employees and our customers.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In connection with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cybersecurity threats associated with acquisitions and new initiatives, we may become increasingly vulnerable to such threats. Additionally, while we have implemented measures to prevent security breaches and cyber incidents, our preventive measures and incident response efforts may not be entirely effective. Also,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environment surrounding information security and privacy is increasingly demanding, with the frequent imposition of new and constantly changing requirements. This changing regulatory landscape may cause increasingly complex compliance challenges, which may increase our compliance costs. Any failure to comply with these changing security and privacy laws and regulations could result in significant penalties, fines, legal challenges and reputational harm.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Other Risks Relevant to Our Business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Price increases may not be adequate to offset the effect of increased costs and may cause us to lose volume.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seek to secure price increases necessary to offset increased costs, improve our operating margins and earn an appropriate return on our substantial investments in assets such as our landfills. From time to time, our competitors reduce their prices in an effort to expand their market share. Contractual, general economic or market-specific conditions also may limit our ability to raise prices. For example, many of our contracts have price adjustment provisions that are tied to an index such as the consumer price index. Particularly in a weak or volatile United States economy, our costs may increase in excess of the increase, if any, in the consumer price index. This may continue to be the case even when the United States economy recovers because a recovery in the environmental services industry historically has lagged behind a recovery in the general economy. As a result, we may be unable to offset increases in costs, improve our operating margins and obtain adequate investment returns through price increases. Price increases also might cause us to lose volume to lower-cost competitors.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The loss of key personnel could have a material adverse effect on our consolidated financial condition, results of operations, cash flows and growth prospects.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the continued contributions of several key employees and officers. The loss of the services of key employees and officers, whether through resignation or other causes, or the inability to attract additional qualified personnel, could have a material adverse effect on our consolidated financial condition, results of operations, cash flows and growth prospects. In some of our markets, we compete with other similar businesses which may drive labor costs or reduce the amount of available qualified personnel.</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The introduction of new accounting rules, laws or regulations could adversely impact our reported results of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Complying with new accounting rules, laws or regulations, such as, for example, those related to our asset retirement obligations and environmental liabilities, could adversely impact our results of operations or cause unanticipated fluctuations in our results of operations or financial conditions in future periods.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2024, the U.S. Treasury and the IRS proposed regulations regarding the calculation of the Corporate Alternative Minimum Tax (CAMT). The CAMT was enacted as part of the Inflation Reduction Act of 2022 and generally applies to large corporations with average annual financial statement income exceeding $1 billion. The proposed regulations include a mathematical formula that would be used to allocate an investor’s distributive share of income and loss from partnership investments, including investments in renewable energy projects through tax equity partnerships accounted for using the Hypothetical Liquidation at Book Value method (HLBV). As currently proposed, the application of such mathematical formula to our investments accounted for using HLBV, particularly during the early phases of a renewable energy facility’s operation, could result in us incurring substantial taxes under the CAMT. We believe such a result would be both unintended and inconsistent with the underlying policy of the CAMT. In response, we have both submitted comments and testified at an IRS hearing to address our concerns. If our concerns about this mathematical formula are not addressed in a favorable manner and the regulations are adopted as proposed, they could require the payment of significant additional income taxes that could adversely impact our results of operations or cause unanticipated fluctuations in our results of operations or financial conditions in future periods.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Weakened or volatile economic conditions have and may continue to harm our industry, business and results of operations.</w:t>
      </w:r>
    </w:p>
    <w:p>
      <w:pPr>
        <w:pStyle w:val="TextBody"/>
        <w:bidi w:val="0"/>
        <w:spacing w:lineRule="auto" w:line="288" w:before="100" w:after="283"/>
        <w:jc w:val="left"/>
        <w:rPr/>
      </w:pPr>
      <w:r>
        <w:rPr>
          <w:rFonts w:ascii="Times New Roman;sans-serif" w:hAnsi="Times New Roman;sans-serif"/>
          <w:b w:val="false"/>
          <w:color w:val="000000"/>
          <w:sz w:val="20"/>
        </w:rPr>
        <w:t>Our business is directly affected by changes in local, national, global and general economic factors and overall economic activity that are outside of our control, including changes in governmental monetary policies, international trade restrictions, consumer confidence, slowing economic growth, inflation, pandemics, supply chain issues and interest ra</w:t>
      </w:r>
      <w:r>
        <w:rPr>
          <w:rFonts w:ascii="Times New Roman;sans-serif" w:hAnsi="Times New Roman;sans-serif"/>
          <w:b w:val="false"/>
          <w:color w:val="000000"/>
          <w:sz w:val="20"/>
          <w:shd w:fill="FFFFFF" w:val="clear"/>
        </w:rPr>
        <w:t xml:space="preserve">tes. In recent years, for example, the COVID-19 pandemic, inflation, the Ukraine-Russia conflict, </w:t>
      </w:r>
      <w:r>
        <w:rPr>
          <w:rFonts w:ascii="Times New Roman;sans-serif" w:hAnsi="Times New Roman;sans-serif"/>
          <w:b w:val="false"/>
          <w:color w:val="000000"/>
          <w:sz w:val="20"/>
        </w:rPr>
        <w:t>United States</w:t>
      </w:r>
      <w:r>
        <w:rPr>
          <w:rFonts w:ascii="Times New Roman;sans-serif" w:hAnsi="Times New Roman;sans-serif"/>
          <w:b w:val="false"/>
          <w:color w:val="000000"/>
          <w:sz w:val="20"/>
          <w:shd w:fill="FFFFFF" w:val="clear"/>
        </w:rPr>
        <w:t>-China relations, the Israel-Gaza conflict, monetary policy changes, and the resulting increases in interest rates negatively impacted the economy, disrupted supply chains and created significant volatility and disruption of financial markets. In particular, disruption of the labor market and supply chains related to vehicles, especially trucks and the mechanical and electrical components necessary to service them, negatively impacts our ability to provide services. A weak or volatile economy may result in decrea</w:t>
      </w:r>
      <w:r>
        <w:rPr>
          <w:rFonts w:ascii="Times New Roman;sans-serif" w:hAnsi="Times New Roman;sans-serif"/>
          <w:b w:val="false"/>
          <w:color w:val="000000"/>
          <w:sz w:val="20"/>
        </w:rPr>
        <w:t xml:space="preserve">ses in volumes, which adversely affects our revenues. In addition, we have certain fixed costs (e.g., facility expense associated with long-term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and accretion expense), which may be difficult to adjust quickly to match declining volume levels. Consumer uncertainty and the loss of consumer confidence may decrease overall economic activity and thereby limit the amount of services we provide. Additionally, a decline in volumes may result in increased competitive pricing pressure and increased customer turnover, resulting in lower revenue and increased operating costs. Operating in an environment of worsening economic conditions could have a material adverse effect on our consolidated financial condition, results of operations and cash flows. Further, recovery in the environmental services industry historically has lagged behind recovery in the general economy. Accordingly, we cannot assure you that an improvement in general economic conditions will result in an immediate, or any, improvement in our consolidated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ans-serif" w:hAnsi="Times New Roman;sans-serif"/>
          <w:b/>
          <w:color w:val="000000"/>
          <w:sz w:val="20"/>
        </w:rPr>
        <w:t>ITEM 1B.</w:t>
      </w:r>
      <w:r>
        <w:rPr>
          <w:color w:val="000000"/>
        </w:rPr>
        <w:t xml:space="preserve"> </w:t>
      </w:r>
      <w:r>
        <w:rPr>
          <w:rFonts w:ascii="Times New Roman;sans-serif" w:hAnsi="Times New Roman;sans-serif"/>
          <w:b/>
          <w:color w:val="000000"/>
          <w:sz w:val="20"/>
        </w:rPr>
        <w:t>UNRESOLVED STAFF COMMENTS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Cybersecurity Risk Management and Strategy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Republic’s technology and cybersecurity programs are crucial to maintaining secure operations, which enable us to deliver on our promise to customers and maintain stakeholder trust. Our Cybersecurity organization, led by our Chief Information Security Officer (CISO), is responsible for establishing, implementing and executing our cybersecurity program and strategy. Our CISO has over 20 years of information technology, information technology audit, and cybersecurity experience, and is involved in assessing the latest developments in cybersecurity, including potential threats and innovative risk management techniques.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 is a critical component of our enterprise risk management process overseen by our Board of Directors, and we have integrated cybersecurity-related risks into our overall enterprise risk management framework. Additionally, cybersecurity-related risks are included in the risk universe that the risk management function evaluates to assess top risks to the enterprise on an annual basis.</w:t>
      </w:r>
    </w:p>
    <w:p>
      <w:pPr>
        <w:pStyle w:val="TextBody"/>
        <w:bidi w:val="0"/>
        <w:spacing w:lineRule="auto" w:line="276"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organization proactively identifies, manages, and mitigates cyber risk in a variety of ways, including but not limited to: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 formal enterprise-wide cybersecurity policy and related standards;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b.Cybersecurity training and employee phishing simulations;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c.Scheduled and ad hoc internal and external penetration tests;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d.Cyber incident response, IT disaster recovery, and business continuity plans;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e.Cybersecurity assessments and remediation planning as part of our M&amp;A due diligence process;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f.Identity and access management controls;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g.Third-party risk assessment and management for vendors and third-party service providers; and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h.Cyber incident tabletop exercises for our Board of Directors and management.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primary element of our cybersecurity program is the implementation of controls that are aligned with industry guidelines and applicable regulations to identify threats, deter attacks, and protect our information security assets. We have procedures in place for selecting and managing our relationships with third-party service providers and other business partners, including to monitor compliance with our agreements and regulatory and legal requirements. We also actively engage with industry participants and intelligence and law enforcement communities as part of our continuing efforts to evaluate and enhance the effectiveness of our information security policies and procedures.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program is designed based on the concepts of control maturity and control efficacy. For control maturity, our cybersecurity program is aligned to the National Institute of Standards and Technology Cybersecurity Framework (NIST CSF) and is assessed annually by an independent third party against our yearly control maturity targets in the context of current cyber threat and industry trends. The NIST CSF assessment results are used to validate the progress made against the current year maturity targets, inform the program’s strategic priorities and establish maturity targets for the following year. These assessment results are provided to our Audit Committee and our Board of Directors on an annual basis.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control efficacy, the cybersecurity program leverages a variety of metrics and measurements to demonstrate whether the control objectives are being consistently achieved within the target range. Monthly security operation (SecOps) reviews are utilized to monitor metric trends and root causes to determine potential capability improvements. The monthly SecOps reviews and related actions are aggregated into a subset of key metrics reviewed quarterly by the Audit Committee.</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Cybersecurity Governance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Committee oversees the management of our cybersecurity risk exposures and the steps management has taken to monitor and control such exposures. At each quarterly meeting, the Audit Committee receives an update from our CISO and other members of management on relevant topics, including cybersecurity program maturity progress, new capabilities implemented, penetration testing results, key cyber risk metrics (e.g., simulated phishing testing and vulnerability management) and notable incidents or events should they occur. On an annual basis, our Board of Directors meets with our CISO and our third-party cybersecurity consultant to review our cybersecurity strategy and the results of our NIST CSF assessment. In accordance with our cybersecurity incident response plan, our Board is promptly informed of potentially material cybersecurity incidents, including with respect to our third-party service providers.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experienced cybersecurity incidents from time to time that have not had a material adverse effect on our business, financial condition, or results of operations, there can be no assurance that a cyber-attack, security breach, or other cybersecurity incident will not have a material adverse effect on us in the future. For a discussion regarding risks from cybersecurity threats that have or are reasonably likely to affect the company, see our risk factors, including the risk factors titled “Our strategy includes an increasing dependence on technology in our operations. If any of our key technology fails, our business could be adversely affected.” and “A cybersecurity incident could negatively impact our business and our relationships with customers.” in Item 1A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office is located at 18500 North Allied Way, Phoenix, Arizona 85054, where we currently lease approximately 150,000 square feet of office space.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property and equipment consists of land, landfills, buildings, vehicles and equipment. We own or lease real property in the United States and Canada where we conduct operations. As of December 31, 2024, we operated across the United States and Canada through 367 collection operations, 248 transfer stations, 75 recycling centers, 208 active landfills, 2 treatment, recovery and disposal facilities, 23 TSDFs, 5 salt water disposal wells, 14 deep injection wells and 1 polymer center. In the aggregate, our active solid waste landfills total 118,938 acres, including 41,158 permitted acres. We are engaged in 79 landfill gas-to-energy and other renewable energy projects and had post-closure responsibility for 125 closed landfills. We believe that our property and equipment are adequate for our current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3.LEGAL PROCEEDINGS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General Legal Proceedings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effect on our consolidated financial position, results of operations or cash flows.</w:t>
      </w:r>
    </w:p>
    <w:p>
      <w:pPr>
        <w:pStyle w:val="TextBody"/>
        <w:bidi w:val="0"/>
        <w:spacing w:lineRule="auto" w:line="288" w:before="100" w:after="283"/>
        <w:jc w:val="left"/>
        <w:rPr/>
      </w:pPr>
      <w:r>
        <w:rPr>
          <w:rFonts w:ascii="Times New Roman;sans-serif" w:hAnsi="Times New Roman;sans-serif"/>
          <w:b w:val="false"/>
          <w:color w:val="000000"/>
          <w:sz w:val="20"/>
        </w:rPr>
        <w:t xml:space="preserve">As used in the immediately following paragraph, the term </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 xml:space="preserve">refers to litigation and similar claims against us and our subsidiaries, excluding: (1) ordinary course accidents, general commercial liability and workers' compensation claims, which are covered by insurance programs, subject to customary deductibles, and which, together with self-insured employee health care costs, are discussed in Note 7, </w:t>
      </w:r>
      <w:r>
        <w:rPr>
          <w:rFonts w:ascii="Times New Roman;sans-serif" w:hAnsi="Times New Roman;sans-serif"/>
          <w:b w:val="false"/>
          <w:i/>
          <w:color w:val="000000"/>
          <w:sz w:val="20"/>
        </w:rPr>
        <w:t xml:space="preserve">Other Liabilities, </w:t>
      </w:r>
      <w:r>
        <w:rPr>
          <w:rFonts w:ascii="Times New Roman;sans-serif" w:hAnsi="Times New Roman;sans-serif"/>
          <w:b w:val="false"/>
          <w:color w:val="000000"/>
          <w:sz w:val="20"/>
        </w:rPr>
        <w:t xml:space="preserve">to our audited consolidated financial statements in Part II, Item 8 of this Annual Report on Form 10-K; and (2) environmental remediation liabilities, which totaled $447 million at December 31, 2024 and which are discussed in Note 8, </w:t>
      </w:r>
      <w:r>
        <w:rPr>
          <w:rFonts w:ascii="Times New Roman;sans-serif" w:hAnsi="Times New Roman;sans-serif"/>
          <w:b w:val="false"/>
          <w:i/>
          <w:color w:val="000000"/>
          <w:sz w:val="20"/>
        </w:rPr>
        <w:t>Landfill and Environmental Costs,</w:t>
      </w:r>
      <w:r>
        <w:rPr>
          <w:color w:val="000000"/>
        </w:rPr>
        <w:t xml:space="preserve"> </w:t>
      </w:r>
      <w:r>
        <w:rPr>
          <w:rFonts w:ascii="Times New Roman;sans-serif" w:hAnsi="Times New Roman;sans-serif"/>
          <w:b w:val="false"/>
          <w:color w:val="000000"/>
          <w:sz w:val="20"/>
        </w:rPr>
        <w:t>to our audited consolidated financial statements in Part II, Item 8 of this Annual Report on Form 10-K</w:t>
      </w:r>
      <w:r>
        <w:rPr>
          <w:rFonts w:ascii="Times New Roman;sans-serif" w:hAnsi="Times New Roman;sans-serif"/>
          <w:b w:val="false"/>
          <w:i/>
          <w:color w:val="000000"/>
          <w:sz w:val="20"/>
        </w:rPr>
        <w: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accrue for legal proceedings when losses become probable and reasonably estimable. We have recorded an aggregate accrual of approximately $13 million relating to our outstanding legal proceedings as of December 31, 2024. As of the end of each applicable reporting period, we review each of our legal proceedings and, where it is probable that a liability has been incurred, we accrue for all probable and reasonably estimable losses. Where we are able to reasonably estimate a range of losses we may incur with respect to a matter, we record an accrual for the amount within the range that constitutes our best estimate. If we are able to reasonably estimate a range but no amount within the range appears to be a better estimate than any other, we use the amount that is the low end of such range. If we had used the high ends of such ranges, our aggregate potential liability would be approximately $6 million higher than the amount recorded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Legal Proceedings over Certain Environmental Matters Involving Governmental Authorities with Possible Sanctions of $1,000,000 or More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a threshold which we determine is reasonably designed to result in disclosure of any such proceeding that is material to our business or financial condition. We have determined such disclosure threshold to be $1,000,000. We have no matters to disclose in accordance with that requirement.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5.MARKET FOR REGISTRANT'S COMMON EQUITY, RELATED STOCKHOLDER MATTERS AND ISSUER PURCHASES OF EQUITY SECURITIES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Market Information, Holders and Dividends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market for our common stock is the New York Stock Exchange, and it is traded under the symbol RSG.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460 holders of record of our common stock at February 6, 2025, which does not include beneficial owners for whom Cede &amp; Co. or others act as nominees.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2025, our Board of Directors declared a regular quarterly dividend of $0.580 per share for shareholders of record on January 2, 2025. We expect to continue to pay quarterly cash dividends, and we may consider increasing our dividends if we believe it will enhance shareholder value.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ability under our credit facilities to pay dividends and repurchase our common stock if we are in compliance with the financial covenants in our credit facilities. As of December 31, 2024, we were in compliance with those financial covenants.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relating to our purchases of shares of our common stock during the three months ended December 31, 2024:</w:t>
      </w:r>
    </w:p>
    <w:tbl>
      <w:tblPr>
        <w:tblW w:w="10205" w:type="dxa"/>
        <w:jc w:val="left"/>
        <w:tblInd w:w="0" w:type="dxa"/>
        <w:tblLayout w:type="fixed"/>
        <w:tblCellMar>
          <w:top w:w="28" w:type="dxa"/>
          <w:left w:w="28" w:type="dxa"/>
          <w:bottom w:w="28" w:type="dxa"/>
          <w:right w:w="28" w:type="dxa"/>
        </w:tblCellMar>
      </w:tblPr>
      <w:tblGrid>
        <w:gridCol w:w="524"/>
        <w:gridCol w:w="432"/>
        <w:gridCol w:w="418"/>
        <w:gridCol w:w="571"/>
        <w:gridCol w:w="569"/>
        <w:gridCol w:w="571"/>
        <w:gridCol w:w="109"/>
        <w:gridCol w:w="109"/>
        <w:gridCol w:w="109"/>
        <w:gridCol w:w="331"/>
        <w:gridCol w:w="1133"/>
        <w:gridCol w:w="172"/>
        <w:gridCol w:w="109"/>
        <w:gridCol w:w="109"/>
        <w:gridCol w:w="109"/>
        <w:gridCol w:w="904"/>
        <w:gridCol w:w="904"/>
        <w:gridCol w:w="906"/>
        <w:gridCol w:w="109"/>
        <w:gridCol w:w="109"/>
        <w:gridCol w:w="109"/>
        <w:gridCol w:w="221"/>
        <w:gridCol w:w="1402"/>
        <w:gridCol w:w="166"/>
      </w:tblGrid>
      <w:tr>
        <w:trPr/>
        <w:tc>
          <w:tcPr>
            <w:tcW w:w="52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w:t>
              <w:br/>
              <w:t>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w:t>
              <w:br/>
              <w:t>per Share (a)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 as</w:t>
              <w:br/>
              <w:t>Part of Publicly</w:t>
              <w:br/>
              <w:t>Announced Program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Dollar Value of </w:t>
              <w:br/>
              <w:t>Shares that May Yet</w:t>
              <w:br/>
              <w:t> Be Purchased Under</w:t>
              <w:br/>
              <w:t> the Program (c) (d)</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1 – 31</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213,887 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213,887 </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2,636,641,614 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 – 30</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175,021 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175,021 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2,601,787,584 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1 – 31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2,520,421,874 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788,908 </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788,908 </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 October 2023, our Board of Directors approved a $3 billion share repurchase authorization effective starting January 1, 2024 and extending through December 31, 2026.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December 31, 2024, there were less than 1 million repurchased shares pending settlement.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(b)The total number of shares purchased as part of the publicly announced program were all purchased pursuant to the October 2023 authorization.</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(c)Shares that may be purchased under the program exclude shares of common stock that may be surrendered to satisfy statutory minimum tax withholding obligations in connection with the vesting of restricted stock units and performance stock units issued to employees.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(d)Excludes a 1% excise tax imposed by the Inflation Reduction Act.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sales of unregistered securities during the three months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performance of our common stock to the Standard &amp; Poor’s 500 Stock Index (S&amp;P 500 Index) and the Dow Jones Waste &amp; Disposal Services Index (DJ W&amp;DS Index). The graph covers the period from December 31, 2019 to December 31, 2024 and assumes that the value of the investment in our common stock and in each index was $100 as of December 31, 2019 and that all dividends were reinvested.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performance graph and related information shall not be deemed "soliciting material" or to be "filed" with the SEC, nor shall such information be incorporated by reference into any future filing under the Securities Act of 1933 or the Securities Exchange Act of 1934, each as amended, except to the extent that we specifically incorporate it by reference into such filing. </w:t>
      </w:r>
    </w:p>
    <w:p>
      <w:pPr>
        <w:pStyle w:val="TextBody"/>
        <w:bidi w:val="0"/>
        <w:spacing w:before="180" w:after="283"/>
        <w:jc w:val="center"/>
        <w:rPr/>
      </w:pPr>
      <w:r>
        <w:rPr/>
        <w:drawing>
          <wp:inline distT="0" distB="0" distL="0" distR="0">
            <wp:extent cx="6486525" cy="3714750"/>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2"/>
                    <a:stretch>
                      <a:fillRect/>
                    </a:stretch>
                  </pic:blipFill>
                  <pic:spPr bwMode="auto">
                    <a:xfrm>
                      <a:off x="0" y="0"/>
                      <a:ext cx="6486525" cy="3714750"/>
                    </a:xfrm>
                    <a:prstGeom prst="rect">
                      <a:avLst/>
                    </a:prstGeom>
                  </pic:spPr>
                </pic:pic>
              </a:graphicData>
            </a:graphic>
          </wp:inline>
        </w:drawing>
      </w:r>
    </w:p>
    <w:tbl>
      <w:tblPr>
        <w:tblW w:w="8376" w:type="dxa"/>
        <w:jc w:val="center"/>
        <w:tblInd w:w="0" w:type="dxa"/>
        <w:tblLayout w:type="fixed"/>
        <w:tblCellMar>
          <w:top w:w="28" w:type="dxa"/>
          <w:left w:w="28" w:type="dxa"/>
          <w:bottom w:w="28" w:type="dxa"/>
          <w:right w:w="28" w:type="dxa"/>
        </w:tblCellMar>
      </w:tblPr>
      <w:tblGrid>
        <w:gridCol w:w="716"/>
        <w:gridCol w:w="630"/>
        <w:gridCol w:w="634"/>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Indexed Returns for the Years Ended December 31,</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Index</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 W&amp;DS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Prepared by Zacks Investment Research, Inc. Used with permission. All rights reserved. Copyright 1980-2024.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Index data: Copyright Standard and Poor's, Inc. Used with permission. All rights reserved.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data: Copyright Dow Jones, Inc. Used with permission. All rights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6.[RESERVED]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7.MANAGEMENT’S DISCUSSION AND ANALYSIS OF FINANCIAL CONDITION AND RESULTS OF OPERATIONS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in conjunction with our audited consolidated financial statements and the notes thereto included in Part II, Item 8 of this Annual Report on Form 10-K. This discussion may contain forward-looking statements that anticipate results that are subject to uncertainty. We discuss in more detail various factors that could cause actual results to differ from expectations in Part I, Item 1A, Risk Factors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pPr>
      <w:r>
        <w:rPr>
          <w:rFonts w:ascii="Times New Roman;sans-serif" w:hAnsi="Times New Roman;sans-serif"/>
          <w:b w:val="false"/>
          <w:color w:val="000000"/>
          <w:sz w:val="20"/>
        </w:rPr>
        <w:t xml:space="preserve">For further discussion regarding our results of operations for the year ended December 31, 2023 as compared to the year ended December 31, 2022, refer to Part II,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xml:space="preserve">, in our Annual Report on </w:t>
      </w:r>
      <w:hyperlink r:id="rId3">
        <w:r>
          <w:rPr>
            <w:rStyle w:val="InternetLink"/>
            <w:rFonts w:ascii="Times New Roman;sans-serif" w:hAnsi="Times New Roman;sans-serif"/>
            <w:b w:val="false"/>
            <w:color w:val="0000FF"/>
            <w:sz w:val="20"/>
            <w:u w:val="single"/>
          </w:rPr>
          <w:t>Form 10-K for the fiscal year ended December 31, 2023</w:t>
        </w:r>
      </w:hyperlink>
      <w:r>
        <w:rPr>
          <w:rFonts w:ascii="Times New Roman;sans-serif" w:hAnsi="Times New Roman;sans-serif"/>
          <w:b w:val="false"/>
          <w:color w:val="000000"/>
          <w:sz w:val="20"/>
        </w:rPr>
        <w:t xml:space="preserve">.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2025 Financial Guidance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2025, we will focus on pricing in excess of cost inflation, driving profitable volume growth, investing in sustainability to improve the environment and drive growth, investing in value-creating acquisitions and advancing technology to improve productivity and increase customer retention. Specific guidance follows: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revenue to be in the range of $16.850 billion to $16.950 billion. We expect growth from average yield on total revenue to be approximately 4% and related revenue to be approximately 5%. We expect the impact from volume on total revenue to be in a range of (0.25%) to 0.25%.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Diluted Earnings per Share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anticipated adjusted diluted earnings per share for the year ending December 31, 2025 compared to the actual adjusted diluted earnings per share for the year ended December 31, 2024. Adjusted diluted earnings per share is not a measure determined in accordance with U.S. GAAP:</w:t>
      </w:r>
    </w:p>
    <w:tbl>
      <w:tblPr>
        <w:tblW w:w="10205" w:type="dxa"/>
        <w:jc w:val="left"/>
        <w:tblInd w:w="0" w:type="dxa"/>
        <w:tblLayout w:type="fixed"/>
        <w:tblCellMar>
          <w:top w:w="28" w:type="dxa"/>
          <w:left w:w="28" w:type="dxa"/>
          <w:bottom w:w="28" w:type="dxa"/>
          <w:right w:w="28" w:type="dxa"/>
        </w:tblCellMar>
      </w:tblPr>
      <w:tblGrid>
        <w:gridCol w:w="1853"/>
        <w:gridCol w:w="1544"/>
        <w:gridCol w:w="1551"/>
        <w:gridCol w:w="831"/>
        <w:gridCol w:w="831"/>
        <w:gridCol w:w="832"/>
        <w:gridCol w:w="109"/>
        <w:gridCol w:w="109"/>
        <w:gridCol w:w="109"/>
        <w:gridCol w:w="584"/>
        <w:gridCol w:w="1418"/>
        <w:gridCol w:w="434"/>
      </w:tblGrid>
      <w:tr>
        <w:trPr/>
        <w:tc>
          <w:tcPr>
            <w:tcW w:w="185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4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(Anticipated) </w:t>
              <w:br/>
              <w:t>Year Ending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(Actual)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6.79 - 6.87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business divestitures and impairments, net</w:t>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withdrawal liability for multiemployer pension funds</w:t>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and other related costs</w:t>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diluted earnings per share</w:t>
            </w:r>
          </w:p>
        </w:tc>
        <w:tc>
          <w:tcPr>
            <w:tcW w:w="24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6.82 - 6.90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presentation of adjusted diluted earnings per share provides an understanding of operational activities before the financial effect of certain items. We use this measure, and believe investors will find it helpful, in understanding the ongoing performance of our operations separate from items that have a disproportionate effect on our results for a particular period. We have incurred comparable charges and costs in prior periods, and similar types of adjustments can reasonably be expected to be recorded in future periods. Our definition of adjusted diluted earnings per share may not be comparable to similarly titled measures presented by other companies.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guidance set forth above constitutes forward-looking information and is not a guarantee of future performance. The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guidance is based upon the current beliefs and expectations of our management and is subject to significant risk and </w:t>
      </w:r>
    </w:p>
    <w:p>
      <w:pPr>
        <w:pStyle w:val="TextBody"/>
        <w:bidi w:val="0"/>
        <w:spacing w:lineRule="auto" w:line="288" w:before="0" w:after="0"/>
        <w:jc w:val="left"/>
        <w:rPr/>
      </w:pPr>
      <w:r>
        <w:rPr>
          <w:rFonts w:ascii="Times New Roman;sans-serif" w:hAnsi="Times New Roman;sans-serif"/>
          <w:b w:val="false"/>
          <w:color w:val="000000"/>
          <w:sz w:val="20"/>
        </w:rPr>
        <w:t xml:space="preserve">uncertainties that could cause actual results to differ materially from those shown above. See Item 1A. </w:t>
      </w:r>
      <w:r>
        <w:rPr>
          <w:rFonts w:ascii="Times New Roman;sans-serif" w:hAnsi="Times New Roman;sans-serif"/>
          <w:b w:val="false"/>
          <w:i/>
          <w:color w:val="000000"/>
          <w:sz w:val="20"/>
        </w:rPr>
        <w:t>Risk Factors - Disclosure Regarding Forward-Looking Statements</w:t>
      </w:r>
      <w:r>
        <w:rPr>
          <w:rFonts w:ascii="Times New Roman;sans-serif" w:hAnsi="Times New Roman;sans-serif"/>
          <w:b w:val="false"/>
          <w:color w:val="000000"/>
          <w:sz w:val="20"/>
        </w:rPr>
        <w: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is one of the largest providers of environmental services in the United States, as measured by revenue. As of December 31, 2024, we operated across the United States and Canada through 367 collection operations, 248 transfer stations, 75 recycling centers, 208 active landfills, 2 treatment, recovery and disposal facilities, 23 treatment, storage and disposal facilities (TSDF), 5 salt water disposal wells, 14 deep injection wells and 1 polymer center. We are engaged in 79 landfill gas-to-energy and other renewable energy projects and had post-closure responsibility for 125 closed landfills.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for the year ended December 31, 2024 increased by 7.1% to $16,032 million compared to $14,965 million in 2023. This change in revenue is due to increased average yield of 5.1%, acquisitions, net of divestitures of 2.6%, recycling processing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commodity sales of 0.5%, change in workdays of 0.3% and environmental solutions revenue of 0.1%, partially offset by decreased volume of 1.1% and fuel recovery fees of 0.4%.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 costs and expenses for the years ended December 31, 2024 and 2023 (in millions of dollars and as a percentage of revenue):</w:t>
      </w:r>
    </w:p>
    <w:tbl>
      <w:tblPr>
        <w:tblW w:w="10205" w:type="dxa"/>
        <w:jc w:val="left"/>
        <w:tblInd w:w="0" w:type="dxa"/>
        <w:tblLayout w:type="fixed"/>
        <w:tblCellMar>
          <w:top w:w="28" w:type="dxa"/>
          <w:left w:w="28" w:type="dxa"/>
          <w:bottom w:w="28" w:type="dxa"/>
          <w:right w:w="28" w:type="dxa"/>
        </w:tblCellMar>
      </w:tblPr>
      <w:tblGrid>
        <w:gridCol w:w="1802"/>
        <w:gridCol w:w="1533"/>
        <w:gridCol w:w="1551"/>
        <w:gridCol w:w="211"/>
        <w:gridCol w:w="721"/>
        <w:gridCol w:w="109"/>
        <w:gridCol w:w="109"/>
        <w:gridCol w:w="109"/>
        <w:gridCol w:w="109"/>
        <w:gridCol w:w="308"/>
        <w:gridCol w:w="308"/>
        <w:gridCol w:w="271"/>
        <w:gridCol w:w="109"/>
        <w:gridCol w:w="109"/>
        <w:gridCol w:w="109"/>
        <w:gridCol w:w="211"/>
        <w:gridCol w:w="721"/>
        <w:gridCol w:w="109"/>
        <w:gridCol w:w="109"/>
        <w:gridCol w:w="109"/>
        <w:gridCol w:w="109"/>
        <w:gridCol w:w="308"/>
        <w:gridCol w:w="308"/>
        <w:gridCol w:w="271"/>
        <w:gridCol w:w="109"/>
        <w:gridCol w:w="109"/>
        <w:gridCol w:w="109"/>
        <w:gridCol w:w="155"/>
      </w:tblGrid>
      <w:tr>
        <w:trPr/>
        <w:tc>
          <w:tcPr>
            <w:tcW w:w="180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depletion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withdrawal liability for multiemployer pension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business divestitures and impairments,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pre-tax income was $2,432 million for the year ended December 31, 2024, compared to $2,191 million in 2023. Our net income attributable to Republic Services, Inc. was $2,043 million, or $6.49 per diluted share, for 2024, compared to $1,731 million, or $5.47 per diluted share, for 2023.</w:t>
      </w:r>
    </w:p>
    <w:p>
      <w:pPr>
        <w:pStyle w:val="TextBody"/>
        <w:bidi w:val="0"/>
        <w:spacing w:lineRule="auto" w:line="288" w:before="100" w:after="283"/>
        <w:jc w:val="left"/>
        <w:rPr/>
      </w:pPr>
      <w:r>
        <w:rPr>
          <w:rFonts w:ascii="Times New Roman;sans-serif" w:hAnsi="Times New Roman;sans-serif"/>
          <w:b w:val="false"/>
          <w:color w:val="000000"/>
          <w:sz w:val="20"/>
        </w:rPr>
        <w:t xml:space="preserve">During 2024 and 2023, we recorded a number of charges, other expenses and benefits that impacted our pre-tax income, tax impact, net income attributable to Republic Services, Inc. (net income – Republic) and diluted earnings per share as noted in the following table (in millions, except per share data). Additionally, see our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 xml:space="preserve">section of this </w:t>
      </w:r>
      <w:r>
        <w:rPr>
          <w:rFonts w:ascii="Times New Roman;sans-serif" w:hAnsi="Times New Roman;sans-serif"/>
          <w:b w:val="false"/>
          <w:i/>
          <w:color w:val="000000"/>
          <w:sz w:val="20"/>
        </w:rPr>
        <w:t xml:space="preserve">Management's Discussion and Analysis of Financial Condition and Results of Operations </w:t>
      </w:r>
      <w:r>
        <w:rPr>
          <w:rFonts w:ascii="Times New Roman;sans-serif" w:hAnsi="Times New Roman;sans-serif"/>
          <w:b w:val="false"/>
          <w:color w:val="000000"/>
          <w:sz w:val="20"/>
        </w:rPr>
        <w:t>for a discussion of other items that impacted our earnings during the years ended December 31, 2024 and 2023. For comparative purposes, prior year amounts have been reclassified to conform to current year presentation.</w:t>
      </w:r>
    </w:p>
    <w:tbl>
      <w:tblPr>
        <w:tblW w:w="10205" w:type="dxa"/>
        <w:jc w:val="left"/>
        <w:tblInd w:w="0" w:type="dxa"/>
        <w:tblLayout w:type="fixed"/>
        <w:tblCellMar>
          <w:top w:w="28" w:type="dxa"/>
          <w:left w:w="28" w:type="dxa"/>
          <w:bottom w:w="28" w:type="dxa"/>
          <w:right w:w="28" w:type="dxa"/>
        </w:tblCellMar>
      </w:tblPr>
      <w:tblGrid>
        <w:gridCol w:w="574"/>
        <w:gridCol w:w="407"/>
        <w:gridCol w:w="410"/>
        <w:gridCol w:w="196"/>
        <w:gridCol w:w="556"/>
        <w:gridCol w:w="109"/>
        <w:gridCol w:w="109"/>
        <w:gridCol w:w="109"/>
        <w:gridCol w:w="109"/>
        <w:gridCol w:w="201"/>
        <w:gridCol w:w="432"/>
        <w:gridCol w:w="111"/>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201"/>
        <w:gridCol w:w="432"/>
        <w:gridCol w:w="111"/>
        <w:gridCol w:w="109"/>
        <w:gridCol w:w="109"/>
        <w:gridCol w:w="109"/>
        <w:gridCol w:w="196"/>
        <w:gridCol w:w="556"/>
        <w:gridCol w:w="109"/>
        <w:gridCol w:w="109"/>
        <w:gridCol w:w="109"/>
        <w:gridCol w:w="109"/>
        <w:gridCol w:w="196"/>
        <w:gridCol w:w="466"/>
        <w:gridCol w:w="160"/>
      </w:tblGrid>
      <w:tr>
        <w:trPr/>
        <w:tc>
          <w:tcPr>
            <w:tcW w:w="57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Year Ended December 31, 2023</w:t>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Pre-tax</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Tax Impact</w:t>
            </w:r>
            <w:r>
              <w:rPr>
                <w:rFonts w:ascii="Times New Roman;sans-serif" w:hAnsi="Times New Roman;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br/>
              <w:t>Income -</w:t>
              <w:br/>
              <w:t>Republic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Diluted</w:t>
              <w:br/>
              <w:t>Earnings</w:t>
              <w:br/>
              <w:t>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Pre-tax</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Tax Impact</w:t>
            </w:r>
            <w:r>
              <w:rPr>
                <w:rFonts w:ascii="Times New Roman;sans-serif" w:hAnsi="Times New Roman;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w:t>
              <w:br/>
              <w:t>Income -</w:t>
              <w:br/>
              <w:t>Republic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Diluted</w:t>
              <w:br/>
              <w:t>Earnings</w:t>
              <w:br/>
              <w:t>per</w:t>
              <w:br/>
              <w:t>Share</w:t>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reported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debt and other related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certain divestitures and impairments,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Settlements and withdrawals on pension plans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3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Ecology, Inc. acquisition integration and deal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adjusted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Times New Roman;sans-serif" w:hAnsi="Times New Roman;sans-serif"/>
          <w:b w:val="false"/>
          <w:color w:val="000000"/>
          <w:sz w:val="13"/>
        </w:rPr>
      </w:pPr>
      <w:r>
        <w:rPr>
          <w:rFonts w:ascii="Times New Roman;sans-serif" w:hAnsi="Times New Roman;sans-serif"/>
          <w:b w:val="false"/>
          <w:color w:val="000000"/>
          <w:sz w:val="13"/>
        </w:rPr>
        <w:t>(1) The income tax effect related to our adjustments includes both current and deferred income tax impact and is individually calculated based on the statutory rates applicable to each adjustment.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presenting adjusted pre-tax income, adjusted tax impact, adjusted net income – Republic, and adjusted diluted earnings per share, which are not measures determined in accordance with U.S. GAAP, provide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and costs in prior periods, and similar types of adjustments can reasonably be expected to be recorded in future periods. Our definitions of adjusted pre-tax income, adjusted tax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pPr>
      <w:r>
        <w:rPr>
          <w:rFonts w:ascii="Times New Roman;sans-serif" w:hAnsi="Times New Roman;sans-serif"/>
          <w:b w:val="false"/>
          <w:color w:val="000000"/>
          <w:sz w:val="20"/>
          <w:shd w:fill="FFFFFF" w:val="clear"/>
        </w:rPr>
        <w:t>adjusted net income – Republic, and adjusted diluted earnings per share may not be comparable to similarly titled measures p</w:t>
      </w:r>
      <w:r>
        <w:rPr>
          <w:rFonts w:ascii="Times New Roman;sans-serif" w:hAnsi="Times New Roman;sans-serif"/>
          <w:b w:val="false"/>
          <w:color w:val="000000"/>
          <w:sz w:val="20"/>
        </w:rPr>
        <w:t>resented by other companies. Further information on each of these adjustments is included below.</w:t>
      </w:r>
    </w:p>
    <w:p>
      <w:pPr>
        <w:pStyle w:val="TextBody"/>
        <w:bidi w:val="0"/>
        <w:spacing w:lineRule="auto" w:line="288" w:before="100" w:after="283"/>
        <w:jc w:val="left"/>
        <w:rPr/>
      </w:pPr>
      <w:r>
        <w:rPr>
          <w:rFonts w:ascii="Times New Roman;sans-serif" w:hAnsi="Times New Roman;sans-serif"/>
          <w:b w:val="false"/>
          <w:i/>
          <w:color w:val="000000"/>
          <w:sz w:val="20"/>
        </w:rPr>
        <w:t xml:space="preserve">Restructuring charges. </w:t>
      </w:r>
      <w:r>
        <w:rPr>
          <w:rFonts w:ascii="Times New Roman;sans-serif" w:hAnsi="Times New Roman;sans-serif"/>
          <w:b w:val="false"/>
          <w:color w:val="000000"/>
          <w:sz w:val="20"/>
          <w:shd w:fill="FFFFFF" w:val="clear"/>
        </w:rPr>
        <w:t xml:space="preserve">In 2024 and 2023, we incurred restructuring charges of </w:t>
      </w:r>
      <w:r>
        <w:rPr>
          <w:rFonts w:ascii="Times New Roman;sans-serif" w:hAnsi="Times New Roman;sans-serif"/>
          <w:b w:val="false"/>
          <w:color w:val="000000"/>
          <w:sz w:val="20"/>
        </w:rPr>
        <w:t>$29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$33 million</w:t>
      </w:r>
      <w:r>
        <w:rPr>
          <w:rFonts w:ascii="Times New Roman;sans-serif" w:hAnsi="Times New Roman;sans-serif"/>
          <w:b w:val="false"/>
          <w:color w:val="000000"/>
          <w:sz w:val="20"/>
          <w:shd w:fill="FFFFFF" w:val="clear"/>
        </w:rPr>
        <w:t xml:space="preserve">, respectively. The 2024 charges primarily related to the redesign of our asset management, and customer and order management software systems. Of the 2023 charges, $9 million related to the early termination of certain leases and $24 million related to the redesign of our asset management, and customer and order management software systems. We paid </w:t>
      </w:r>
      <w:r>
        <w:rPr>
          <w:rFonts w:ascii="Times New Roman;sans-serif" w:hAnsi="Times New Roman;sans-serif"/>
          <w:b w:val="false"/>
          <w:color w:val="000000"/>
          <w:sz w:val="20"/>
        </w:rPr>
        <w:t>$25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$39 million</w:t>
      </w:r>
      <w:r>
        <w:rPr>
          <w:color w:val="000000"/>
          <w:shd w:fill="FFFFFF" w:val="clear"/>
        </w:rPr>
        <w:t xml:space="preserve"> </w:t>
      </w:r>
      <w:r>
        <w:rPr>
          <w:rFonts w:ascii="Times New Roman;sans-serif" w:hAnsi="Times New Roman;sans-serif"/>
          <w:b w:val="false"/>
          <w:color w:val="000000"/>
          <w:sz w:val="20"/>
          <w:shd w:fill="FFFFFF" w:val="clear"/>
        </w:rPr>
        <w:t>during 2024 and 2023, respectively, related to these restructuring efforts.</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In 2025, we expect to incur restructuring charges of approximately $15 million, primarily </w:t>
      </w:r>
      <w:r>
        <w:rPr>
          <w:rFonts w:ascii="Calibri;sans-serif" w:hAnsi="Calibri;sans-serif"/>
          <w:b w:val="false"/>
          <w:color w:val="000000"/>
          <w:sz w:val="22"/>
        </w:rPr>
        <w:t>r</w:t>
      </w:r>
      <w:r>
        <w:rPr>
          <w:rFonts w:ascii="Times New Roman;sans-serif" w:hAnsi="Times New Roman;sans-serif"/>
          <w:b w:val="false"/>
          <w:color w:val="000000"/>
          <w:sz w:val="20"/>
          <w:shd w:fill="FFFFFF" w:val="clear"/>
        </w:rPr>
        <w:t>elated to the design and implementation of a new accounts receivable system. Substantially all of these restructuring charges will be recorded in our corporate entities and other segment.</w:t>
      </w:r>
    </w:p>
    <w:p>
      <w:pPr>
        <w:pStyle w:val="TextBody"/>
        <w:bidi w:val="0"/>
        <w:spacing w:lineRule="auto" w:line="288" w:before="100" w:after="283"/>
        <w:jc w:val="left"/>
        <w:rPr/>
      </w:pPr>
      <w:r>
        <w:rPr>
          <w:rFonts w:ascii="Times New Roman;sans-serif" w:hAnsi="Times New Roman;sans-serif"/>
          <w:b w:val="false"/>
          <w:i/>
          <w:color w:val="000000"/>
          <w:sz w:val="20"/>
          <w:shd w:fill="FFFFFF" w:val="clear"/>
        </w:rPr>
        <w:t>Gain on extinguishment of debt and other related costs, net</w:t>
      </w:r>
      <w:r>
        <w:rPr>
          <w:rFonts w:ascii="Times New Roman;sans-serif" w:hAnsi="Times New Roman;sans-serif"/>
          <w:b w:val="false"/>
          <w:color w:val="000000"/>
          <w:sz w:val="20"/>
          <w:shd w:fill="FFFFFF" w:val="clear"/>
        </w:rPr>
        <w:t xml:space="preserve">. During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we recognized a loss of </w:t>
      </w:r>
      <w:r>
        <w:rPr>
          <w:rFonts w:ascii="Times New Roman;sans-serif" w:hAnsi="Times New Roman;sans-serif"/>
          <w:b w:val="false"/>
          <w:color w:val="000000"/>
          <w:sz w:val="20"/>
        </w:rPr>
        <w:t>$2 million</w:t>
      </w:r>
      <w:r>
        <w:rPr>
          <w:color w:val="000000"/>
          <w:shd w:fill="FFFFFF" w:val="clear"/>
        </w:rPr>
        <w:t xml:space="preserve"> </w:t>
      </w:r>
      <w:r>
        <w:rPr>
          <w:rFonts w:ascii="Times New Roman;sans-serif" w:hAnsi="Times New Roman;sans-serif"/>
          <w:b w:val="false"/>
          <w:color w:val="000000"/>
          <w:sz w:val="20"/>
          <w:shd w:fill="FFFFFF" w:val="clear"/>
        </w:rPr>
        <w:t xml:space="preserve">due to the amendment and restatement of the Credit Facility. Additionally, we recorded a net gain of </w:t>
      </w:r>
      <w:r>
        <w:rPr>
          <w:rFonts w:ascii="Times New Roman;sans-serif" w:hAnsi="Times New Roman;sans-serif"/>
          <w:b w:val="false"/>
          <w:color w:val="000000"/>
          <w:sz w:val="20"/>
        </w:rPr>
        <w:t>$8 million</w:t>
      </w:r>
      <w:r>
        <w:rPr>
          <w:color w:val="000000"/>
          <w:shd w:fill="FFFFFF" w:val="clear"/>
        </w:rPr>
        <w:t xml:space="preserve"> </w:t>
      </w:r>
      <w:r>
        <w:rPr>
          <w:rFonts w:ascii="Times New Roman;sans-serif" w:hAnsi="Times New Roman;sans-serif"/>
          <w:b w:val="false"/>
          <w:color w:val="000000"/>
          <w:sz w:val="20"/>
          <w:shd w:fill="FFFFFF" w:val="clear"/>
        </w:rPr>
        <w:t xml:space="preserve">attributable to the early settlement of certain cash flow hedges related to the Term Loan Facility. The gain was recognized as a reduction of interest expense. During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,we incurred a loss on the early extinguishment of debt related to the early repayment of a portion of our Term Loan Facility. We incurred non-cash charges related to the proportional share of unamortized deferred issuance costs of less than $1 million.</w:t>
      </w:r>
    </w:p>
    <w:p>
      <w:pPr>
        <w:pStyle w:val="TextBody"/>
        <w:bidi w:val="0"/>
        <w:spacing w:lineRule="auto" w:line="288" w:before="100" w:after="283"/>
        <w:jc w:val="left"/>
        <w:rPr/>
      </w:pPr>
      <w:r>
        <w:rPr>
          <w:rFonts w:ascii="Times New Roman;sans-serif" w:hAnsi="Times New Roman;sans-serif"/>
          <w:b w:val="false"/>
          <w:i/>
          <w:color w:val="000000"/>
          <w:sz w:val="20"/>
        </w:rPr>
        <w:t xml:space="preserve">Gain on certain divestitures and impairments, net. </w:t>
      </w:r>
      <w:r>
        <w:rPr>
          <w:rFonts w:ascii="Times New Roman;sans-serif" w:hAnsi="Times New Roman;sans-serif"/>
          <w:b w:val="false"/>
          <w:color w:val="000000"/>
          <w:sz w:val="20"/>
        </w:rPr>
        <w:t>During 2024, we recorded a</w:t>
      </w:r>
      <w:r>
        <w:rPr>
          <w:color w:val="000000"/>
        </w:rPr>
        <w:t xml:space="preserve"> </w:t>
      </w:r>
      <w:r>
        <w:rPr>
          <w:rFonts w:ascii="Times New Roman;sans-serif" w:hAnsi="Times New Roman;sans-serif"/>
          <w:b w:val="false"/>
          <w:color w:val="000000"/>
          <w:sz w:val="20"/>
        </w:rPr>
        <w:t>net gain on certain divestitures and impairments of $30 million, of which $29 million was due to a gain on the sale of a transfer station facility and $1 million related to a gain on business divestitures and impairments. During 2023, we recorded a net gain of $4 million related to business divestitures and impairments.</w:t>
      </w:r>
    </w:p>
    <w:p>
      <w:pPr>
        <w:pStyle w:val="TextBody"/>
        <w:bidi w:val="0"/>
        <w:spacing w:lineRule="auto" w:line="288" w:before="100" w:after="283"/>
        <w:jc w:val="left"/>
        <w:rPr/>
      </w:pPr>
      <w:r>
        <w:rPr>
          <w:rFonts w:ascii="Times New Roman;sans-serif" w:hAnsi="Times New Roman;sans-serif"/>
          <w:b w:val="false"/>
          <w:i/>
          <w:color w:val="000000"/>
          <w:sz w:val="20"/>
        </w:rPr>
        <w:t xml:space="preserve">Settlements and withdrawals on pension plans. </w:t>
      </w:r>
      <w:r>
        <w:rPr>
          <w:rFonts w:ascii="Times New Roman;sans-serif" w:hAnsi="Times New Roman;sans-serif"/>
          <w:b w:val="false"/>
          <w:color w:val="000000"/>
          <w:sz w:val="20"/>
        </w:rPr>
        <w:t>During 2024, we recognized a settlement of our defined benefit pension plan. The settlement included a combination of lump-sum payments to participants who elected to receive them and the transfer of benefit obligations to a third-party insurance company under a group annuity contract. As a result of the settlements, we recognized a non-cash gain of $8 million related to the accelerated recognition of the proportional share of unamortized net actuarial gains in accumulated other comprehensive loss.</w:t>
      </w:r>
      <w:r>
        <w:rPr>
          <w:color w:val="000000"/>
        </w:rPr>
        <w:t xml:space="preserve"> </w:t>
      </w:r>
      <w:r>
        <w:rPr>
          <w:rFonts w:ascii="Times New Roman;sans-serif" w:hAnsi="Times New Roman;sans-serif"/>
          <w:b w:val="false"/>
          <w:color w:val="000000"/>
          <w:sz w:val="20"/>
        </w:rPr>
        <w:t>During 2023, we recorded a charge to earnings of $5 million for a withdrawal event at multiemployer pension funds to which we contribute.</w:t>
      </w:r>
    </w:p>
    <w:p>
      <w:pPr>
        <w:pStyle w:val="TextBody"/>
        <w:bidi w:val="0"/>
        <w:spacing w:lineRule="auto" w:line="288" w:before="100" w:after="283"/>
        <w:jc w:val="left"/>
        <w:rPr/>
      </w:pPr>
      <w:r>
        <w:rPr>
          <w:rFonts w:ascii="Times New Roman;sans-serif" w:hAnsi="Times New Roman;sans-serif"/>
          <w:b w:val="false"/>
          <w:i/>
          <w:color w:val="000000"/>
          <w:sz w:val="20"/>
        </w:rPr>
        <w:t>US Ecology, Inc. acquisition integration and deal costs.</w:t>
      </w:r>
      <w:r>
        <w:rPr>
          <w:color w:val="000000"/>
        </w:rPr>
        <w:t xml:space="preserve"> </w:t>
      </w:r>
      <w:r>
        <w:rPr>
          <w:rFonts w:ascii="Times New Roman;sans-serif" w:hAnsi="Times New Roman;sans-serif"/>
          <w:b w:val="false"/>
          <w:color w:val="000000"/>
          <w:sz w:val="20"/>
        </w:rPr>
        <w:t xml:space="preserve">In 2023, we incurred acquisition integration and deal costs of $34 million in connection with the acquisition of US Ecology, which included certain costs to integrate the business. The acquisition closed on </w:t>
      </w:r>
      <w:r>
        <w:rPr>
          <w:rFonts w:ascii="Times New Roman;sans-serif" w:hAnsi="Times New Roman;sans-serif"/>
          <w:b w:val="false"/>
          <w:color w:val="000000"/>
          <w:sz w:val="20"/>
          <w:shd w:fill="FFFFFF" w:val="clear"/>
        </w:rPr>
        <w:t>May 2, 2022, and our integration of the business was substantially complete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by providing environmental services to our customers, including the collection and processing of recyclable materials, the collection, treatment, consolidation, transfer and disposal of hazardous and non-hazardous waste and other environmental solutions. Our residential, small-container and large-container collection operations in some markets are based on long-term contracts with municipalities. Certain of our municipal contracts have annual price escalation clauses that are tied to changes in an underlying base index such as a consumer price index. We generally provide small-container and large-container collection services to customers under contracts with terms up to three years. Our transfer stations and landfills generate revenue from disposal or tipping fees charged to third parties. Our recycling centers generate revenue from tipping fees charged to third parties and the sale of recycled commodities. Our revenue from environmental solutions primarily consists of (1) fees we charge for the collection, treatment, transfer and disposal of hazardous and non-hazardous waste, (2) field and industrial services, (3) equipment rental, (4) emergency response and standby services, (5) in-plant services, such as transportation and logistics, including at our TSDFs and (6) in-plant services such as high-pressure cleaning, tank cleaning, decontamination, remediation, transportation, spill cleanup and emergency response at refineries, chemical, steel and automotive plants and other governmental, commercial and industrial facilities. Other non-core revenue consists primarily of 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revenue by service line for the years ended December 31, 2024 and 2023 (in millions of dollars and as a percentage of revenue):</w:t>
      </w:r>
    </w:p>
    <w:tbl>
      <w:tblPr>
        <w:tblW w:w="8512" w:type="dxa"/>
        <w:jc w:val="left"/>
        <w:tblInd w:w="0" w:type="dxa"/>
        <w:tblLayout w:type="fixed"/>
        <w:tblCellMar>
          <w:top w:w="28" w:type="dxa"/>
          <w:left w:w="28" w:type="dxa"/>
          <w:bottom w:w="28" w:type="dxa"/>
          <w:right w:w="28" w:type="dxa"/>
        </w:tblCellMar>
      </w:tblPr>
      <w:tblGrid>
        <w:gridCol w:w="1313"/>
        <w:gridCol w:w="1151"/>
        <w:gridCol w:w="1166"/>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316"/>
      </w:tblGrid>
      <w:tr>
        <w:trPr/>
        <w:tc>
          <w:tcPr>
            <w:tcW w:w="131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Small-container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Large-container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collection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intercompany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intercompany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intercompany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solutions,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Recycling processing and commodity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changes in components of our revenue, as a percentage of total revenue, for the years ended December 31, 2024 and 2023:</w:t>
      </w:r>
    </w:p>
    <w:tbl>
      <w:tblPr>
        <w:tblW w:w="5579" w:type="dxa"/>
        <w:jc w:val="left"/>
        <w:tblInd w:w="0" w:type="dxa"/>
        <w:tblLayout w:type="fixed"/>
        <w:tblCellMar>
          <w:top w:w="28" w:type="dxa"/>
          <w:left w:w="28" w:type="dxa"/>
          <w:bottom w:w="28" w:type="dxa"/>
          <w:right w:w="28" w:type="dxa"/>
        </w:tblCellMar>
      </w:tblPr>
      <w:tblGrid>
        <w:gridCol w:w="1316"/>
        <w:gridCol w:w="1153"/>
        <w:gridCol w:w="1161"/>
        <w:gridCol w:w="239"/>
        <w:gridCol w:w="241"/>
        <w:gridCol w:w="292"/>
        <w:gridCol w:w="109"/>
        <w:gridCol w:w="109"/>
        <w:gridCol w:w="109"/>
        <w:gridCol w:w="254"/>
        <w:gridCol w:w="257"/>
        <w:gridCol w:w="339"/>
      </w:tblGrid>
      <w:tr>
        <w:trPr/>
        <w:tc>
          <w:tcPr>
            <w:tcW w:w="131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yield</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recovery fees</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price</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workdays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Recycling processing and commodity sales</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solutions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internal growth</w:t>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 divestitures, net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Core price</w:t>
            </w:r>
          </w:p>
        </w:tc>
        <w:tc>
          <w:tcPr>
            <w:tcW w:w="48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yield is defined as revenue growth from the change in average price per unit of service, expressed as a percentage. Core price is defined as price increases to our customers and fees, excluding fuel recovery, net of price decreases to retain customers. We also measure changes in average yield and core price as a percentage of related-business revenue, defined as total revenue excluding recycled commodities, fuel recovery fees and environmental solutions revenue to determine the effectiveness of our pricing strategies.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average yield, core price and volume as a percentage of related-business revenue for the years ended December 31, 2024 and 2023:</w:t>
      </w:r>
    </w:p>
    <w:tbl>
      <w:tblPr>
        <w:tblW w:w="4416" w:type="dxa"/>
        <w:jc w:val="left"/>
        <w:tblInd w:w="0" w:type="dxa"/>
        <w:tblLayout w:type="fixed"/>
        <w:tblCellMar>
          <w:top w:w="28" w:type="dxa"/>
          <w:left w:w="28" w:type="dxa"/>
          <w:bottom w:w="28" w:type="dxa"/>
          <w:right w:w="28" w:type="dxa"/>
        </w:tblCellMar>
      </w:tblPr>
      <w:tblGrid>
        <w:gridCol w:w="402"/>
        <w:gridCol w:w="352"/>
        <w:gridCol w:w="355"/>
        <w:gridCol w:w="109"/>
        <w:gridCol w:w="109"/>
        <w:gridCol w:w="328"/>
        <w:gridCol w:w="328"/>
        <w:gridCol w:w="328"/>
        <w:gridCol w:w="328"/>
        <w:gridCol w:w="773"/>
        <w:gridCol w:w="109"/>
        <w:gridCol w:w="109"/>
        <w:gridCol w:w="109"/>
        <w:gridCol w:w="188"/>
        <w:gridCol w:w="188"/>
        <w:gridCol w:w="301"/>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Years Ended December 31,</w:t>
            </w:r>
          </w:p>
        </w:tc>
        <w:tc>
          <w:tcPr>
            <w:tcW w:w="1004"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a % of Related Business</w:t>
            </w:r>
          </w:p>
        </w:tc>
        <w:tc>
          <w:tcPr>
            <w:tcW w:w="1004"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we experienced the following changes in our revenue as compared to 2023:</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Average yield increased revenue by 5.1% due to positive pricing changes in all lines of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fuel recovery fee program, which mitigates our exposure to increases in fuel prices, decreased revenue by 0.4%, primarily due to a decrease in fuel prices compared to 2023.</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Volume decreased revenue by 1.1% during 2024 as compared to 2023 primarily driven by a decrease in volume in our large container collection line of business, primarily driven by a slowing in construction-related activity. Additionally, we experienced declines in our residential, small-container and transfer lines of business primarily attributable to certain municipal contract losses and broker-related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Revenue increased by 0.3% due to the impact of the number of workdays during 2024 as compared to 2023, which drove an increase in volume across all lines of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Recycling processing and commodity sales increased revenue by 0.5% primarily due to an increase in overall commodity prices as compared to 2023. The average price for recycled commodities, excluding glass and organics, for 2024 was $164 per ton compared to $117 per ton for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Changing market demand for recycled commodities causes volatility in commodity prices. At current volumes and mix of materials, we believe a $10 per ton change in the price of recycled commodities will change both annual revenue and operating income by approximately $11 million.</w:t>
      </w:r>
    </w:p>
    <w:p>
      <w:pPr>
        <w:pStyle w:val="TextBody"/>
        <w:bidi w:val="0"/>
        <w:spacing w:lineRule="auto" w:line="288" w:before="100" w:after="283"/>
        <w:ind w:left="0" w:right="0" w:hanging="360"/>
        <w:jc w:val="left"/>
        <w:rPr/>
      </w:pPr>
      <w:r>
        <w:rPr>
          <w:color w:val="000000"/>
          <w:shd w:fill="FFFFFF" w:val="clear"/>
        </w:rPr>
        <w:t>•</w:t>
      </w:r>
      <w:r>
        <w:rPr>
          <w:rFonts w:ascii="Times New Roman;sans-serif" w:hAnsi="Times New Roman;sans-serif"/>
          <w:b w:val="false"/>
          <w:color w:val="000000"/>
          <w:sz w:val="20"/>
        </w:rPr>
        <w:t>During 2024, environmental solutions revenue increased by 0.1%</w:t>
      </w:r>
      <w:r>
        <w:rPr>
          <w:color w:val="000000"/>
        </w:rPr>
        <w:t xml:space="preserve"> </w:t>
      </w:r>
      <w:r>
        <w:rPr>
          <w:rFonts w:ascii="Times New Roman;sans-serif" w:hAnsi="Times New Roman;sans-serif"/>
          <w:b w:val="false"/>
          <w:color w:val="000000"/>
          <w:sz w:val="20"/>
        </w:rPr>
        <w:t xml:space="preserve">primarily due to an increase in event-based volumes and price increases relative to the same period in 2023.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Acquisitions, net of divestitures, increased revenue by 2.6%, reflecting the results of our continued growth strategy of acquiring environmental services companies that complement and expand our existing business platform.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Cost of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includes labor and related benefits, which consists of salaries and wages, health and welfare benefits, incentive compensation and payroll taxes. It also includes transfer and disposal costs representing tipping fees paid to third party disposal facilities and transfer stations; maintenance and repairs relating to our vehicles, equipment and containers, including related labor and benefit costs; transportation and subcontractor costs, which include costs for independent haulers that transport our waste to disposal facilities and costs for local operators that provide waste handling services associated with our National Accounts in markets outside our standard operating areas; fuel, which includes the direct cost of fuel used by our vehicles, net of fuel tax credits; disposal fees and taxes, consisting of landfill taxes, host community fees and royalties; landfill operating costs, which includes financial assurance, leachate disposal, remediation charges and other landfill maintenance costs; risk management costs, which include insurance premiums and claims; and other, which includes expenses such as facility operating costs, equipment rent and gains or losses on the sale of assets used in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major components of our cost of operations for the years ended December 31, 2024 and 2023 (in millions of dollars and as a percentage of revenue):</w:t>
      </w:r>
    </w:p>
    <w:tbl>
      <w:tblPr>
        <w:tblW w:w="8556" w:type="dxa"/>
        <w:jc w:val="left"/>
        <w:tblInd w:w="0" w:type="dxa"/>
        <w:tblLayout w:type="fixed"/>
        <w:tblCellMar>
          <w:top w:w="28" w:type="dxa"/>
          <w:left w:w="28" w:type="dxa"/>
          <w:bottom w:w="28" w:type="dxa"/>
          <w:right w:w="28" w:type="dxa"/>
        </w:tblCellMar>
      </w:tblPr>
      <w:tblGrid>
        <w:gridCol w:w="1481"/>
        <w:gridCol w:w="1304"/>
        <w:gridCol w:w="13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6"/>
      </w:tblGrid>
      <w:tr>
        <w:trPr/>
        <w:tc>
          <w:tcPr>
            <w:tcW w:w="14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and 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and disposal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and repairs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and subcontract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Disposal fees and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operating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management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certain divestitures and impairments,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cost categories may change from time to time and may not be comparable to similarly titled categories presented by other companies. As such, you should take care when comparing our cost of operations by component to that of other companies and of ours for prior periods.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cost of operations increased in aggregate dollars for the year ended December 31, 2024 compared to the same period in 2023 as a result of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Labor and related benefits increased in aggregate dollars due to higher hourly and salaried wages as a result of annual merit increases. Acquisition-related growth also contributed to the increase in labor and related benefits.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Transfer and disposal costs increased in aggregate dollars primarily due to acquisition-related growth and higher disposal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approximately 67% of the total solid waste volume we collected was disposed at landfill sites that we own or operate (internalization), as compared to 68% in 2023.</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Maintenance and repairs expense increa</w:t>
      </w:r>
      <w:r>
        <w:rPr>
          <w:rFonts w:ascii="Times New Roman;sans-serif" w:hAnsi="Times New Roman;sans-serif"/>
          <w:b w:val="false"/>
          <w:color w:val="000000"/>
          <w:sz w:val="20"/>
        </w:rPr>
        <w:t>se</w:t>
      </w:r>
      <w:r>
        <w:rPr>
          <w:rFonts w:ascii="Times New Roman;sans-serif" w:hAnsi="Times New Roman;sans-serif"/>
          <w:b w:val="false"/>
          <w:color w:val="000000"/>
          <w:sz w:val="20"/>
          <w:shd w:fill="FFFFFF" w:val="clear"/>
        </w:rPr>
        <w:t>d in aggregate dollars due to higher hourly wages as a result of annual merit increases, parts inflation and an increase in third-party maintenance</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rPr>
        <w:t xml:space="preserve">Acquisition-related growth also contributed to the increase in maintenance and repairs expense. </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 xml:space="preserve">Transportation and subcontract costs increased in aggregate dollars </w:t>
      </w:r>
      <w:r>
        <w:rPr>
          <w:rFonts w:ascii="Times New Roman;sans-serif" w:hAnsi="Times New Roman;sans-serif"/>
          <w:b w:val="false"/>
          <w:color w:val="000000"/>
          <w:sz w:val="20"/>
          <w:shd w:fill="FFFFFF" w:val="clear"/>
        </w:rPr>
        <w:t>due to an increase in transportation rates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Acquisition-related growth also contributed to the increase in transportation and subcontract costs.</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Our fuel costs decreased due to a decrease in the average diesel fuel cost per gallon. The national average diesel fuel cost per gallon for </w:t>
      </w:r>
      <w:r>
        <w:rPr>
          <w:rFonts w:ascii="Times New Roman;sans-serif" w:hAnsi="Times New Roman;sans-serif"/>
          <w:b w:val="false"/>
          <w:color w:val="000000"/>
          <w:sz w:val="20"/>
        </w:rPr>
        <w:t>2024 was $3.76 compared to $4.21 for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current consumption levels, we believe a twenty-cent per gallon change in the price of diesel fuel would change our fuel costs by approximately $27 million per year. Offsetting these changes in fuel expense would be changes in our fuel recovery fee charged to our customers. At current participation rates, we believe a twenty-cent per gallon change in the price of diesel fuel would change our fuel recovery fee by approximately $38 million per year.</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Disposal fees and taxes increased in aggregate dollars in 2024 primarily due to increased royalties and host fees from an increase in volume at certain landfills as compared to 2023.</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Landfill operating costs increased during 2024 primarily due to increased leachate transportation and maintenance on our gas extraction systems due in part to increased rainfall in select geographic regions, as well as an increase in remediation adjustments recorded during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Risk management expenses increased in aggregate dollars primarily due to higher premium costs as well as unfavorable claims development in our auto liability program, partially offset by favorable claims development in our general and worker's compensation liability programs. </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Other costs of operations increased in aggregate dollars during 2024 due to increased occupancy and facility related expenses as well as acquisition-related activity. These increases were partially offset by a favorable non-recurring insurance recovery related to a prior year claim.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Depreciation, Amortization and Depletion of Property and Equipment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depreciation, amortization and depletion of property and equipment for the years ended December 31, 2024 and 2023 (in millions of dollars and as a percentage of revenue):</w:t>
      </w:r>
    </w:p>
    <w:tbl>
      <w:tblPr>
        <w:tblW w:w="9052" w:type="dxa"/>
        <w:jc w:val="left"/>
        <w:tblInd w:w="0" w:type="dxa"/>
        <w:tblLayout w:type="fixed"/>
        <w:tblCellMar>
          <w:top w:w="28" w:type="dxa"/>
          <w:left w:w="28" w:type="dxa"/>
          <w:bottom w:w="28" w:type="dxa"/>
          <w:right w:w="28" w:type="dxa"/>
        </w:tblCellMar>
      </w:tblPr>
      <w:tblGrid>
        <w:gridCol w:w="1738"/>
        <w:gridCol w:w="1529"/>
        <w:gridCol w:w="1533"/>
        <w:gridCol w:w="211"/>
        <w:gridCol w:w="616"/>
        <w:gridCol w:w="109"/>
        <w:gridCol w:w="109"/>
        <w:gridCol w:w="109"/>
        <w:gridCol w:w="109"/>
        <w:gridCol w:w="203"/>
        <w:gridCol w:w="203"/>
        <w:gridCol w:w="271"/>
        <w:gridCol w:w="109"/>
        <w:gridCol w:w="109"/>
        <w:gridCol w:w="109"/>
        <w:gridCol w:w="211"/>
        <w:gridCol w:w="616"/>
        <w:gridCol w:w="109"/>
        <w:gridCol w:w="109"/>
        <w:gridCol w:w="109"/>
        <w:gridCol w:w="109"/>
        <w:gridCol w:w="203"/>
        <w:gridCol w:w="203"/>
        <w:gridCol w:w="316"/>
      </w:tblGrid>
      <w:tr>
        <w:trPr/>
        <w:tc>
          <w:tcPr>
            <w:tcW w:w="173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depletion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depletion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 increased primarily due to assets added through acquisitions.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depletion and amortization expense increased in aggregate dollars due to an increase in our overall average depletion rate.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Amortization of Other Intangible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other intangible assets primarily relates to customer relationships and, to a lesser extent, non-compete agreements. Expenses for amortization of other intangible assets were $79 million, or 0.5% of revenue, for the year ended December 31, 2024, compared to $66 million, or 0.4% of revenue, for 2023. Amortization expense increased due to additional assets acquired as a result of our business acquisitions.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Amortization of Other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other assets primarily relate to the prepayment of fees and capitalized implementation costs associated with cloud-based hosting arrangements. Expenses for amortization of other assets were $81 million, or 0.5% of revenue, for the year ended December 31, 2024, compared to $67 million, or 0.5% of revenue, for 2023.</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Accretion Expense</w:t>
      </w:r>
    </w:p>
    <w:p>
      <w:pPr>
        <w:pStyle w:val="TextBody"/>
        <w:bidi w:val="0"/>
        <w:spacing w:lineRule="auto" w:line="288" w:before="100" w:after="283"/>
        <w:jc w:val="left"/>
        <w:rPr/>
      </w:pPr>
      <w:r>
        <w:rPr>
          <w:rFonts w:ascii="Times New Roman;sans-serif" w:hAnsi="Times New Roman;sans-serif"/>
          <w:b w:val="false"/>
          <w:color w:val="000000"/>
          <w:sz w:val="20"/>
        </w:rPr>
        <w:t>Accretion expense was $107 million, or 0.7% of revenue, and $98 million, or 0.7% of revenue, for the years ended December 31, 2024 and 2023, respectively.</w:t>
      </w:r>
      <w:r>
        <w:rPr>
          <w:color w:val="000000"/>
        </w:rPr>
        <w:t xml:space="preserve">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include salaries, health and welfare benefits and incentive compensation for corporate and field general management, field support functions, sales force, accounting and finance, legal, management information systems and clerical and administrative departments. Other expenses include rent and office costs, fees for professional services provided by third parties, legal settlements, marketing, investor and community relations services, directors’ and officers’ insurance, general employee relocation, travel, entertainment and bank charges. Restructuring charges are excluded from selling, general and administrative expenses and are discussed separately.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selling, general and administrative expenses for the years ended December 31, 2024 and 2023 (in millions of dollars and as a percentage of revenue):</w:t>
      </w:r>
    </w:p>
    <w:tbl>
      <w:tblPr>
        <w:tblW w:w="9036" w:type="dxa"/>
        <w:jc w:val="left"/>
        <w:tblInd w:w="0" w:type="dxa"/>
        <w:tblLayout w:type="fixed"/>
        <w:tblCellMar>
          <w:top w:w="28" w:type="dxa"/>
          <w:left w:w="28" w:type="dxa"/>
          <w:bottom w:w="28" w:type="dxa"/>
          <w:right w:w="28" w:type="dxa"/>
        </w:tblCellMar>
      </w:tblPr>
      <w:tblGrid>
        <w:gridCol w:w="1653"/>
        <w:gridCol w:w="1457"/>
        <w:gridCol w:w="1464"/>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6"/>
      </w:tblGrid>
      <w:tr>
        <w:trPr/>
        <w:tc>
          <w:tcPr>
            <w:tcW w:w="16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Inc. acquisition integration and deal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general and administrative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cost categories may change from time to time and may not be comparable to similarly titled categories used by other companies. As such, you should take care when comparing our selling, general and administrative expenses by cost component to those of other companies and of ours for prior periods.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affecting our selling, general and administrative expenses during 2024 as compared to 2023 are summarized below:</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Salaries and related benefits increased in aggregate dollars primarily due to higher wages and benefits resulting from annual merit increases as well as higher management incentive expense as a result of outperforming our annual incentive metrics. Acquisition-related growth also contributed to the growth in salaries and related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Provision for doubtful accounts decreased</w:t>
      </w:r>
      <w:r>
        <w:rPr>
          <w:color w:val="000000"/>
        </w:rPr>
        <w:t xml:space="preserve"> </w:t>
      </w:r>
      <w:r>
        <w:rPr>
          <w:rFonts w:ascii="Times New Roman;sans-serif" w:hAnsi="Times New Roman;sans-serif"/>
          <w:b w:val="false"/>
          <w:color w:val="000000"/>
          <w:sz w:val="20"/>
        </w:rPr>
        <w:t xml:space="preserve">primarily due to improvements in our cash collections and days sales outstanding as well as favorable adjustments to reserves established in a prior year. 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our days sales outstanding were 40.9, or 30.0 days net of deferred revenue, compared to 42.0, or 30.9 days net of deferred revenue, as of December 31, 2023.</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selling, general and administrative expenses increased for the year ended December 31, 2024, largely due to an increase in meeting and travel costs, consulting costs and acquisition-related growth, partially offset by a favorable legal settlement.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During the year ended December 31, 2023 we incurred $34 million of acquisition integration and deal costs with the acquisition of US Ecology, primarily related to the integration of certain software systems as well as rebranding of the business. Our integration of the business was substantially complete as of December 31, 2023.</w:t>
      </w:r>
    </w:p>
    <w:p>
      <w:pPr>
        <w:pStyle w:val="TextBody"/>
        <w:bidi w:val="0"/>
        <w:spacing w:lineRule="auto" w:line="288" w:before="18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Gain on Business Divestitures and Impairments, Net</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We strive to have a leading market position in each of the markets we serve, or have a clear path on how we will achieve a leading market position over time. Where we cannot establish a leading market position, or where operations are not generating acceptable returns, we may decide to divest certain assets and reallocate resources to other markets. Business divestitures could result in gains, losses or impairment charges that m</w:t>
      </w:r>
      <w:r>
        <w:rPr>
          <w:rFonts w:ascii="Times New Roman;sans-serif" w:hAnsi="Times New Roman;sans-serif"/>
          <w:b w:val="false"/>
          <w:color w:val="000000"/>
          <w:sz w:val="20"/>
        </w:rPr>
        <w:t>ay be material to our results of operations in a given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2024 and 2023, we recorded a net gain on business divestitures and impairments of $1 million and $4 million, respectively.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Restructuring Charges</w:t>
      </w:r>
    </w:p>
    <w:p>
      <w:pPr>
        <w:pStyle w:val="TextBody"/>
        <w:bidi w:val="0"/>
        <w:spacing w:lineRule="auto" w:line="288" w:before="100" w:after="283"/>
        <w:jc w:val="left"/>
        <w:rPr/>
      </w:pPr>
      <w:r>
        <w:rPr>
          <w:rFonts w:ascii="Times New Roman;sans-serif" w:hAnsi="Times New Roman;sans-serif"/>
          <w:b w:val="false"/>
          <w:color w:val="000000"/>
          <w:sz w:val="20"/>
        </w:rPr>
        <w:t xml:space="preserve">For a discussion or restructuring charges incurred during the years ended December 31, 2024 and 2023 see </w:t>
      </w:r>
      <w:r>
        <w:rPr>
          <w:rFonts w:ascii="Times New Roman;sans-serif" w:hAnsi="Times New Roman;sans-serif"/>
          <w:b w:val="false"/>
          <w:i/>
          <w:color w:val="000000"/>
          <w:sz w:val="20"/>
        </w:rPr>
        <w:t xml:space="preserve">Overview </w:t>
      </w:r>
      <w:r>
        <w:rPr>
          <w:rFonts w:ascii="Times New Roman;sans-serif" w:hAnsi="Times New Roman;sans-serif"/>
          <w:b w:val="false"/>
          <w:color w:val="000000"/>
          <w:sz w:val="20"/>
        </w:rPr>
        <w:t xml:space="preserve">of this </w:t>
      </w:r>
      <w:r>
        <w:rPr>
          <w:rFonts w:ascii="Times New Roman;sans-serif" w:hAnsi="Times New Roman;sans-serif"/>
          <w:b w:val="false"/>
          <w:i/>
          <w:color w:val="000000"/>
          <w:sz w:val="20"/>
        </w:rPr>
        <w:t xml:space="preserve">Management's Discussion and Analysis of Financial Condition and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interest expense, including accretion of debt discounts and accretion of discounts primarily associated with environmental and risk insurance liabilities assumed in acquisitions for the years ended December 31, 2024 and 2023 (in millions of dollars):</w:t>
      </w:r>
    </w:p>
    <w:tbl>
      <w:tblPr>
        <w:tblW w:w="4074" w:type="dxa"/>
        <w:jc w:val="left"/>
        <w:tblInd w:w="0" w:type="dxa"/>
        <w:tblLayout w:type="fixed"/>
        <w:tblCellMar>
          <w:top w:w="28" w:type="dxa"/>
          <w:left w:w="28" w:type="dxa"/>
          <w:bottom w:w="28" w:type="dxa"/>
          <w:right w:w="28" w:type="dxa"/>
        </w:tblCellMar>
      </w:tblPr>
      <w:tblGrid>
        <w:gridCol w:w="772"/>
        <w:gridCol w:w="676"/>
        <w:gridCol w:w="682"/>
        <w:gridCol w:w="211"/>
        <w:gridCol w:w="466"/>
        <w:gridCol w:w="109"/>
        <w:gridCol w:w="109"/>
        <w:gridCol w:w="109"/>
        <w:gridCol w:w="109"/>
        <w:gridCol w:w="211"/>
        <w:gridCol w:w="46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capitalized interest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expense for 2024 increased compared to 2023 primarily due to higher interest rates on our fixed rate debt. The increase attributable to our fixed rate debt is primarily due to the issuance of senior notes in 2024 with coupons ranging from 5.000% to 5.200%, the proceeds of which were used to repay outstanding senior notes with a coupon of 2.500%. This increase was partially offset by a gain of $8 million recognized in 2024 attributable to the early settlement of certain cash flow hedges related to the Term Loan Facility. The gain was recognized as a reduction of non-cash interest expense.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excluding net swap settlements for our fixed-to-floating and floating-to-fixed interest rate swaps, was $487 million and $423 million for the years ended December 31, 2024 and 2023, respectively.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$2,160 million of floating rate debt including floating rate swap contracts. If interest rates increased or decreased by 100 basis points on our variable rate debt, annualized interest expense and net cash payments for interest would increase or decrease by approximately $22 million.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Loss on Extinguishment of Debt</w:t>
      </w:r>
    </w:p>
    <w:p>
      <w:pPr>
        <w:pStyle w:val="TextBody"/>
        <w:bidi w:val="0"/>
        <w:spacing w:lineRule="auto" w:line="288" w:before="100" w:after="283"/>
        <w:jc w:val="left"/>
        <w:rPr/>
      </w:pPr>
      <w:r>
        <w:rPr>
          <w:rFonts w:ascii="Times New Roman;sans-serif" w:hAnsi="Times New Roman;sans-serif"/>
          <w:b w:val="false"/>
          <w:color w:val="000000"/>
          <w:sz w:val="20"/>
        </w:rPr>
        <w:t>During the year ended December 31, 2024</w:t>
      </w:r>
      <w:r>
        <w:rPr>
          <w:rFonts w:ascii="Times New Roman;sans-serif" w:hAnsi="Times New Roman;sans-serif"/>
          <w:b/>
          <w:color w:val="000000"/>
          <w:sz w:val="20"/>
        </w:rPr>
        <w:t xml:space="preserve">, </w:t>
      </w:r>
      <w:r>
        <w:rPr>
          <w:rFonts w:ascii="Times New Roman;sans-serif" w:hAnsi="Times New Roman;sans-serif"/>
          <w:b w:val="false"/>
          <w:color w:val="000000"/>
          <w:sz w:val="20"/>
        </w:rPr>
        <w:t>we recognized a loss of</w:t>
      </w:r>
      <w:r>
        <w:rPr>
          <w:color w:val="000000"/>
        </w:rPr>
        <w:t xml:space="preserve"> </w:t>
      </w:r>
      <w:r>
        <w:rPr>
          <w:rFonts w:ascii="Times New Roman;sans-serif" w:hAnsi="Times New Roman;sans-serif"/>
          <w:b w:val="false"/>
          <w:color w:val="000000"/>
          <w:sz w:val="20"/>
        </w:rPr>
        <w:t>$2 million due to the amendment and restatement of the Credit Facility.</w:t>
      </w:r>
      <w:r>
        <w:rPr>
          <w:color w:val="000000"/>
        </w:rPr>
        <w:t xml:space="preserve"> </w:t>
      </w:r>
      <w:r>
        <w:rPr>
          <w:rFonts w:ascii="Times New Roman;sans-serif" w:hAnsi="Times New Roman;sans-serif"/>
          <w:b w:val="false"/>
          <w:color w:val="000000"/>
          <w:sz w:val="20"/>
        </w:rPr>
        <w:t>During the year ended December 31, 2023, we incurred a loss on the early extinguishment of debt due to the early repayment of a portion of our Term Loan Facility. We incurred non-cash charges related to the proportional share of unamortized deferred issuance costs of less than $1 million.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Adjustment to Withdrawal Liability for Multiemployer Pension Funds</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During </w:t>
      </w:r>
      <w:r>
        <w:rPr>
          <w:rFonts w:ascii="Times New Roman;sans-serif" w:hAnsi="Times New Roman;sans-serif"/>
          <w:b w:val="false"/>
          <w:color w:val="000000"/>
          <w:sz w:val="20"/>
        </w:rPr>
        <w:t xml:space="preserve">2023, we recorded a $5 million charge related to the withdrawal from a certain multiemployer pension plan. As we obtain updated information regarding multiemployer pension funds, the factors used in deriving our estimated withdrawal liabilities will be subject to change, which may adversely impact our reserves for withdrawal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00" w:after="283"/>
        <w:jc w:val="left"/>
        <w:rPr/>
      </w:pPr>
      <w:r>
        <w:rPr>
          <w:rFonts w:ascii="Times New Roman;sans-serif" w:hAnsi="Times New Roman;sans-serif"/>
          <w:b w:val="false"/>
          <w:color w:val="000000"/>
          <w:sz w:val="20"/>
        </w:rPr>
        <w:t xml:space="preserve">Our provision for income taxes was $388 million and $460 million for 2024 and 2023, respectively. Our effective tax rate, exclusive of non-controlling interests, for the years ended December 31, 2024 and 2023 was 16% and 21%, respectively. Net cash paid for income taxes was approximately </w:t>
      </w:r>
      <w:r>
        <w:rPr>
          <w:rFonts w:ascii="Times New Roman;sans-serif" w:hAnsi="Times New Roman;sans-serif"/>
          <w:b w:val="false"/>
          <w:color w:val="000000"/>
          <w:sz w:val="20"/>
          <w:shd w:fill="FFFFFF" w:val="clear"/>
        </w:rPr>
        <w:t>$313 million and</w:t>
      </w:r>
      <w:r>
        <w:rPr>
          <w:color w:val="000000"/>
        </w:rPr>
        <w:t xml:space="preserve"> </w:t>
      </w:r>
      <w:r>
        <w:rPr>
          <w:rFonts w:ascii="Times New Roman;sans-serif" w:hAnsi="Times New Roman;sans-serif"/>
          <w:b w:val="false"/>
          <w:color w:val="000000"/>
          <w:sz w:val="20"/>
          <w:shd w:fill="FFFFFF" w:val="clear"/>
        </w:rPr>
        <w:t>$343 million</w:t>
      </w:r>
      <w:r>
        <w:rPr>
          <w:color w:val="000000"/>
        </w:rPr>
        <w:t xml:space="preserve"> </w:t>
      </w:r>
      <w:r>
        <w:rPr>
          <w:rFonts w:ascii="Times New Roman;sans-serif" w:hAnsi="Times New Roman;sans-serif"/>
          <w:b w:val="false"/>
          <w:color w:val="000000"/>
          <w:sz w:val="20"/>
        </w:rPr>
        <w:t>for the years ended December 31, 2024 and 2023, respectively.</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During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we acquired non-controlling interests in limited liability companies established to own renewable energy assets that qualified for investment tax credits under Section 48 of the Internal Revenue Code. We account for these investments using the equity method of accounting and recognize our share of income or loss and other reductions in the value of our investment in loss from unconsolidated equity method investments within our consolidated statements of income. For further discussion regarding our equity method accounting, see Note 3, </w:t>
      </w:r>
      <w:r>
        <w:rPr>
          <w:rFonts w:ascii="Times New Roman;sans-serif" w:hAnsi="Times New Roman;sans-serif"/>
          <w:b w:val="false"/>
          <w:i/>
          <w:color w:val="000000"/>
          <w:sz w:val="20"/>
        </w:rPr>
        <w:t>Business Acquisitions, Investments and Restructuring Charges</w:t>
      </w:r>
      <w:r>
        <w:rPr>
          <w:rFonts w:ascii="Times New Roman;sans-serif" w:hAnsi="Times New Roman;sans-serif"/>
          <w:b w:val="false"/>
          <w:color w:val="000000"/>
          <w:sz w:val="20"/>
          <w:shd w:fill="FFFFFF" w:val="clear"/>
        </w:rPr>
        <w:t xml:space="preserve">. Our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tax provision reflects a benefit of $222 million due to the tax credits related to these investments. </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We also made qualified investments in renewable natural gas and commercial electric vehicles during 2024 which, due to tax credits, reduced our tax provision by approximately </w:t>
      </w:r>
      <w:r>
        <w:rPr>
          <w:rFonts w:ascii="Times New Roman;sans-serif" w:hAnsi="Times New Roman;sans-serif"/>
          <w:b w:val="false"/>
          <w:color w:val="000000"/>
          <w:sz w:val="20"/>
        </w:rPr>
        <w:t>$18 million</w:t>
      </w:r>
      <w:r>
        <w:rPr>
          <w:rFonts w:ascii="Times New Roman;sans-serif" w:hAnsi="Times New Roman;sans-serif"/>
          <w:b w:val="false"/>
          <w:color w:val="000000"/>
          <w:sz w:val="20"/>
          <w:shd w:fill="FFFFFF" w:val="clear"/>
        </w:rPr>
        <w:t>.</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Our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tax provision was reduced by </w:t>
      </w:r>
      <w:r>
        <w:rPr>
          <w:rFonts w:ascii="Times New Roman;sans-serif" w:hAnsi="Times New Roman;sans-serif"/>
          <w:b w:val="false"/>
          <w:color w:val="000000"/>
          <w:sz w:val="20"/>
        </w:rPr>
        <w:t>$87 million</w:t>
      </w:r>
      <w:r>
        <w:rPr>
          <w:color w:val="000000"/>
          <w:shd w:fill="FFFFFF" w:val="clear"/>
        </w:rPr>
        <w:t xml:space="preserve"> </w:t>
      </w:r>
      <w:r>
        <w:rPr>
          <w:rFonts w:ascii="Times New Roman;sans-serif" w:hAnsi="Times New Roman;sans-serif"/>
          <w:b w:val="false"/>
          <w:color w:val="000000"/>
          <w:sz w:val="20"/>
          <w:shd w:fill="FFFFFF" w:val="clear"/>
        </w:rPr>
        <w:t xml:space="preserve">related to the tax credits from our non-controlling interests in limited liability companies established to own renewable energy assets. </w:t>
      </w:r>
    </w:p>
    <w:p>
      <w:pPr>
        <w:pStyle w:val="TextBody"/>
        <w:bidi w:val="0"/>
        <w:spacing w:lineRule="auto" w:line="288" w:before="100" w:after="283"/>
        <w:jc w:val="left"/>
        <w:rPr/>
      </w:pPr>
      <w:r>
        <w:rPr>
          <w:rFonts w:ascii="Times New Roman;sans-serif" w:hAnsi="Times New Roman;sans-serif"/>
          <w:b w:val="false"/>
          <w:color w:val="000000"/>
          <w:sz w:val="20"/>
        </w:rPr>
        <w:t>In addition, during 2023 we resolved IRS examinations for our tax years 2014 - 2018 that, in the aggregate, reduced our tax provision by approximately $21 million</w:t>
      </w:r>
      <w:r>
        <w:rPr>
          <w:rFonts w:ascii="Times New Roman;sans-serif" w:hAnsi="Times New Roman;sans-serif"/>
          <w:b w:val="false"/>
          <w:color w:val="000000"/>
          <w:sz w:val="20"/>
          <w:shd w:fill="FFFFFF" w:val="clear"/>
        </w:rPr>
        <w:t>.</w:t>
      </w:r>
    </w:p>
    <w:p>
      <w:pPr>
        <w:pStyle w:val="TextBody"/>
        <w:bidi w:val="0"/>
        <w:spacing w:lineRule="auto" w:line="288" w:before="100" w:after="283"/>
        <w:jc w:val="left"/>
        <w:rPr/>
      </w:pPr>
      <w:r>
        <w:rPr>
          <w:rFonts w:ascii="Times New Roman;sans-serif" w:hAnsi="Times New Roman;sans-serif"/>
          <w:b w:val="false"/>
          <w:color w:val="000000"/>
          <w:sz w:val="20"/>
        </w:rPr>
        <w:t xml:space="preserve">We have deferred tax assets related to state net operating loss carryforwards with an estimated tax effect of $50 million available as of December 31, 2024. These state net operating loss carryforwards expire at various times between 2025 and 2044. We believe that it is more likely than not that the benefit from some of our state net operating loss carryforwards will not be realized due to limitations on these loss carryforwards in certain states. In recognition of this risk, as of December 31, 2024, we have provided a valuation allowance of </w:t>
      </w:r>
      <w:r>
        <w:rPr>
          <w:rFonts w:ascii="Times New Roman;sans-serif" w:hAnsi="Times New Roman;sans-serif"/>
          <w:b w:val="false"/>
          <w:color w:val="000000"/>
          <w:sz w:val="20"/>
          <w:shd w:fill="FFFFFF" w:val="clear"/>
        </w:rPr>
        <w:t>$45 million.</w:t>
      </w:r>
    </w:p>
    <w:p>
      <w:pPr>
        <w:pStyle w:val="TextBody"/>
        <w:bidi w:val="0"/>
        <w:spacing w:lineRule="auto" w:line="288" w:before="100" w:after="283"/>
        <w:jc w:val="left"/>
        <w:rPr/>
      </w:pPr>
      <w:r>
        <w:rPr>
          <w:rFonts w:ascii="Times New Roman;sans-serif" w:hAnsi="Times New Roman;sans-serif"/>
          <w:b w:val="false"/>
          <w:color w:val="000000"/>
          <w:sz w:val="20"/>
        </w:rPr>
        <w:t xml:space="preserve">For additional discussion and detail regarding our income taxes, see Note 11,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of the notes to our audited consolidated financial statements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primarily in geographic areas located across the United States and Canada. These groups are presented below as our reportable segments, which each provide integrated environmental services, including but not limited to collection, transfer, recycling and disposal.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entities and other include marketing, operations support, business development, legal, tax, treasury, information technology, risk management, human resources and other administrative functions. National Accounts revenue included in Corporate entities and other represents the portion of revenue generated from nationwide and regional contracts in markets outside our operating areas where the associated material handling is subcontracted to local operators. Consequently, substantially all of this revenue is offset with related subcontract costs, which are recorded in cost of operations. Revenue and overhead costs of Corporate entities and other are either specifically assigned or allocated on a rational and consistent basis among our reportable segments to calculate adjusted EBITDA by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pPr>
      <w:r>
        <w:rPr>
          <w:rFonts w:ascii="Times New Roman;sans-serif" w:hAnsi="Times New Roman;sans-serif"/>
          <w:b w:val="false"/>
          <w:color w:val="000000"/>
          <w:sz w:val="20"/>
        </w:rPr>
        <w:t xml:space="preserve">Adjusted EBITDA is the single financial measure our chief operating decision maker (CODM) uses to evaluate operating segment profitability and determine resource allocations. Cost of operations and selling, general and administrative are significant segment expenses used in the evaluation. Summarized financial information regarding our reportable segments for the years ended December 31, 2024 and 2023 (in millions of dollars) follows. For totals as well as further detail regarding our reportable segments and the adjustments used to calculate adjusted EBITDA for each segment, see Note 15,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of the notes to our audited consolidated financial statements in Part II, Item 8 of this Annual Report on Form 10-K.</w:t>
      </w:r>
    </w:p>
    <w:tbl>
      <w:tblPr>
        <w:tblW w:w="10205" w:type="dxa"/>
        <w:jc w:val="left"/>
        <w:tblInd w:w="0" w:type="dxa"/>
        <w:tblLayout w:type="fixed"/>
        <w:tblCellMar>
          <w:top w:w="28" w:type="dxa"/>
          <w:left w:w="28" w:type="dxa"/>
          <w:bottom w:w="28" w:type="dxa"/>
          <w:right w:w="28" w:type="dxa"/>
        </w:tblCellMar>
      </w:tblPr>
      <w:tblGrid>
        <w:gridCol w:w="515"/>
        <w:gridCol w:w="453"/>
        <w:gridCol w:w="385"/>
        <w:gridCol w:w="196"/>
        <w:gridCol w:w="646"/>
        <w:gridCol w:w="109"/>
        <w:gridCol w:w="109"/>
        <w:gridCol w:w="109"/>
        <w:gridCol w:w="109"/>
        <w:gridCol w:w="196"/>
        <w:gridCol w:w="646"/>
        <w:gridCol w:w="109"/>
        <w:gridCol w:w="109"/>
        <w:gridCol w:w="109"/>
        <w:gridCol w:w="109"/>
        <w:gridCol w:w="304"/>
        <w:gridCol w:w="1004"/>
        <w:gridCol w:w="169"/>
        <w:gridCol w:w="109"/>
        <w:gridCol w:w="109"/>
        <w:gridCol w:w="109"/>
        <w:gridCol w:w="342"/>
        <w:gridCol w:w="972"/>
        <w:gridCol w:w="191"/>
        <w:gridCol w:w="109"/>
        <w:gridCol w:w="109"/>
        <w:gridCol w:w="109"/>
        <w:gridCol w:w="302"/>
        <w:gridCol w:w="859"/>
        <w:gridCol w:w="168"/>
        <w:gridCol w:w="109"/>
        <w:gridCol w:w="109"/>
        <w:gridCol w:w="109"/>
        <w:gridCol w:w="196"/>
        <w:gridCol w:w="646"/>
        <w:gridCol w:w="162"/>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Recycling &amp; Waste Subtotal </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SG&amp;A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
        <w:gridCol w:w="453"/>
        <w:gridCol w:w="385"/>
        <w:gridCol w:w="196"/>
        <w:gridCol w:w="646"/>
        <w:gridCol w:w="109"/>
        <w:gridCol w:w="109"/>
        <w:gridCol w:w="109"/>
        <w:gridCol w:w="109"/>
        <w:gridCol w:w="196"/>
        <w:gridCol w:w="646"/>
        <w:gridCol w:w="109"/>
        <w:gridCol w:w="109"/>
        <w:gridCol w:w="109"/>
        <w:gridCol w:w="109"/>
        <w:gridCol w:w="305"/>
        <w:gridCol w:w="1007"/>
        <w:gridCol w:w="169"/>
        <w:gridCol w:w="109"/>
        <w:gridCol w:w="109"/>
        <w:gridCol w:w="109"/>
        <w:gridCol w:w="342"/>
        <w:gridCol w:w="972"/>
        <w:gridCol w:w="191"/>
        <w:gridCol w:w="109"/>
        <w:gridCol w:w="109"/>
        <w:gridCol w:w="109"/>
        <w:gridCol w:w="302"/>
        <w:gridCol w:w="858"/>
        <w:gridCol w:w="168"/>
        <w:gridCol w:w="109"/>
        <w:gridCol w:w="109"/>
        <w:gridCol w:w="109"/>
        <w:gridCol w:w="196"/>
        <w:gridCol w:w="646"/>
        <w:gridCol w:w="159"/>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Recycling &amp; Waste Subtotal(1)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SG&amp;A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3"/>
        </w:rPr>
      </w:pPr>
      <w:r>
        <w:rPr>
          <w:rFonts w:ascii="Times New Roman;sans-serif" w:hAnsi="Times New Roman;sans-serif"/>
          <w:b w:val="false"/>
          <w:color w:val="000000"/>
          <w:sz w:val="13"/>
        </w:rPr>
        <w:t>(1) The Recycling &amp; Waste Subtotal represents the combined results of our Group 1 and Group 2 reportable segments.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changes in the revenue and Adjusted EBITDA of our reportable segments for 2024 compared to 2023 are discussed below.</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Group 1</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in Group 1 increased from $2,135 million for the year ended December 31, 2023 to $2,353 million for the year ended December 31, 2024.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impacting adjusted EBITDA in Group 1 during the year ended December 31, 2024 compared to the year ended December 31, 2023 include: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Net revenue for the year ended December 31, 2024 increased 7.9% from 2023 due to an increase in average yield in all lines of business partially offset by volume declines in our large container collection and landfill lines of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Cost of operations increased due to an increase in labor and third party maintenance costs due to inflationary pressures. The unfavorable impact was partially offset by decreases in fuel costs due to a decrease in average fuel cost per gallon.</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Total assets increased primarily due to additions in property and equipment.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Group 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in Group 2 increased from $1,964 million for the year ended December 31, 2023 to $2,190 million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ended December 31, 2024.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impacting adjusted EBITDA in Group 2 during the year ended December 31, 2024 compared to the year ended December 31, 2023 include: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Net revenue for the year ended December 31, 2024 increased 4.9% from 2023 due to an increase in average yield in all lines of business and increased volume in our landfill line of business. These increases were partially offset by decreased volume in our collection and transfer lines of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Cost of operations increased due to an increase in labor and maintenance costs due to inflationary pressures. The unfavorable impact was partially offset by decreases in fuel costs due to a decrease in average fuel cost per gallon.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Group 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in Group 3 increased from $348 million for the year ended December 31, 2023 to $436 million for the year ended December 31, 2024.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impacting adjusted EBITDA in Group 3 during the year ended December 31, 2024 compared to the year ended December 31, 2023 include: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Net revenue for the year ended December 31, 2024 increased due to acquisition-related growth, favorable pricing, and an increase in event-based volumes.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Cost of operations increased primarily due to an increase in labor costs and the impact of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Landfill and Environmental Matters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landfill costs include daily operating expenses, costs of capital for cell development, costs for final capping, closure and post-closure and the legal and administrative costs of ongoing environmental compliance. Daily operating expenses include leachate treatment, transportation and disposal costs, methane gas and groundwater monitoring and system maintenance costs, interim cap maintenance costs and costs associated with applying daily cover materials. We expense all indirect landfill development costs as they are incurred. We use life cycle accounting and the units-of-consumption method to recognize certain direct landfill costs related to landfill development. In life cycle accounting, certain direct costs are capitalized and charged to depletion expense based on the consumption of cubic yards of available airspace. These costs include all costs to acquire and construct a site, including excavation, natural and synthetic liners, construction of leachate collection systems, installation of methane gas collection and monitoring systems, installation of groundwater monitoring wells and other costs associated with acquiring and developing the site. Obligations associated with final capping, closure and post-closure are capitalized and amortized on a units-of-consumption basis as airspace is consumed.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and airspace estimates are developed at least annually by engineers. Our operating and accounting personnel use these estimates to adjust the rates we use to expense capitalized costs. Changes in these estimates primarily relate to changes in cost estimates, available airspace, inflation and applicable regulations. Changes in available airspace include changes in engineering estimates, changes in design and changes due to the addition of airspace lying in expansion areas that we believe have a probable likelihood of being permitted. Changes in engineering estimates typically include modifications to the available disposal capacity of a landfill based on a refinement of the capacity calculations resulting from updated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Available Airspace</w:t>
      </w:r>
    </w:p>
    <w:p>
      <w:pPr>
        <w:pStyle w:val="TextBody"/>
        <w:bidi w:val="0"/>
        <w:spacing w:lineRule="auto" w:line="288" w:before="100" w:after="283"/>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we owned or operated 208 active landfills with total available disposal capacity estimated to be 5 billion in-place cubic yards. For these landfills, the following table reflects changes in capacity and remaining capacity, as measured in cubic yards of airspace as of </w:t>
      </w:r>
      <w:r>
        <w:rPr>
          <w:rFonts w:ascii="Times New Roman;sans-serif" w:hAnsi="Times New Roman;sans-serif"/>
          <w:b w:val="false"/>
          <w:color w:val="000000"/>
          <w:sz w:val="20"/>
          <w:shd w:fill="FFFFFF" w:val="clear"/>
        </w:rPr>
        <w:t>December 31, 2024.</w:t>
      </w:r>
    </w:p>
    <w:tbl>
      <w:tblPr>
        <w:tblW w:w="10205" w:type="dxa"/>
        <w:jc w:val="left"/>
        <w:tblInd w:w="0" w:type="dxa"/>
        <w:tblLayout w:type="fixed"/>
        <w:tblCellMar>
          <w:top w:w="28" w:type="dxa"/>
          <w:left w:w="28" w:type="dxa"/>
          <w:bottom w:w="28" w:type="dxa"/>
          <w:right w:w="28" w:type="dxa"/>
        </w:tblCellMar>
      </w:tblPr>
      <w:tblGrid>
        <w:gridCol w:w="661"/>
        <w:gridCol w:w="581"/>
        <w:gridCol w:w="582"/>
        <w:gridCol w:w="334"/>
        <w:gridCol w:w="319"/>
        <w:gridCol w:w="321"/>
        <w:gridCol w:w="109"/>
        <w:gridCol w:w="109"/>
        <w:gridCol w:w="109"/>
        <w:gridCol w:w="305"/>
        <w:gridCol w:w="305"/>
        <w:gridCol w:w="306"/>
        <w:gridCol w:w="109"/>
        <w:gridCol w:w="109"/>
        <w:gridCol w:w="109"/>
        <w:gridCol w:w="305"/>
        <w:gridCol w:w="305"/>
        <w:gridCol w:w="306"/>
        <w:gridCol w:w="109"/>
        <w:gridCol w:w="109"/>
        <w:gridCol w:w="109"/>
        <w:gridCol w:w="250"/>
        <w:gridCol w:w="250"/>
        <w:gridCol w:w="251"/>
        <w:gridCol w:w="109"/>
        <w:gridCol w:w="109"/>
        <w:gridCol w:w="109"/>
        <w:gridCol w:w="280"/>
        <w:gridCol w:w="280"/>
        <w:gridCol w:w="281"/>
        <w:gridCol w:w="109"/>
        <w:gridCol w:w="109"/>
        <w:gridCol w:w="109"/>
        <w:gridCol w:w="320"/>
        <w:gridCol w:w="320"/>
        <w:gridCol w:w="321"/>
        <w:gridCol w:w="109"/>
        <w:gridCol w:w="109"/>
        <w:gridCol w:w="109"/>
        <w:gridCol w:w="344"/>
        <w:gridCol w:w="293"/>
        <w:gridCol w:w="423"/>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w:t>
              <w:br/>
              <w:t>Expansions</w:t>
              <w:br/>
              <w:t>Undertaken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Landfills</w:t>
              <w:br/>
              <w:t>Acquired,</w:t>
              <w:br/>
              <w:t>Net of</w:t>
              <w:b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Permits Granted / </w:t>
              <w:br/>
              <w:t>New Sites,</w:t>
              <w:br/>
              <w:t>Net of 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Airspace</w:t>
              <w:br/>
              <w:t>Consumed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Changes in</w:t>
              <w:br/>
              <w:t>Engineering</w:t>
              <w:br/>
              <w:t>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2024</w:t>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Cubic yards (in millions):</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Permitted airspace</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Probable expansion airspace</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cubic yards (in millions)</w:t>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5,027 </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sites:</w:t>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Permitted airspace</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Probable expansion airspace</w:t>
            </w:r>
          </w:p>
        </w:tc>
        <w:tc>
          <w:tcPr>
            <w:tcW w:w="65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3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4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20"/>
        </w:rPr>
        <w:t>The following table reflects changes in capacity and remaining capacity for these landfills, as measured in cubic yards of airspace, as of December 31, 2023</w:t>
      </w:r>
      <w:r>
        <w:rPr>
          <w:rFonts w:ascii="Times New Roman;sans-serif" w:hAnsi="Times New Roman;sans-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661"/>
        <w:gridCol w:w="581"/>
        <w:gridCol w:w="582"/>
        <w:gridCol w:w="334"/>
        <w:gridCol w:w="319"/>
        <w:gridCol w:w="321"/>
        <w:gridCol w:w="109"/>
        <w:gridCol w:w="109"/>
        <w:gridCol w:w="109"/>
        <w:gridCol w:w="305"/>
        <w:gridCol w:w="305"/>
        <w:gridCol w:w="306"/>
        <w:gridCol w:w="109"/>
        <w:gridCol w:w="109"/>
        <w:gridCol w:w="109"/>
        <w:gridCol w:w="305"/>
        <w:gridCol w:w="305"/>
        <w:gridCol w:w="306"/>
        <w:gridCol w:w="109"/>
        <w:gridCol w:w="109"/>
        <w:gridCol w:w="109"/>
        <w:gridCol w:w="250"/>
        <w:gridCol w:w="250"/>
        <w:gridCol w:w="251"/>
        <w:gridCol w:w="109"/>
        <w:gridCol w:w="109"/>
        <w:gridCol w:w="109"/>
        <w:gridCol w:w="280"/>
        <w:gridCol w:w="280"/>
        <w:gridCol w:w="281"/>
        <w:gridCol w:w="109"/>
        <w:gridCol w:w="109"/>
        <w:gridCol w:w="109"/>
        <w:gridCol w:w="320"/>
        <w:gridCol w:w="320"/>
        <w:gridCol w:w="321"/>
        <w:gridCol w:w="109"/>
        <w:gridCol w:w="109"/>
        <w:gridCol w:w="109"/>
        <w:gridCol w:w="344"/>
        <w:gridCol w:w="293"/>
        <w:gridCol w:w="423"/>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w:t>
              <w:br/>
              <w:t>Expansions</w:t>
              <w:br/>
              <w:t>Undertaken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Landfills</w:t>
              <w:br/>
              <w:t>Acquired,</w:t>
              <w:br/>
              <w:t>Net of</w:t>
              <w:b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Permits Granted / </w:t>
              <w:br/>
              <w:t>New Sites,</w:t>
              <w:br/>
              <w:t>Net of 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Airspace</w:t>
              <w:br/>
              <w:t>Consumed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Changes in</w:t>
              <w:br/>
              <w:t>Engineering</w:t>
              <w:br/>
              <w:t>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Cubic yards (in millions):</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Permitted airspace</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Probable expansion airspace</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cubic yards (in millions)</w:t>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5,015 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5,104 </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sites:</w:t>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Permitted airspace</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Probable expansion airspace</w:t>
            </w:r>
          </w:p>
        </w:tc>
        <w:tc>
          <w:tcPr>
            <w:tcW w:w="65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4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20"/>
        </w:rPr>
        <w:t xml:space="preserve">Total available disposal capacity represents the sum of estimated permitted airspace plus an estimate of probable expansion airspace. Engineers develop these estimates at least annually using information provided by annual aerial surveys. Before airspace included in an expansion area is determined to be probable expansion airspace and, therefore, included in our calculation of total available disposal capacity, it must meet all of our expansion criteria.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Landfill and Environmental Costs</w:t>
      </w:r>
      <w:r>
        <w:rPr>
          <w:rFonts w:ascii="Times New Roman;sans-serif" w:hAnsi="Times New Roman;sans-serif"/>
          <w:b w:val="false"/>
          <w:color w:val="000000"/>
          <w:sz w:val="20"/>
        </w:rPr>
        <w:t xml:space="preserve">, of the notes to our audited consolidated financial statements in Item 8 of this Annual Report on Form 10-K for further information. Also see our </w:t>
      </w:r>
      <w:r>
        <w:rPr>
          <w:rFonts w:ascii="Times New Roman;sans-serif" w:hAnsi="Times New Roman;sans-serif"/>
          <w:b w:val="false"/>
          <w:i/>
          <w:color w:val="000000"/>
          <w:sz w:val="20"/>
        </w:rPr>
        <w:t>Critical Accounting Judgments and Estimates</w:t>
      </w:r>
      <w:r>
        <w:rPr>
          <w:color w:val="000000"/>
        </w:rPr>
        <w:t xml:space="preserve"> </w:t>
      </w:r>
      <w:r>
        <w:rPr>
          <w:rFonts w:ascii="Times New Roman;sans-serif" w:hAnsi="Times New Roman;sans-serif"/>
          <w:b w:val="false"/>
          <w:color w:val="000000"/>
          <w:sz w:val="20"/>
        </w:rPr>
        <w:t>section of this Management's Discussion and Analysis of Financial Condition and Results of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14 of our landfills met all of our criteria for including their probable expansion airspace in their total available disposal capacity. At projected annual volumes, these 14 landfills have an estimated remaining average site life of 49 years, including probable expansion airspace. The average estimated remaining life of all of our landfills is 56 years. We have other expansion opportunities that are not included in our total available airspace because they do not meet all of our criteria for treatment as probable expansion airspace.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estimated operating lives of our active landfill sites based on available and probable disposal capacity using current annual volumes as of December 31, 2024:</w:t>
      </w:r>
    </w:p>
    <w:tbl>
      <w:tblPr>
        <w:tblW w:w="5751" w:type="dxa"/>
        <w:jc w:val="left"/>
        <w:tblInd w:w="0" w:type="dxa"/>
        <w:tblLayout w:type="fixed"/>
        <w:tblCellMar>
          <w:top w:w="28" w:type="dxa"/>
          <w:left w:w="28" w:type="dxa"/>
          <w:bottom w:w="28" w:type="dxa"/>
          <w:right w:w="28" w:type="dxa"/>
        </w:tblCellMar>
      </w:tblPr>
      <w:tblGrid>
        <w:gridCol w:w="456"/>
        <w:gridCol w:w="401"/>
        <w:gridCol w:w="403"/>
        <w:gridCol w:w="325"/>
        <w:gridCol w:w="325"/>
        <w:gridCol w:w="326"/>
        <w:gridCol w:w="109"/>
        <w:gridCol w:w="109"/>
        <w:gridCol w:w="109"/>
        <w:gridCol w:w="325"/>
        <w:gridCol w:w="325"/>
        <w:gridCol w:w="326"/>
        <w:gridCol w:w="109"/>
        <w:gridCol w:w="109"/>
        <w:gridCol w:w="109"/>
        <w:gridCol w:w="232"/>
        <w:gridCol w:w="234"/>
        <w:gridCol w:w="181"/>
        <w:gridCol w:w="109"/>
        <w:gridCol w:w="109"/>
        <w:gridCol w:w="109"/>
        <w:gridCol w:w="232"/>
        <w:gridCol w:w="234"/>
        <w:gridCol w:w="445"/>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br/>
              <w:t>of Sites</w:t>
              <w:br/>
              <w:t>without</w:t>
              <w:br/>
              <w:t>Probable</w:t>
              <w:br/>
              <w:t>Expansion</w:t>
              <w:br/>
              <w:t>Airspace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br/>
              <w:t>of Sites</w:t>
              <w:br/>
              <w:t>with</w:t>
              <w:br/>
              <w:t>Probable</w:t>
              <w:br/>
              <w:t>Expansion</w:t>
              <w:br/>
              <w:t>Airspace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br/>
              <w:t>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br/>
              <w:t>of</w:t>
              <w:br/>
              <w:t>Total</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 to 5 years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 to 10 years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 to 20 years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 to 40 years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 years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Final Capping, Closure and Post-Closure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accrued final capping, closure and post-closure costs were $2,144 million, of which $96 million were current and $2,048 million were long-term as reflected in our consolidated balance sheets in accrued landfill and environmental costs included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Remediation and Other Charges for Landfill Matters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reasonably possible that we will need to adjust our accrued landfill and environmental liabilities to reflect the effects of new or additional information, to the extent that such information impacts the costs, timing or duration of the required actions. Future changes in our estimates of the costs, timing or duration of the required actions could have a material adverse effect on our consolidated financial position, results of operations and cash flows.</w:t>
      </w:r>
    </w:p>
    <w:p>
      <w:pPr>
        <w:pStyle w:val="TextBody"/>
        <w:bidi w:val="0"/>
        <w:spacing w:lineRule="auto" w:line="288" w:before="100" w:after="283"/>
        <w:jc w:val="left"/>
        <w:rPr/>
      </w:pPr>
      <w:r>
        <w:rPr>
          <w:rFonts w:ascii="Times New Roman;sans-serif" w:hAnsi="Times New Roman;sans-serif"/>
          <w:b w:val="false"/>
          <w:color w:val="000000"/>
          <w:sz w:val="20"/>
        </w:rPr>
        <w:t xml:space="preserve">For a description of our significant remediation matters, see Note 8, </w:t>
      </w:r>
      <w:r>
        <w:rPr>
          <w:rFonts w:ascii="Times New Roman;sans-serif" w:hAnsi="Times New Roman;sans-serif"/>
          <w:b w:val="false"/>
          <w:i/>
          <w:color w:val="000000"/>
          <w:sz w:val="20"/>
        </w:rPr>
        <w:t>Landfill and Environmental Costs,</w:t>
      </w:r>
      <w:r>
        <w:rPr>
          <w:color w:val="000000"/>
        </w:rPr>
        <w:t xml:space="preserve"> </w:t>
      </w:r>
      <w:r>
        <w:rPr>
          <w:rFonts w:ascii="Times New Roman;sans-serif" w:hAnsi="Times New Roman;sans-serif"/>
          <w:b w:val="false"/>
          <w:color w:val="000000"/>
          <w:sz w:val="20"/>
        </w:rPr>
        <w:t>of the notes to our audited consolidated financial statements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Investment in Landfills</w:t>
      </w:r>
    </w:p>
    <w:p>
      <w:pPr>
        <w:pStyle w:val="TextBody"/>
        <w:bidi w:val="0"/>
        <w:spacing w:lineRule="auto" w:line="288" w:before="100" w:after="283"/>
        <w:jc w:val="left"/>
        <w:rPr/>
      </w:pPr>
      <w:r>
        <w:rPr>
          <w:rFonts w:ascii="Times New Roman;sans-serif" w:hAnsi="Times New Roman;sans-serif"/>
          <w:b w:val="false"/>
          <w:color w:val="000000"/>
          <w:sz w:val="20"/>
        </w:rPr>
        <w:t xml:space="preserve">As of December 31, 2024, we expect to spend an estimated additional $12 billion on existing landfills, primarily related to cell construction and environmental structures, over their remaining lives. Our total expected investment, excluding non-depletable land, estimated to be </w:t>
      </w:r>
      <w:r>
        <w:rPr>
          <w:rFonts w:ascii="Times New Roman;sans-serif" w:hAnsi="Times New Roman;sans-serif"/>
          <w:b w:val="false"/>
          <w:color w:val="000000"/>
          <w:sz w:val="20"/>
          <w:shd w:fill="FFFFFF" w:val="clear"/>
        </w:rPr>
        <w:t>$17 billion</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shd w:fill="FFFFFF" w:val="clear"/>
        </w:rPr>
        <w:t xml:space="preserve">$3.36 </w:t>
      </w:r>
      <w:r>
        <w:rPr>
          <w:rFonts w:ascii="Times New Roman;sans-serif" w:hAnsi="Times New Roman;sans-serif"/>
          <w:b w:val="false"/>
          <w:color w:val="000000"/>
          <w:sz w:val="20"/>
        </w:rPr>
        <w:t>per cubic yard, is used in determining our depletion and amortization expense based on airspace consumed using the units-of-consumption method.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future expected investment as of December 31, 2024 (in millions):</w:t>
      </w:r>
    </w:p>
    <w:tbl>
      <w:tblPr>
        <w:tblW w:w="8884" w:type="dxa"/>
        <w:jc w:val="left"/>
        <w:tblInd w:w="0" w:type="dxa"/>
        <w:tblLayout w:type="fixed"/>
        <w:tblCellMar>
          <w:top w:w="28" w:type="dxa"/>
          <w:left w:w="28" w:type="dxa"/>
          <w:bottom w:w="28" w:type="dxa"/>
          <w:right w:w="28" w:type="dxa"/>
        </w:tblCellMar>
      </w:tblPr>
      <w:tblGrid>
        <w:gridCol w:w="1391"/>
        <w:gridCol w:w="1221"/>
        <w:gridCol w:w="1227"/>
        <w:gridCol w:w="556"/>
        <w:gridCol w:w="1579"/>
        <w:gridCol w:w="309"/>
        <w:gridCol w:w="109"/>
        <w:gridCol w:w="109"/>
        <w:gridCol w:w="109"/>
        <w:gridCol w:w="196"/>
        <w:gridCol w:w="646"/>
        <w:gridCol w:w="109"/>
        <w:gridCol w:w="109"/>
        <w:gridCol w:w="109"/>
        <w:gridCol w:w="109"/>
        <w:gridCol w:w="196"/>
        <w:gridCol w:w="64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Expected</w:t>
              <w:br/>
              <w:t>Future</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br/>
              <w:t>Expected</w:t>
              <w:br/>
              <w:t>Investment</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Non-depletable landfill land</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Landfill development costs</w:t>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Construction-in-progress – landfill</w:t>
            </w:r>
          </w:p>
        </w:tc>
        <w:tc>
          <w:tcPr>
            <w:tcW w:w="2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depletion and amortization</w:t>
            </w:r>
          </w:p>
        </w:tc>
        <w:tc>
          <w:tcPr>
            <w:tcW w:w="2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 landfill land and development costs</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5,119 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net investment in our landfills, excluding non-depletable land, and our depletion, amortization and accretion expense for the years ended December 31, 2024 and 2023:</w:t>
      </w:r>
    </w:p>
    <w:tbl>
      <w:tblPr>
        <w:tblW w:w="8018" w:type="dxa"/>
        <w:jc w:val="left"/>
        <w:tblInd w:w="0" w:type="dxa"/>
        <w:tblLayout w:type="fixed"/>
        <w:tblCellMar>
          <w:top w:w="28" w:type="dxa"/>
          <w:left w:w="28" w:type="dxa"/>
          <w:bottom w:w="28" w:type="dxa"/>
          <w:right w:w="28" w:type="dxa"/>
        </w:tblCellMar>
      </w:tblPr>
      <w:tblGrid>
        <w:gridCol w:w="2144"/>
        <w:gridCol w:w="1881"/>
        <w:gridCol w:w="1899"/>
        <w:gridCol w:w="196"/>
        <w:gridCol w:w="556"/>
        <w:gridCol w:w="109"/>
        <w:gridCol w:w="109"/>
        <w:gridCol w:w="109"/>
        <w:gridCol w:w="109"/>
        <w:gridCol w:w="196"/>
        <w:gridCol w:w="556"/>
        <w:gridCol w:w="154"/>
      </w:tblGrid>
      <w:tr>
        <w:trPr/>
        <w:tc>
          <w:tcPr>
            <w:tcW w:w="214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landfills owned or operated</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excluding non-depletable land (in millions)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estimated available disposal capacity (in millions of cubic yards)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per cubic yard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Landfill depletion and amortization expense (in millions)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expense (in millions)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Airspace consumed (in millions of cubic yards)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amortization and accretion expense per cubic yard of airspace consumed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and 2023, our average compaction rate was approximately 2,000 pounds per cubic yard based primarily on a three-year historical moving average.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Property and Equipment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the activity in our property and equipment accounts for the year ended December 31, 2024 (in millions of dollars):</w:t>
      </w:r>
    </w:p>
    <w:tbl>
      <w:tblPr>
        <w:tblW w:w="11748" w:type="dxa"/>
        <w:jc w:val="left"/>
        <w:tblInd w:w="0" w:type="dxa"/>
        <w:tblLayout w:type="fixed"/>
        <w:tblCellMar>
          <w:top w:w="28" w:type="dxa"/>
          <w:left w:w="28" w:type="dxa"/>
          <w:bottom w:w="28" w:type="dxa"/>
          <w:right w:w="28" w:type="dxa"/>
        </w:tblCellMar>
      </w:tblPr>
      <w:tblGrid>
        <w:gridCol w:w="764"/>
        <w:gridCol w:w="671"/>
        <w:gridCol w:w="411"/>
        <w:gridCol w:w="196"/>
        <w:gridCol w:w="646"/>
        <w:gridCol w:w="109"/>
        <w:gridCol w:w="109"/>
        <w:gridCol w:w="109"/>
        <w:gridCol w:w="109"/>
        <w:gridCol w:w="196"/>
        <w:gridCol w:w="556"/>
        <w:gridCol w:w="109"/>
        <w:gridCol w:w="109"/>
        <w:gridCol w:w="109"/>
        <w:gridCol w:w="109"/>
        <w:gridCol w:w="242"/>
        <w:gridCol w:w="538"/>
        <w:gridCol w:w="136"/>
        <w:gridCol w:w="109"/>
        <w:gridCol w:w="109"/>
        <w:gridCol w:w="109"/>
        <w:gridCol w:w="310"/>
        <w:gridCol w:w="523"/>
        <w:gridCol w:w="173"/>
        <w:gridCol w:w="109"/>
        <w:gridCol w:w="109"/>
        <w:gridCol w:w="109"/>
        <w:gridCol w:w="248"/>
        <w:gridCol w:w="514"/>
        <w:gridCol w:w="139"/>
        <w:gridCol w:w="109"/>
        <w:gridCol w:w="109"/>
        <w:gridCol w:w="109"/>
        <w:gridCol w:w="264"/>
        <w:gridCol w:w="548"/>
        <w:gridCol w:w="149"/>
        <w:gridCol w:w="109"/>
        <w:gridCol w:w="109"/>
        <w:gridCol w:w="109"/>
        <w:gridCol w:w="307"/>
        <w:gridCol w:w="542"/>
        <w:gridCol w:w="172"/>
        <w:gridCol w:w="109"/>
        <w:gridCol w:w="109"/>
        <w:gridCol w:w="109"/>
        <w:gridCol w:w="196"/>
        <w:gridCol w:w="646"/>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90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Property and Equipment</w:t>
            </w:r>
          </w:p>
        </w:tc>
      </w:tr>
      <w:tr>
        <w:trPr/>
        <w:tc>
          <w:tcPr>
            <w:tcW w:w="18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br/>
              <w:t>Additions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Retirements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Acquisitions,</w:t>
              <w:br/>
              <w:t>Net of</w:t>
              <w:b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Non-Cash</w:t>
              <w:br/>
              <w:t>Additions</w:t>
              <w:br/>
              <w:t>for 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Adjustments</w:t>
              <w:br/>
              <w:t>for</w:t>
              <w:br/>
              <w:t>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Impairments,</w:t>
              <w:br/>
              <w:t>Transfers</w:t>
              <w:br/>
              <w:t>and</w:t>
              <w:br/>
              <w:t>Other</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2024</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Landfill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Vehicles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Buildings and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Construction-in-progress - landfill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Construction-in-progress -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88"/>
        <w:gridCol w:w="357"/>
        <w:gridCol w:w="358"/>
        <w:gridCol w:w="221"/>
        <w:gridCol w:w="759"/>
        <w:gridCol w:w="122"/>
        <w:gridCol w:w="109"/>
        <w:gridCol w:w="109"/>
        <w:gridCol w:w="109"/>
        <w:gridCol w:w="196"/>
        <w:gridCol w:w="576"/>
        <w:gridCol w:w="109"/>
        <w:gridCol w:w="109"/>
        <w:gridCol w:w="109"/>
        <w:gridCol w:w="109"/>
        <w:gridCol w:w="247"/>
        <w:gridCol w:w="531"/>
        <w:gridCol w:w="138"/>
        <w:gridCol w:w="109"/>
        <w:gridCol w:w="109"/>
        <w:gridCol w:w="109"/>
        <w:gridCol w:w="277"/>
        <w:gridCol w:w="574"/>
        <w:gridCol w:w="155"/>
        <w:gridCol w:w="109"/>
        <w:gridCol w:w="109"/>
        <w:gridCol w:w="109"/>
        <w:gridCol w:w="289"/>
        <w:gridCol w:w="510"/>
        <w:gridCol w:w="162"/>
        <w:gridCol w:w="109"/>
        <w:gridCol w:w="109"/>
        <w:gridCol w:w="109"/>
        <w:gridCol w:w="356"/>
        <w:gridCol w:w="465"/>
        <w:gridCol w:w="200"/>
        <w:gridCol w:w="109"/>
        <w:gridCol w:w="109"/>
        <w:gridCol w:w="109"/>
        <w:gridCol w:w="220"/>
        <w:gridCol w:w="755"/>
        <w:gridCol w:w="178"/>
      </w:tblGrid>
      <w:tr>
        <w:trPr/>
        <w:tc>
          <w:tcPr>
            <w:tcW w:w="48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Depreciation, Amortization and Depletion</w:t>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Additions</w:t>
              <w:br/>
              <w:t>Charged</w:t>
              <w:br/>
              <w:t>to</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Retirements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Acquisitions,</w:t>
              <w:br/>
              <w:t>Net of</w:t>
              <w:b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Adjustments</w:t>
              <w:br/>
              <w:t>for</w:t>
              <w:br/>
              <w:t>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Impairments,</w:t>
              <w:br/>
              <w:t>Transfers</w:t>
              <w:br/>
              <w:t>and</w:t>
              <w:br/>
              <w:t>Other</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2024</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Landfill development costs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Vehicles and equipment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Buildings and improvements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(13,667)</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the activity in our property and equipment accounts for the year ended December 31, 2023 (in millions of dollars):</w:t>
      </w:r>
    </w:p>
    <w:tbl>
      <w:tblPr>
        <w:tblW w:w="11748" w:type="dxa"/>
        <w:jc w:val="center"/>
        <w:tblInd w:w="0" w:type="dxa"/>
        <w:tblLayout w:type="fixed"/>
        <w:tblCellMar>
          <w:top w:w="28" w:type="dxa"/>
          <w:left w:w="28" w:type="dxa"/>
          <w:bottom w:w="28" w:type="dxa"/>
          <w:right w:w="28" w:type="dxa"/>
        </w:tblCellMar>
      </w:tblPr>
      <w:tblGrid>
        <w:gridCol w:w="764"/>
        <w:gridCol w:w="671"/>
        <w:gridCol w:w="411"/>
        <w:gridCol w:w="196"/>
        <w:gridCol w:w="646"/>
        <w:gridCol w:w="109"/>
        <w:gridCol w:w="109"/>
        <w:gridCol w:w="109"/>
        <w:gridCol w:w="109"/>
        <w:gridCol w:w="196"/>
        <w:gridCol w:w="556"/>
        <w:gridCol w:w="109"/>
        <w:gridCol w:w="109"/>
        <w:gridCol w:w="109"/>
        <w:gridCol w:w="109"/>
        <w:gridCol w:w="242"/>
        <w:gridCol w:w="538"/>
        <w:gridCol w:w="136"/>
        <w:gridCol w:w="109"/>
        <w:gridCol w:w="109"/>
        <w:gridCol w:w="109"/>
        <w:gridCol w:w="271"/>
        <w:gridCol w:w="583"/>
        <w:gridCol w:w="152"/>
        <w:gridCol w:w="109"/>
        <w:gridCol w:w="109"/>
        <w:gridCol w:w="109"/>
        <w:gridCol w:w="248"/>
        <w:gridCol w:w="514"/>
        <w:gridCol w:w="139"/>
        <w:gridCol w:w="109"/>
        <w:gridCol w:w="109"/>
        <w:gridCol w:w="109"/>
        <w:gridCol w:w="264"/>
        <w:gridCol w:w="548"/>
        <w:gridCol w:w="149"/>
        <w:gridCol w:w="109"/>
        <w:gridCol w:w="109"/>
        <w:gridCol w:w="109"/>
        <w:gridCol w:w="307"/>
        <w:gridCol w:w="542"/>
        <w:gridCol w:w="172"/>
        <w:gridCol w:w="109"/>
        <w:gridCol w:w="109"/>
        <w:gridCol w:w="109"/>
        <w:gridCol w:w="196"/>
        <w:gridCol w:w="646"/>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90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Property and Equipment</w:t>
            </w:r>
          </w:p>
        </w:tc>
      </w:tr>
      <w:tr>
        <w:trPr/>
        <w:tc>
          <w:tcPr>
            <w:tcW w:w="18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br/>
              <w:t>Additions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Retirements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Acquisitions,</w:t>
              <w:br/>
              <w:t>Net of</w:t>
              <w:b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Non-Cash</w:t>
              <w:br/>
              <w:t>Additions</w:t>
              <w:br/>
              <w:t>for 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Adjustments</w:t>
              <w:br/>
              <w:t>for</w:t>
              <w:br/>
              <w:t>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Impairments,</w:t>
              <w:br/>
              <w:t>Transfers</w:t>
              <w:br/>
              <w:t>and</w:t>
              <w:br/>
              <w:t>Other</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Landfill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Vehicles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Buildings and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Construction-in-progress - landfill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Construction-in-progress -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88"/>
        <w:gridCol w:w="357"/>
        <w:gridCol w:w="358"/>
        <w:gridCol w:w="221"/>
        <w:gridCol w:w="759"/>
        <w:gridCol w:w="122"/>
        <w:gridCol w:w="109"/>
        <w:gridCol w:w="109"/>
        <w:gridCol w:w="109"/>
        <w:gridCol w:w="196"/>
        <w:gridCol w:w="576"/>
        <w:gridCol w:w="109"/>
        <w:gridCol w:w="109"/>
        <w:gridCol w:w="109"/>
        <w:gridCol w:w="109"/>
        <w:gridCol w:w="247"/>
        <w:gridCol w:w="531"/>
        <w:gridCol w:w="138"/>
        <w:gridCol w:w="109"/>
        <w:gridCol w:w="109"/>
        <w:gridCol w:w="109"/>
        <w:gridCol w:w="277"/>
        <w:gridCol w:w="574"/>
        <w:gridCol w:w="155"/>
        <w:gridCol w:w="109"/>
        <w:gridCol w:w="109"/>
        <w:gridCol w:w="109"/>
        <w:gridCol w:w="335"/>
        <w:gridCol w:w="438"/>
        <w:gridCol w:w="188"/>
        <w:gridCol w:w="109"/>
        <w:gridCol w:w="109"/>
        <w:gridCol w:w="109"/>
        <w:gridCol w:w="314"/>
        <w:gridCol w:w="531"/>
        <w:gridCol w:w="176"/>
        <w:gridCol w:w="109"/>
        <w:gridCol w:w="109"/>
        <w:gridCol w:w="109"/>
        <w:gridCol w:w="220"/>
        <w:gridCol w:w="755"/>
        <w:gridCol w:w="178"/>
      </w:tblGrid>
      <w:tr>
        <w:trPr/>
        <w:tc>
          <w:tcPr>
            <w:tcW w:w="48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Depreciation, Amortization and Depletion</w:t>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Additions</w:t>
              <w:br/>
              <w:t>Charged</w:t>
              <w:br/>
              <w:t>to</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Retirements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Acquisitions,</w:t>
              <w:br/>
              <w:t>Net of</w:t>
              <w:b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Adjustments</w:t>
              <w:br/>
              <w:t>for</w:t>
              <w:br/>
              <w:t>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Impairments,</w:t>
              <w:br/>
              <w:t>Transfers</w:t>
              <w:br/>
              <w:t>and</w:t>
              <w:br/>
              <w:t>Other</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Landfill development costs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(5,516)</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Vehicles and equipment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Buildings and improvements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(11,497)</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(12,496)</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cash and cash equivalents and restricted cash and marketable securities balances as of December 31:</w:t>
      </w:r>
    </w:p>
    <w:tbl>
      <w:tblPr>
        <w:tblW w:w="8015" w:type="dxa"/>
        <w:jc w:val="left"/>
        <w:tblInd w:w="0" w:type="dxa"/>
        <w:tblLayout w:type="fixed"/>
        <w:tblCellMar>
          <w:top w:w="28" w:type="dxa"/>
          <w:left w:w="28" w:type="dxa"/>
          <w:bottom w:w="28" w:type="dxa"/>
          <w:right w:w="28" w:type="dxa"/>
        </w:tblCellMar>
      </w:tblPr>
      <w:tblGrid>
        <w:gridCol w:w="2080"/>
        <w:gridCol w:w="1827"/>
        <w:gridCol w:w="1837"/>
        <w:gridCol w:w="109"/>
        <w:gridCol w:w="109"/>
        <w:gridCol w:w="109"/>
        <w:gridCol w:w="211"/>
        <w:gridCol w:w="466"/>
        <w:gridCol w:w="109"/>
        <w:gridCol w:w="109"/>
        <w:gridCol w:w="109"/>
        <w:gridCol w:w="109"/>
        <w:gridCol w:w="211"/>
        <w:gridCol w:w="466"/>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restricted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and restricted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restricted cash and marketable securities include amounts pledged to regulatory agencies and governmental entities as financial guarantees of our performance under certain collection, landfill and transfer station contracts and permits, and relating to our final capping, closure and post-closure obligations at our landfills as well as restricted cash and marketable securities related to our insurance obligations.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restricted cash and marketable securities as of December 31:</w:t>
      </w:r>
    </w:p>
    <w:tbl>
      <w:tblPr>
        <w:tblW w:w="5799" w:type="dxa"/>
        <w:jc w:val="left"/>
        <w:tblInd w:w="0" w:type="dxa"/>
        <w:tblLayout w:type="fixed"/>
        <w:tblCellMar>
          <w:top w:w="28" w:type="dxa"/>
          <w:left w:w="28" w:type="dxa"/>
          <w:bottom w:w="28" w:type="dxa"/>
          <w:right w:w="28" w:type="dxa"/>
        </w:tblCellMar>
      </w:tblPr>
      <w:tblGrid>
        <w:gridCol w:w="1395"/>
        <w:gridCol w:w="1228"/>
        <w:gridCol w:w="1232"/>
        <w:gridCol w:w="211"/>
        <w:gridCol w:w="466"/>
        <w:gridCol w:w="109"/>
        <w:gridCol w:w="109"/>
        <w:gridCol w:w="109"/>
        <w:gridCol w:w="109"/>
        <w:gridCol w:w="211"/>
        <w:gridCol w:w="46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Capping, closure and post-closure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restricted cash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Material Cash Requirements and Intended Uses of Cash</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existing cash, cash equivalents, restricted cash and marketable securities, cash flows from operations and financing activities to continue to be sufficient to fund our operating activities and cash commitments for investing and financing activities for at least the next 12 months and thereafter for the foreseeable future. Our known current- and long-term uses of cash include, among other possible demands: (1) capital expenditures and leases, (2) acquisitions, (3) dividend payments, (4)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to service debt and other long-term obligations, (5) payments for asset retirement obligations and environmental liabilities and (6) share repurchases.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 and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make investments in property and equipment primarily to allow for growth of our service offerings. These investments are largely concentrated in vehicles and equipment and costs to construct our landfills. We expect to receive between $1.86 billion to $1.90 billion of property and equipment, net of proceeds from the sale of property and equipment, in 2025.</w:t>
      </w:r>
    </w:p>
    <w:p>
      <w:pPr>
        <w:pStyle w:val="TextBody"/>
        <w:bidi w:val="0"/>
        <w:spacing w:lineRule="auto" w:line="288" w:before="100" w:after="283"/>
        <w:jc w:val="left"/>
        <w:rPr/>
      </w:pPr>
      <w:r>
        <w:rPr>
          <w:rFonts w:ascii="Times New Roman;sans-serif" w:hAnsi="Times New Roman;sans-serif"/>
          <w:b w:val="false"/>
          <w:color w:val="000000"/>
          <w:sz w:val="20"/>
        </w:rPr>
        <w:t xml:space="preserve">We lease property and equipment in the ordinary course of business under various lease agreements. The most significant lease obligations are for real property and equipment specific to our industry, including property operated as a landfill or transfer station and operating equipment. As of December 31, 2024, the amount of total future lease payments under operating and finance leases was $269 million and $445 million, respectively. For additional detail regarding our lease obligations, see Note 10, </w:t>
      </w:r>
      <w:r>
        <w:rPr>
          <w:rFonts w:ascii="Times New Roman;sans-serif" w:hAnsi="Times New Roman;sans-serif"/>
          <w:b w:val="false"/>
          <w:i/>
          <w:color w:val="000000"/>
          <w:sz w:val="20"/>
        </w:rPr>
        <w:t>Leases</w:t>
      </w:r>
      <w:r>
        <w:rPr>
          <w:rFonts w:ascii="Times New Roman;sans-serif" w:hAnsi="Times New Roman;sans-serif"/>
          <w:b w:val="false"/>
          <w:color w:val="000000"/>
          <w:sz w:val="20"/>
        </w:rPr>
        <w:t>, of the notes to our audited consolidated financial statements in Part II, Item 8 of this Annual Report on Form 10-K.</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acquisition growth strategy focuses primarily on acquiring privately held recycling and waste companies and environmental solutions businesses that complement our existing business platform. We continue to invest in value-enhancing acquisitions in existing markets.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invest approximately $1 billion in acquisitions in 2025.</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 Payments</w:t>
      </w:r>
    </w:p>
    <w:p>
      <w:pPr>
        <w:pStyle w:val="TextBody"/>
        <w:bidi w:val="0"/>
        <w:spacing w:lineRule="auto" w:line="288" w:before="100" w:after="283"/>
        <w:jc w:val="left"/>
        <w:rPr/>
      </w:pPr>
      <w:r>
        <w:rPr>
          <w:rFonts w:ascii="Times New Roman;sans-serif" w:hAnsi="Times New Roman;sans-serif"/>
          <w:b w:val="false"/>
          <w:color w:val="000000"/>
          <w:sz w:val="20"/>
        </w:rPr>
        <w:t>In October 2024</w:t>
      </w:r>
      <w:r>
        <w:rPr>
          <w:color w:val="000000"/>
          <w:shd w:fill="FFFFFF" w:val="clear"/>
        </w:rPr>
        <w:t xml:space="preserve"> </w:t>
      </w:r>
      <w:r>
        <w:rPr>
          <w:rFonts w:ascii="Times New Roman;sans-serif" w:hAnsi="Times New Roman;sans-serif"/>
          <w:b w:val="false"/>
          <w:color w:val="000000"/>
          <w:sz w:val="20"/>
          <w:shd w:fill="FFFFFF" w:val="clear"/>
        </w:rPr>
        <w:t xml:space="preserve">our Board of Directors approved a quarterly dividend of </w:t>
      </w:r>
      <w:r>
        <w:rPr>
          <w:rFonts w:ascii="Times New Roman;sans-serif" w:hAnsi="Times New Roman;sans-serif"/>
          <w:b w:val="false"/>
          <w:color w:val="000000"/>
          <w:sz w:val="20"/>
        </w:rPr>
        <w:t xml:space="preserve">$0.580 </w:t>
      </w:r>
      <w:r>
        <w:rPr>
          <w:rFonts w:ascii="Times New Roman;sans-serif" w:hAnsi="Times New Roman;sans-serif"/>
          <w:b w:val="false"/>
          <w:color w:val="000000"/>
          <w:sz w:val="20"/>
          <w:shd w:fill="FFFFFF" w:val="clear"/>
        </w:rPr>
        <w:t xml:space="preserve">per share. Aggregate cash dividends declared were </w:t>
      </w:r>
      <w:r>
        <w:rPr>
          <w:rFonts w:ascii="Times New Roman;sans-serif" w:hAnsi="Times New Roman;sans-serif"/>
          <w:b w:val="false"/>
          <w:color w:val="000000"/>
          <w:sz w:val="20"/>
        </w:rPr>
        <w:t>$699 million</w:t>
      </w:r>
      <w:r>
        <w:rPr>
          <w:color w:val="000000"/>
          <w:shd w:fill="FFFFFF" w:val="clear"/>
        </w:rPr>
        <w:t xml:space="preserve"> </w:t>
      </w:r>
      <w:r>
        <w:rPr>
          <w:rFonts w:ascii="Times New Roman;sans-serif" w:hAnsi="Times New Roman;sans-serif"/>
          <w:b w:val="false"/>
          <w:color w:val="000000"/>
          <w:sz w:val="20"/>
          <w:shd w:fill="FFFFFF" w:val="clear"/>
        </w:rPr>
        <w:t>for the year ended December 31, 2024. As of December 31, 2024, we recorded a quarterly dividend payable of $181 million to shareholders of record at the close of business on January 2, 2025, which was paid on January 15, 2025.</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Debt and other long-term obligations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may include purchases of our outstanding indebtedness in the secondary market or otherwise. We believe that our excess cash, cash from operating activities and our availability to draw on our credit facilities provide us with sufficient financial resources to meet our anticipated capital requirements and maturing obligations as they come due.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choose to voluntarily retire certain portions of our outstanding debt before their maturity dates using cash from operations or additional borrowings. We may also explore opportunities in the capital markets to fund redemptions should market conditions be favorable. Early extinguishment of debt will result in an impairment charge in the period in which the debt is repaid. The loss on early extinguishment of debt relates to premiums paid to effectuate the repurchase and the relative portion of unamortized note discounts and debt issue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entered into a commercial paper program for the issuance and sale of unsecured commercial paper in an aggregate principal amount not to exceed $500 million outstanding at any one time (the Commercial Paper Cap). In August 2022, the Commercial Paper Cap was increased to $1.0 billion, and in October 2023, was subsequently increased to $1.5 billion. The weighted average interest rate for borrowings outstanding as of December 31, 2024 was 4.646% with a weighted average maturity of approximately 18 days. In the event of a failed re-borrowing, we currently have availability under our Credit Facility (as defined below) to fund the amounts borrowed under the commercial paper program until they are re-borrowed successfully. Accordingly, we have classified these borrowings as long-term in our consolidated balance sheet as of December 31,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total principal value of our debt was $12.8 billion, of which $862 million is due in 2025.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several agreements that require us to dispose of a minimum number of tons at third-party disposal facilities. Under these put-or-pay agreements, we must pay for agreed-upon minimum volumes regardless of the actual number of tons placed at the facilities.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unconditional purchase commitments have varying expiration dates, with some extending through the remaining life of the respective landfill. Future minimum payments under unconditional purchase commitments consist primarily of (1) disposal related agreements, which include fixed or minimum royalty payments, host agreements and take-or-pay and put-or-pay agreements and (2) other obligations including committed capital expenditures and consulting service agreements. As of December 31, 2024, such purchase commitments, which do not qualify for recognition on our Consolidated Balance Sheets, amount to $907 million, of which $202 million was short-term.</w:t>
      </w:r>
    </w:p>
    <w:p>
      <w:pPr>
        <w:pStyle w:val="TextBody"/>
        <w:bidi w:val="0"/>
        <w:spacing w:lineRule="auto" w:line="288" w:before="100" w:after="283"/>
        <w:jc w:val="left"/>
        <w:rPr/>
      </w:pPr>
      <w:r>
        <w:rPr>
          <w:rFonts w:ascii="Times New Roman;sans-serif" w:hAnsi="Times New Roman;sans-serif"/>
          <w:b w:val="false"/>
          <w:color w:val="000000"/>
          <w:sz w:val="20"/>
        </w:rPr>
        <w:t xml:space="preserve">For additional detail regarding our debt and known contractual and other obligations, see Note 9,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 xml:space="preserve">and Note 19,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of the notes to our audited consolidated financial statements in Part II, Item 8 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Retirement Obligations and Environmental Liabilities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future obligations for final capping, closure and post-closure costs with respect to the landfills we own or operate as set forth in applicable landfill permits. As of December 31, 2024, our future obligations for final capping, closure and post-closure costs totaled $2.1 billion, of which $96 million was short-term.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are subject to an array of laws and regulations relating to the protection of the environment, and we remediate sites in the ordinary course of our business. Our environmental remediation liabilities primarily include costs associated with remediating groundwater, surface water and soil contamination, as well as controlling and containing methane gas migration and the related legal costs. As of December 31, 2024, our environmental liabilities totaled $447 million, of which $63 million was short-term.</w:t>
      </w:r>
    </w:p>
    <w:p>
      <w:pPr>
        <w:pStyle w:val="TextBody"/>
        <w:bidi w:val="0"/>
        <w:spacing w:lineRule="auto" w:line="288" w:before="100" w:after="283"/>
        <w:jc w:val="left"/>
        <w:rPr/>
      </w:pPr>
      <w:r>
        <w:rPr>
          <w:rFonts w:ascii="Times New Roman;sans-serif" w:hAnsi="Times New Roman;sans-serif"/>
          <w:b w:val="false"/>
          <w:color w:val="000000"/>
          <w:sz w:val="20"/>
        </w:rPr>
        <w:t xml:space="preserve">For additional detail regarding our asset retirement obligations and environmental liabilities, see Note 8, </w:t>
      </w:r>
      <w:r>
        <w:rPr>
          <w:rFonts w:ascii="Times New Roman;sans-serif" w:hAnsi="Times New Roman;sans-serif"/>
          <w:b w:val="false"/>
          <w:i/>
          <w:color w:val="000000"/>
          <w:sz w:val="20"/>
        </w:rPr>
        <w:t>Landfill and Environmental Costs</w:t>
      </w:r>
      <w:r>
        <w:rPr>
          <w:rFonts w:ascii="Times New Roman;sans-serif" w:hAnsi="Times New Roman;sans-serif"/>
          <w:b w:val="false"/>
          <w:color w:val="000000"/>
          <w:sz w:val="20"/>
        </w:rPr>
        <w:t>, of the notes to our audited consolidated financial statements in Part II, Item 8 of this Annual Report on Form 10-K.</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our Board of Directors approved a $2 billion share repurchase authorization effective starting January 1, 2021 and extending through December 31, 2023. In October 2023, our Board of Directors approved a $3 billion share repurchase authorization effective starting January 1, 2024 and extending through December 31, 2026. Share repurchases under the current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December 31, 2024, the remaining authorized purchase capacity under our October 2023 repurchase program was $2.5 billion.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Summary of Cash Flow Activity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 components of changes in cash flows for 2024 and 2023 are discussed in the following paragraphs. The following table summarizes our cash flow from operating activities, investing activities and financing activities for the years ended December 31, 2024 and 2023 (in millions of dollars):</w:t>
      </w:r>
    </w:p>
    <w:tbl>
      <w:tblPr>
        <w:tblW w:w="6608" w:type="dxa"/>
        <w:jc w:val="left"/>
        <w:tblInd w:w="0" w:type="dxa"/>
        <w:tblLayout w:type="fixed"/>
        <w:tblCellMar>
          <w:top w:w="28" w:type="dxa"/>
          <w:left w:w="28" w:type="dxa"/>
          <w:bottom w:w="28" w:type="dxa"/>
          <w:right w:w="28" w:type="dxa"/>
        </w:tblCellMar>
      </w:tblPr>
      <w:tblGrid>
        <w:gridCol w:w="1525"/>
        <w:gridCol w:w="1343"/>
        <w:gridCol w:w="1346"/>
        <w:gridCol w:w="211"/>
        <w:gridCol w:w="691"/>
        <w:gridCol w:w="109"/>
        <w:gridCol w:w="109"/>
        <w:gridCol w:w="109"/>
        <w:gridCol w:w="109"/>
        <w:gridCol w:w="211"/>
        <w:gridCol w:w="69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Flows Provided by Operating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affecting the comparison of our operating cash flows for 2024 and 2023 are summarized below.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from business acquisitions and divestitures, decreased our cash flow from operations by $378 million in 2024, compared to a decrease of $91 million during the same period in 2023, primarily as a result of the following:</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Our accounts receivable, exclusive of the change in allowance for doubtful accounts and customer credits, increased $76 million during 2024, due to the timing of billings net of collections, compared to a $71 million increase in the same period in 2023. As of December 31, 2024, our days sales outstanding were 40.9, or 30.0 days net of deferred revenue, compared to 42.0, or 30.9 days net of deferred revenue, as of December 31, 2023.</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 xml:space="preserve">Our prepaid expenses and other assets increased $171 million in 2024 compared to a $30 million increase in 2023. The increase in prepaid expenses and other assets during 2024 is primarily driven by an increase in capitalized implementation costs for our cloud-based hosting arrangements and higher insurance premium costs. </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Our accounts payable decreased $27 million during 2024 compared to an $83 million increase during 2023, due to the timing of payments.</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Cash paid for capping, closure and post-closure obligations was $56 million during 2024 compared to $61 million for 2023. The decrease in cash paid for capping, closure and post-closure obligations is primarily due to the timing of capping and post-closure payments at certain of our landfill sites.</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Cash paid for remediation obligations was $7 million higher during 2024 compared to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cash paid for interest was $487 million and $423 million, excluding net swap settlements for our fixed to floating interest rate swaps, for 2024 and 2023, respectively. Cash paid for income taxes was $313 million and $343 million for 2024 and 2023, respectively.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cash flows from operations to fund capital expenditures, acquisitions, dividend payments, debt repayments and share repurchases.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Flows Used in Investing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affecting the comparison of our cash flows used in investing activities for 2024 and 2023 are summarized below:</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Capital expenditures during 2024 were $1,855 million as compared to $1,631 million for 2023.</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Proceeds from sales of property and equipment during 2024 were $47 million as compared to $29 million for 2023.</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During 2024 and 2023, we used $753 million and $2,065 million, respectively, for acquisitions and investments, net of cash acquired. During 2024 and 2023, we received $2 million and $6 million from business divestitures, respectively.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finance capital expenditures and acquisitions through cash on hand, restricted cash held for capital expenditures, cash flows from operations, our revolving credit facilities and tax-exempt bonds and other financings. We expect to primarily use cash and borrowings under our revolving credit facilities to pay for future acquisitions.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Flows (Used in) Provided by Financing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items affecting the comparison of our cash flows used in financing activities for 2024 and 2023 are summarized below:</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 xml:space="preserve">During 2024, we issued $900 million of senior notes for cash proceeds, net of discounts and fees, of $889 million. During 2023, we issued $2,200 million of senior notes for cash proceeds, net of discounts and fees, of $2,172 million. Net payments of notes payable and long-term debt were $1,089 million during 2024, compared to net payments of $1,190 million in 2023. For a more detailed discussion, see the </w:t>
      </w:r>
      <w:r>
        <w:rPr>
          <w:rFonts w:ascii="Times New Roman;sans-serif" w:hAnsi="Times New Roman;sans-serif"/>
          <w:b w:val="false"/>
          <w:i/>
          <w:color w:val="000000"/>
          <w:sz w:val="20"/>
        </w:rPr>
        <w:t>Financial Condition</w:t>
      </w:r>
      <w:r>
        <w:rPr>
          <w:color w:val="000000"/>
        </w:rPr>
        <w:t xml:space="preserve"> </w:t>
      </w:r>
      <w:r>
        <w:rPr>
          <w:rFonts w:ascii="Times New Roman;sans-serif" w:hAnsi="Times New Roman;sans-serif"/>
          <w:b w:val="false"/>
          <w:color w:val="000000"/>
          <w:sz w:val="20"/>
        </w:rPr>
        <w:t>section of this Management’s Discussion and Analysis of Financial Condition and Results of Operations.</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 xml:space="preserve">During 2024, we repurchased 2.5 million shares of our stock for $480 million. During 2023, we repurchased 1.8 million shares of our stock for $262 million. </w:t>
      </w:r>
    </w:p>
    <w:p>
      <w:pPr>
        <w:pStyle w:val="TextBody"/>
        <w:bidi w:val="0"/>
        <w:spacing w:lineRule="auto" w:line="288" w:before="100" w:after="283"/>
        <w:ind w:left="0" w:right="0" w:hanging="360"/>
        <w:jc w:val="left"/>
        <w:rPr/>
      </w:pPr>
      <w:r>
        <w:rPr>
          <w:color w:val="000000"/>
          <w:shd w:fill="FFFFFF" w:val="clear"/>
        </w:rPr>
        <w:t>•</w:t>
      </w:r>
      <w:r>
        <w:rPr>
          <w:rFonts w:ascii="Times New Roman;sans-serif" w:hAnsi="Times New Roman;sans-serif"/>
          <w:b w:val="false"/>
          <w:color w:val="000000"/>
          <w:sz w:val="20"/>
        </w:rPr>
        <w:t>In July 2024, our Board of Directors approved an increase in our quarterly dividend to $0.580 per share. Dividends paid were $687 million and $638 million in 2024 and 2023, respectively.</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During 2024 and 2023, cash paid for purchase price holdback releases and contingent purchase price related to acquisitions was $15 million and $19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Debt Obligations</w:t>
      </w:r>
    </w:p>
    <w:p>
      <w:pPr>
        <w:pStyle w:val="TextBody"/>
        <w:bidi w:val="0"/>
        <w:spacing w:lineRule="auto" w:line="288" w:before="100" w:after="283"/>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we had $862 million of principal debt maturing within the next 12 months, which includes certain finance lease obligations. All of our tax-exempt financings are remarketed either quarterly or semiannually by remarketing agents to effectively maintain a variable yield, with the exception of three tax-exempt financings with initial remarketing periods of 10 years. The holders of the bonds can put them back to the remarketing agents at the end of each interest period. If the remarketing agent is unable to remarket our bonds, the remarketing agent can put the bonds to us. In the event of a failed remarketing, 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we had availability under our Credit Facility (defined below) to fund these bonds until they are remarketed successfully. In the event of a failed re-borrowing under our commercial paper program, as of </w:t>
      </w:r>
      <w:r>
        <w:rPr>
          <w:rFonts w:ascii="Times New Roman;sans-serif" w:hAnsi="Times New Roman;sans-serif"/>
          <w:b w:val="false"/>
          <w:color w:val="000000"/>
          <w:sz w:val="20"/>
          <w:shd w:fill="FFFFFF" w:val="clear"/>
        </w:rPr>
        <w:t xml:space="preserve">December 31, 2024, </w:t>
      </w:r>
      <w:r>
        <w:rPr>
          <w:rFonts w:ascii="Times New Roman;sans-serif" w:hAnsi="Times New Roman;sans-serif"/>
          <w:b w:val="false"/>
          <w:color w:val="000000"/>
          <w:sz w:val="20"/>
        </w:rPr>
        <w:t xml:space="preserve">we had availability under our Credit Facility to fund the amounts borrowed under the commercial paper program until it is re-borrowed successfully. Accordingly, we have classified these tax-exempt financings and commercial paper program borrowings as long-term in our consolidated balance sheet 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w:t>
      </w:r>
    </w:p>
    <w:p>
      <w:pPr>
        <w:pStyle w:val="TextBody"/>
        <w:bidi w:val="0"/>
        <w:spacing w:lineRule="auto" w:line="288" w:before="100" w:after="283"/>
        <w:jc w:val="left"/>
        <w:rPr/>
      </w:pPr>
      <w:r>
        <w:rPr>
          <w:rFonts w:ascii="Times New Roman;sans-serif" w:hAnsi="Times New Roman;sans-serif"/>
          <w:b w:val="false"/>
          <w:color w:val="000000"/>
          <w:sz w:val="20"/>
        </w:rPr>
        <w:t xml:space="preserve">For further discussion of the components of our overall debt, see Note 9,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of the notes to our audited consolidated financial statements in Part II, Item 8 of this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Uncommitted Credit Facility</w:t>
      </w:r>
    </w:p>
    <w:p>
      <w:pPr>
        <w:pStyle w:val="TextBody"/>
        <w:bidi w:val="0"/>
        <w:spacing w:lineRule="auto" w:line="288" w:before="100" w:after="283"/>
        <w:jc w:val="left"/>
        <w:rPr/>
      </w:pPr>
      <w:r>
        <w:rPr>
          <w:rFonts w:ascii="Times New Roman;sans-serif" w:hAnsi="Times New Roman;sans-serif"/>
          <w:b w:val="false"/>
          <w:color w:val="000000"/>
          <w:sz w:val="20"/>
        </w:rPr>
        <w:t xml:space="preserve">In January 2022, we entered into a $200 million unsecured uncommitted revolving credit facility (the Uncommitted Credit Facility). The Uncommitted Credit Facility bears interest at an annual percentage rate to be agreed upon by both parties.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 xml:space="preserve">December 31, 2024 and 2023, </w:t>
      </w:r>
      <w:r>
        <w:rPr>
          <w:rFonts w:ascii="Times New Roman;sans-serif" w:hAnsi="Times New Roman;sans-serif"/>
          <w:b w:val="false"/>
          <w:color w:val="000000"/>
          <w:sz w:val="20"/>
          <w:shd w:fill="FFFFFF" w:val="clear"/>
        </w:rPr>
        <w:t xml:space="preserve">we had no borrowings outstanding under our Uncommitted Credit Facility.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Credit Facility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2024, we and our subsidiary, USE Canada Holdings, Inc. (the Canadian Borrower) entered into the Second Amended and Restated Credit Agreement (the Credit Facility) which amends and restates the unsecured revolving credit facility we entered into in August 2021. The total outstanding principal amount that we may borrow under the Credit Facility may not exceed the current aggregate lenders' commitments of $3.5 billion, and borrowings under the Credit Facility mature in July 2029. As permitted by the Credit Facility, we have the right to request two one-year extensions of the maturity date, but none of the lenders are committed to participate in such extensions. The Credit Facility also includes a feature that allows us to increase availability, at our option, by an aggregate amount of up to $1 billion through increased commitments from existing lenders or the addition of new lenders.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loans to the Canadian Borrower and all loans denominated in Canadian dollars cannot exceed $1 billion (the Canadian Sublimit). The Canadian Sublimit is part of, and not in addition to, the aggregate commitments under the Credit Facility.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Facility in United States dollars bear interest at a Base Rate, a daily floating SOFR or a term SOFR plus a current applicable margin of 0.920% based on our Debt Ratings (all as defined in the Credit Facility agreement). The Canadian dollar-denominated loans bear interest based on the Canadian Prime Rate or the Canadian Dollar Offered Rate plus a current applicable margin of 0.920% based on our Debt Ratings. As of December 31, 2024, $232 million was outstanding against the Canadian Sublimit, with an average interest rate of 5.309%.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is subject to facility fees based on applicable rates defined in the Credit Facility agreement and the aggregate commitment, regardless of usage.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$514 million and $297 million outstanding under our Credit Facility as of December 31, 2024 and 2023, respectively. We had $317 million and $337 million of letters of credit outstanding under our Credit Facility as of December 31, 2024 and 2023, respectively. We also had $477 million and $495 million of principal borrowings outstanding (net of related discount on issuance) under our commercial paper program as of December 31, 2024 and 2023, respectively. As a result, availability under our Credit Facility was $2,192 million and $2,371 million as of December 31, 2024 and 2023, respectively.</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and Other Covenants</w:t>
      </w:r>
    </w:p>
    <w:p>
      <w:pPr>
        <w:pStyle w:val="TextBody"/>
        <w:bidi w:val="0"/>
        <w:spacing w:lineRule="auto" w:line="288" w:before="100" w:after="283"/>
        <w:jc w:val="left"/>
        <w:rPr/>
      </w:pPr>
      <w:r>
        <w:rPr>
          <w:rFonts w:ascii="Times New Roman;sans-serif" w:hAnsi="Times New Roman;sans-serif"/>
          <w:b w:val="false"/>
          <w:color w:val="000000"/>
          <w:sz w:val="20"/>
        </w:rPr>
        <w:t>The Credit Facility requires us to comply with financial and other covenants. To the extent we are not in compliance with these covenants, we cannot pay dividends or repurchase common stock. Compliance with covenants also is a condition for any incremental borrowings under the Credit Facility, and failure to meet these covenants would enable the lenders to require repayment of any outstanding loans (which would adversely affect our liquidity). Additionally, if we are not in compliance with these covenants, we could not use the availability under our Credit Facility to fund borrowings we currently make under our commercial paper program, if there is a failed reborrowing under that program. The Credit Facility provides that our total debt to EBITDA ratio may not exceed 3.75 to 1.00 as of the last day of any fiscal quarter. In the case of an "elevated ratio period", which may be elected by us if one or more acquisitions during a fiscal quarter involve aggregate consideration in excess of $200.0 million (the Trigger Quarter), the total debt to EBITDA ratio may not exceed 4.25 to 1.00 during the Trigger Quarter and for the three fiscal quarters thereafter. The Credit Facility also provides that there may not be more than two elevated ratio periods during the term of the Credit Facility agreement. As of December 31, 2024, our total debt to EBITDA ratio was approximately 2.6 compared to the 3.75 maximum allowed. As of December 31, 2024, we were in compliance with all other covenants unde</w:t>
      </w:r>
      <w:r>
        <w:rPr>
          <w:rFonts w:ascii="Times New Roman;sans-serif" w:hAnsi="Times New Roman;sans-serif"/>
          <w:b w:val="false"/>
          <w:color w:val="000000"/>
          <w:sz w:val="20"/>
          <w:shd w:fill="FFFFFF" w:val="clear"/>
        </w:rPr>
        <w:t>r our Credit Facility</w:t>
      </w:r>
      <w:r>
        <w:rPr>
          <w:rFonts w:ascii="Times New Roman;sans-serif" w:hAnsi="Times New Roman;sans-serif"/>
          <w:b w:val="false"/>
          <w:color w:val="000000"/>
          <w:sz w:val="20"/>
        </w:rPr>
        <w: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 which is a non-U.S. GAAP measure, is calculated as defined in our Credit Facility agreement. In this context, EBITDA is used solely to provide information regarding the extent to which we are in compliance with debt covenants and is not comparable to EBITDA used by other companies or used by us for other purposes.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the financial and other covenants under the Credit Facility, as well as the occurrence of certain material adverse events, would constitute defaults and would allow the lenders under the Credit Facility to accelerate the maturity of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indebtedness under the Credit Facility. This could have an adverse effect on the availability of financial assurances. In addition, maturity acceleration on the Credit Facility constitutes an event of default under certain of our other debt and derivative instruments. If such acceleration were to occur, we would not have sufficient liquidity available to repay the indebtedness. We would likely have to seek an amendment under the Credit Facility for relief from the financial covenant or repay the debt with proceeds from the issuance of new debt or equity, or asset sales, if necessary. We may be unable to amend the Credit Facility or raise sufficient capital to repay such obligations in the event the maturity is accelerated.</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Term Loan Facility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we entered into a $1 billion unsecured Term Loan Facility (Term Loan Facility), which bore interest at a base rate or a forward-looking SOFR, plus an applicable margin based on our debt ratings. We had $500 million of borrowings outstanding under the Term Loan Facility as of December 31, 2023. During the year ended December 31, 2024, we repaid the remaining balance of the Term Loan Facility.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Commercial Paper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entered into a commercial paper program for the issuance and sale of unsecured commercial paper in an aggregate principal amount not to exceed $500 million outstanding at any one time (the Commercial Paper Cap). In August 2022, the Commercial Paper Cap was increased to $1.0 billion, and in October 2023, was increased to $1.5 billion. The weighted average interest rate for borrowings outstanding as of December 31, 2024 was 4.646% with a weighted average maturity of approximately 18 days.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$477 million and $496 million principal value of commercial paper issued and outstanding under the program as of December 31, 2024 and 2023, respectively. In the event of a failed re-borrowing, we currently have availability under our Credit Facility (as defined above) to fund amounts currently borrowed under the commercial paper program until they are re-borrowed successfully. Accordingly, we have classified these borrowings as long-term in our consolidated balance sheet as of December 31, 2024 and 2023, respectively.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Senior Notes and Debentures</w:t>
      </w:r>
    </w:p>
    <w:p>
      <w:pPr>
        <w:pStyle w:val="TextBody"/>
        <w:bidi w:val="0"/>
        <w:spacing w:lineRule="auto" w:line="26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we issued $400 million of 4.875% senior notes due 2029 (the Existing 2029 Notes) and $800 million of 5.000% senior notes due 2034 (the 2034 Notes, and together with the Existing 2029 Notes, the Notes). The Notes are unsecured and unsubordinated and rank equally with our other unsecured obligations. We used the proceeds from the Notes for general corporate purposes, including the repayment of a portion of amounts outstanding under the Uncommitted Credit Facility, the Commercial Paper Program, the Credit Facility, and the Term Loan Facility. As a result of the Term Loan Facility repayment, we incurred a non-cash loss on the early extinguishment of debt related to the ratable portion of unamortized deferred issuance costs of less than $1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we issued an additional $350 million of 4.875% senior notes due 2029 (the New 2029 Notes, and together with the Existing 2029 Notes, the 2029 Notes). After giving effect to the issuance of the New 2029 Notes, $750 million in aggregate principal amount of the 2029 Notes is outstanding. The New 2029 Notes are fungible with the Existing 2029 Notes, and taken together, the 2029 Notes are treated as a single series.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we also issued $650 million of 5.000% senior notes due 2033 (the 2033 Notes). The proceeds of the 2033 Notes were used for general corporate purposes, including the repayment of a portion of amounts outstanding under the Uncommitted Credit Facility, the Commercial Paper Program, the Credit Facility, and the Term Loan Facility.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we issued $400 million of 5.000% senior notes due 2029 and $500 million of 5.200% senior notes due 2034. We used the proceeds from the June 2024 notes issuance for general corporate purposes, including the repayment of a portion of amounts outstanding under the Commercial Paper Program and the Credit Facility; and repayment of the remaining amount outstanding under the Term Loan Facility and the Uncommitted Credit Facility.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senior notes and debentures are general unsecured obligations. Interest is payable semi-annually.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Tax-Exempt Financings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$1,409 million of certain variable rate tax-exempt financings outstanding, with maturities ranging from 2026 to 2053. As of December 31, 2023, we had $1,281 million of certain variable rate tax-exempt financings outstanding, with maturities ranging from 2024 to 2053.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Finance Leases and Other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finance lease liabilities of $315 million with maturities ranging from 2025 to 2063. As of December 31, 2023, we had finance lease liabilities of $251 million with maturities ranging from 2024 to 2063.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finance leases and other included $53 million related to the construction of an office building located in Phoenix, Arizona, which has been accounted for as a financing obligation. The amount is recorded within long-term debt, net of current maturities.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Credit Ratings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continued access to the debt capital markets and to new financing facilities, as well as our borrowing costs, depend on multiple factors, including market conditions, our operating performance and maintaining strong credit ratings. As of December 31, 2024, our credit ratings were BBB+, Baa1 and A- by Standard &amp; Poor’s Ratings Services, Moody’s Investors Service and Fitch Ratings, Inc., respectively. If our credit ratings were downgraded, especially any downgrade to below investment grade, our ability to access the debt markets with the same flexibility that we have experienced historically, our cost of funds and other terms for new debt issuances could be adversely impacted.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Seasonality and Severe Weather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can be adversely affected by periods of inclement or severe weather, which could increase the volume of waste collected under our existing contracts (without corresponding compensation), delay the collection and disposal of waste, reduce the volume of waste delivered to our disposal sites, or delay the construction or expansion of our landfills and other facilities. Our operations also can be favorably affected by severe weather, which could increase the volume of waste in situations where we are able to charge for our additional services.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Contingencies</w:t>
      </w:r>
    </w:p>
    <w:p>
      <w:pPr>
        <w:pStyle w:val="TextBody"/>
        <w:bidi w:val="0"/>
        <w:spacing w:lineRule="auto" w:line="288" w:before="100" w:after="283"/>
        <w:jc w:val="left"/>
        <w:rPr/>
      </w:pPr>
      <w:r>
        <w:rPr>
          <w:rFonts w:ascii="Times New Roman;sans-serif" w:hAnsi="Times New Roman;sans-serif"/>
          <w:b w:val="false"/>
          <w:color w:val="000000"/>
          <w:sz w:val="20"/>
        </w:rPr>
        <w:t xml:space="preserve">For a description of our commitments and contingencies, see Note 8, </w:t>
      </w:r>
      <w:r>
        <w:rPr>
          <w:rFonts w:ascii="Times New Roman;sans-serif" w:hAnsi="Times New Roman;sans-serif"/>
          <w:b w:val="false"/>
          <w:i/>
          <w:color w:val="000000"/>
          <w:sz w:val="20"/>
        </w:rPr>
        <w:t>Landfill and Environmental Costs</w:t>
      </w:r>
      <w:r>
        <w:rPr>
          <w:rFonts w:ascii="Times New Roman;sans-serif" w:hAnsi="Times New Roman;sans-serif"/>
          <w:b w:val="false"/>
          <w:color w:val="000000"/>
          <w:sz w:val="20"/>
        </w:rPr>
        <w:t xml:space="preserve">, Note 11,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and Note 19,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our audited consolidated financial statements included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Financial Assurance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must provide financial assurance to governmental agencies and a variety of other entities under applicable environmental regulations relating to our landfill operations for capping, closure and post-closure costs, and related to our performance under certain collection, landfill and transfer station contracts. We satisfy these financial assurance requirements by providing surety bonds, letters of credit, or insurance policies (Financial Assurance Instruments), or trust deposits, which are included in restricted cash and marketable securities and other assets in our consolidated balance sheets. The amount of the financial assurance requirements for capping, closure and post-closure costs is determined by applicable state environmental regulations. The financial assurance requirements for capping, closure and post-closure costs may be associated with a portion of the landfill or the entire landfill. Generally, states require a third-party engineering specialist to determine the estimated capping, closure and post-closure costs that are used to determine the required amount of financial assurance for a landfill. The amount of financial assurance required can, and generally will, differ from the obligation determined and recorded under U.S. GAAP. The amount of the financial assurance requirements related to contract performance varies by contract. Additionally, we must provide financial assurance for our insurance program and collateral for certain performance obligations. We do not expect a material increase in financial assurance requirements during 2025, although the mix of Financial Assurance Instruments may change.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Assurance Instruments are issued in the normal course of business and are not classified as indebtedness. Because we currently have no liability for the Financial Assurance Instruments, they are not reflected in our consolidated balance sheets; however, we record capping, closure and post-closure liabilities and insurance liabilities as they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Judgments and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have been prepared in accordance with U.S. GAAP and necessarily include certain estimates and judgments made by management. 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critical accounting estimates are those estimates that involve a significant level of uncertainty at the time the estimate was made, and changes in them have had or are reasonably likely to have a material effect on our financial condition or results of operations. Accordingly, actual results could differ materially from our estimates. We base our estimates on past experience and other assumptions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are reasonable under the circumstances, and we evaluate these estimates on an ongoing basis. Such critical accounting policies, estimates and judgments are applicable to all of our operating segments.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noted examples of the estimates that are subject to uncertainty in the accounting for these areas below.</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Landfill Development Asset Depletion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depletion expense for the years ended December 31, 2024 and 2023 was $408 million and $379 million, respectively.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match the expense related to the landfill asset with the revenue generated by the landfill operations, we amortize the landfill development asset over its operating life on a per-ton basis as waste is accepted at the landfill. The landfill asset is fully depleted at the end of a landfill’s operating life. The per-ton rate is calculated by dividing the sum of the landfill development asset net book value plus estimated future development costs for the landfill, by the landfill’s estimated remaining permitted and probable disposal capacity. The expected future development costs are not inflated or discounted, but rather expressed in nominal dollars. This rate is applied to each ton accepted at the landfill to arrive at depletion expense for the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depletion expense includes certain estimates and assumptions around future landfill development costs and remaining permitted and probable landfill disposal capacity. Changes in these estimates are subject to uncertainty attributable to the following factors: (i) actual future costs of construction materials and third-party labor could differ from the costs we have estimated because of the level of demand and the availability of the required materials and labor, and (ii) technical designs could be altered due to unexpected operating conditions, regulatory changes or legislative changes.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at least an annual basis, we update the estimates of future development costs and remaining disposal capacity for each landfill. These costs and disposal capacity estimates are reviewed and approved by senior operations management annually. Changes in cost estimates and disposal capacity are reflected prospectively in the landfill depletion rates that are updated annually.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Landfill Asset Retirement Obligations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two types of retirement obligations related to landfills: (1) capping and (2) closure and post-closure. As of December 31, 2024 and 2023, our asset retirement obligations related to capping, closure and post-closure were $2,144 million and $1,937 million, respectively. Changes in these estimates may be sensitive to the following factors: (i) changes to environmental laws and regulations and/or circumstances affecting our operations could result in a significant change to our estimates, which could have a significant impact on our result of operations, (ii) we do not expect to incur most of these costs for a number of years, which requires us to estimate the timing of projected cash flows and make assumptions regarding inflation rates, and (iii) actual future costs of materials and third-party labor could differ from the costs we have estimated because of the level of demand and the availability of the required materials and labor.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associated with final capping activities that occur during the operating life of the landfill are recognized on a units-of-consumption basis as airspace is consumed within each discrete capping event. Obligations related to closure and post-closure activities that occur after the landfill has ceased operations are recognized on a units-of-consumption basis as airspace is consumed throughout the entire life of the landfill. Landfill retirement obligations are capitalized as the related liabilities are recognized and amortized using the units-of-consumption method over the airspace consumed within the capping event or the airspace consumed within the entire landfill, depending on the nature of the obligation. Landfill amortization expense for the years ended December 31, 2024 and 2023 was $106 million and $92 million, respectively. All obligations are initially measured at estimated fair value. Fair value is calculated on a present value basis using an inflation rate and our credit-adjusted, risk-free rate in effect at the time the liabilities were incurred. Future costs for final capping, closure and post-closure are developed at least annually by engineers, and are inflated to future value using estimated future payment dates and inflation rate projections.</w:t>
      </w:r>
    </w:p>
    <w:p>
      <w:pPr>
        <w:pStyle w:val="TextBody"/>
        <w:bidi w:val="0"/>
        <w:spacing w:lineRule="auto" w:line="288" w:before="100" w:after="283"/>
        <w:jc w:val="left"/>
        <w:rPr/>
      </w:pPr>
      <w:r>
        <w:rPr>
          <w:rFonts w:ascii="Times New Roman;sans-serif" w:hAnsi="Times New Roman;sans-serif"/>
          <w:b w:val="false"/>
          <w:i/>
          <w:color w:val="000000"/>
          <w:sz w:val="20"/>
        </w:rPr>
        <w:t>Landfill capping.</w:t>
      </w:r>
      <w:r>
        <w:rPr>
          <w:color w:val="000000"/>
        </w:rPr>
        <w:t> </w:t>
      </w:r>
      <w:r>
        <w:rPr>
          <w:rFonts w:ascii="Times New Roman;sans-serif" w:hAnsi="Times New Roman;sans-serif"/>
          <w:b w:val="false"/>
          <w:color w:val="000000"/>
          <w:sz w:val="20"/>
        </w:rPr>
        <w:t xml:space="preserve">As individual areas within each landfill reach capacity, we must cap and close the areas in accordance with the landfill site permit. These requirements are detailed in each landfill's technical design, which is reviewed and approved by the regulatory agency issuing the landfill site permit. </w:t>
      </w:r>
    </w:p>
    <w:p>
      <w:pPr>
        <w:pStyle w:val="TextBody"/>
        <w:bidi w:val="0"/>
        <w:spacing w:lineRule="auto" w:line="288" w:before="100" w:after="283"/>
        <w:jc w:val="left"/>
        <w:rPr/>
      </w:pPr>
      <w:r>
        <w:rPr>
          <w:rFonts w:ascii="Times New Roman;sans-serif" w:hAnsi="Times New Roman;sans-serif"/>
          <w:b w:val="false"/>
          <w:i/>
          <w:color w:val="000000"/>
          <w:sz w:val="20"/>
        </w:rPr>
        <w:t>Closure and post-closure.</w:t>
      </w:r>
      <w:r>
        <w:rPr>
          <w:color w:val="000000"/>
        </w:rPr>
        <w:t> </w:t>
      </w:r>
      <w:r>
        <w:rPr>
          <w:rFonts w:ascii="Times New Roman;sans-serif" w:hAnsi="Times New Roman;sans-serif"/>
          <w:b w:val="false"/>
          <w:color w:val="000000"/>
          <w:sz w:val="20"/>
        </w:rPr>
        <w:t>Closure costs are costs incurred after a landfill stops receiving waste, but prior to being certified as closed. After the entire landfill has reached capacity and is certified closed, we must continue to maintain and monitor the site for a post-closure period, which generally extends for 30 years. Costs associated with closure and post-closure requirements generally include maintenance of the site, the monitoring of methane gas collection systems and groundwater systems and other activities that occur after the site has ceased accepting waste. Costs associated with post-closure monitoring generally include groundwater sampling, analysis and statistical reports, third-party labor associated with gas system operations and maintenance and transportation and disposal of leachate.</w:t>
      </w:r>
    </w:p>
    <w:p>
      <w:pPr>
        <w:pStyle w:val="TextBody"/>
        <w:bidi w:val="0"/>
        <w:spacing w:lineRule="auto" w:line="288" w:before="100" w:after="283"/>
        <w:jc w:val="left"/>
        <w:rPr/>
      </w:pPr>
      <w:r>
        <w:rPr>
          <w:rFonts w:ascii="Times New Roman;sans-serif" w:hAnsi="Times New Roman;sans-serif"/>
          <w:b w:val="false"/>
          <w:i/>
          <w:color w:val="000000"/>
          <w:sz w:val="20"/>
        </w:rPr>
        <w:t>Landfill retirement obligation liabilities and assets.</w:t>
      </w:r>
      <w:r>
        <w:rPr>
          <w:color w:val="000000"/>
        </w:rPr>
        <w:t> </w:t>
      </w:r>
      <w:r>
        <w:rPr>
          <w:rFonts w:ascii="Times New Roman;sans-serif" w:hAnsi="Times New Roman;sans-serif"/>
          <w:b w:val="false"/>
          <w:color w:val="000000"/>
          <w:sz w:val="20"/>
        </w:rPr>
        <w:t xml:space="preserve">Estimates of the total future costs required to cap, close and monitor each landfill as specified by the landfill permit are updated annually. The estimates include inflation, the specific timing of future cash outflows and the anticipated waste flow into the capping events. Our cost estimates are inflated to the period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using an estimated inflation rate, which is updated annually. For 2024, our estimated inflation rate of 2.0% is based on the twenty year average core consumer price index and for 2023, our estimated inflation rate of 2.0% was based on the ten year average consumer price index.</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present value of the remaining capping costs for specific capping events and the remaining closure and post-closure costs for each landfill are recorded as incurred on a per-ton basis. These liabilities are incurred as disposal capacity is consumed at the landfill.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obligations are increased each year to reflect the passage of time by accreting the balance at the weighted average credit-adjusted risk-free rate that was used to calculate each layer of the recorded liabilities. This accretion is charged to operating expenses. Actual cash expenditures reduce the asset retirement obligation liabilities as they are made.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Corresponding retirement obligation assets are recorded for the same value as the additions to the capping, closure and post-closure liabilities. The retirement obligation assets are amortized to expense on a per-ton basis as disposal capacity is consumed. The per-ton rate is calculated by dividing the sum of each of the recorded retirement obligation asset’s net book value and expected future additions to the retirement obligation asset by the remaining disposal capacity. A per-ton rate is determined for each separate capping event based on the disposal capacity relating to that event. Closure and post-closure per-ton rates are based on the total disposal capacity of the landfill.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these estimates may be sensitive to the following factors: (1) changes to environmental laws and regulations and/or circumstances affecting our operations could result in a significant change to our estimates, which could have a significant impact on our result of operations, (ii) we do not expect to incur most of these costs for a number of years, which requires us to estimate the timing of projected cash flows and make assumptions regarding inflation rates, and (iii) actual future costs of materials and third-party labor could differ from the costs we have estimated because of the level of demand and the availability of the required materials and labor.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an annual basis, we update our estimates of future capping, closure and post-closure costs and of future disposal capacity for each landfill. Revisions in estimates of our costs or timing of expenditures are recognized immediately as increases or decreases to the capping, closure and post-closure liabilities and the corresponding retirement obligation assets. Changes in the assets result in changes to the amortization rates which are applied prospectively, except for fully incurred capping events and closed landfills, where the changes are recorded immediately in results of operations since the associated disposal capacity has already been consumed. </w:t>
      </w:r>
    </w:p>
    <w:p>
      <w:pPr>
        <w:pStyle w:val="TextBody"/>
        <w:bidi w:val="0"/>
        <w:spacing w:lineRule="auto" w:line="288" w:before="100" w:after="283"/>
        <w:jc w:val="left"/>
        <w:rPr/>
      </w:pPr>
      <w:r>
        <w:rPr>
          <w:rFonts w:ascii="Times New Roman;sans-serif" w:hAnsi="Times New Roman;sans-serif"/>
          <w:b w:val="false"/>
          <w:color w:val="000000"/>
          <w:sz w:val="20"/>
        </w:rPr>
        <w:t xml:space="preserve">Total landfill depletion and amortization expense for the years ended December 31, 2024 and 2023 was $514 million and $471 million, respectively. See our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 xml:space="preserve">section in this Management's Discussion and Analysis of Financial Condition and Results of Operations for discussion on changes to our landfill depletion and amortization.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Environmental Liabilities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t>
      </w:r>
    </w:p>
    <w:p>
      <w:pPr>
        <w:pStyle w:val="TextBody"/>
        <w:bidi w:val="0"/>
        <w:spacing w:lineRule="auto" w:line="288" w:before="100" w:after="283"/>
        <w:jc w:val="left"/>
        <w:rPr/>
      </w:pPr>
      <w:r>
        <w:rPr>
          <w:rFonts w:ascii="Times New Roman;sans-serif" w:hAnsi="Times New Roman;sans-serif"/>
          <w:b w:val="false"/>
          <w:color w:val="000000"/>
          <w:sz w:val="20"/>
        </w:rPr>
        <w:t xml:space="preserve">We accrue for costs associated with environmental remediation obligations when such costs are probable and reasonably estimable in accordance with accounting for loss contingencies. We periodically review the status of all environmental matters and update our estimates of the likelihood of and future expenditures for remediation as necessary. Changes in the liabilities resulting from these reviews are recognized currently in earnings in the period in which the adjustment is known. Adjustments to estimates are reasonably possible in the near term and may result in changes to recorded amounts. With the exception of those obligations assumed in certain business combinations, environmental obligations are recorded on an undiscounted basis. Environmental obligations assumed in certain business combinations are initially estimated on a discounted basis, and accreted to full value over time through charges to interest expense.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See our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 xml:space="preserve">section in this Management's Discussion and Analysis of Financial Condition and Results of Operations for discussion on our remediation adjustments. We have not reduced the liabilities we have recorded for recoveries from other potentially responsible parties or insurance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we had $447 million and $485 million of environmental liabilities, respectively. Changes in these estimates may be sensitive to changes in cost estimates, timing of estimated costs and settlements, inflation and applicable regulations. Our estimates of these liabilities require assumptions about uncertain future events, which may change the ultimate amounts of our environmental remediation liabilities. Thus, our estimates could change substantially as additional information becomes available regarding the nature or extent of contamination, the required remediation methods, timing of expenditures, the final apportionment of responsibility among the potentially responsible parties identified, the financial viability of those parties and the actions of governmental agencies or private parties with interests in the matter. The actual environmental costs may exceed our current and future accruals for these costs, and any adjustments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Standards</w:t>
      </w:r>
    </w:p>
    <w:p>
      <w:pPr>
        <w:pStyle w:val="TextBody"/>
        <w:bidi w:val="0"/>
        <w:spacing w:lineRule="auto" w:line="288" w:before="100" w:after="283"/>
        <w:jc w:val="left"/>
        <w:rPr/>
      </w:pPr>
      <w:r>
        <w:rPr>
          <w:rFonts w:ascii="Times New Roman;sans-serif" w:hAnsi="Times New Roman;sans-serif"/>
          <w:b w:val="false"/>
          <w:color w:val="000000"/>
          <w:sz w:val="20"/>
        </w:rPr>
        <w:t xml:space="preserve">For a description of new accounting standards that may affect us, 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of the notes to our audited consolidated financial statements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ans-serif" w:hAnsi="Times New Roman;sans-serif"/>
          <w:b/>
          <w:color w:val="000000"/>
          <w:sz w:val="20"/>
        </w:rPr>
        <w:t>ITEM 7A.</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00" w:after="283"/>
        <w:jc w:val="left"/>
        <w:rPr/>
      </w:pPr>
      <w:r>
        <w:rPr>
          <w:rFonts w:ascii="Times New Roman;sans-serif" w:hAnsi="Times New Roman;sans-serif"/>
          <w:b w:val="false"/>
          <w:color w:val="000000"/>
          <w:sz w:val="20"/>
        </w:rPr>
        <w:t>Our major market risk exposure of our financial instruments is changing interest rates in the United States and fluctuations in SOFR. We intend to manage interest rate risk through the use of a combination of fixed and floating rate debt. The carrying value of our variable rate debt approximates fair value because interest rates are variable and, accordingly, approximates current market rates for instruments with similar risk and maturities. The fair value of our debt is determined as of the balance sheet date and is subject to change. We have</w:t>
      </w:r>
      <w:r>
        <w:rPr>
          <w:color w:val="000000"/>
        </w:rPr>
        <w:t xml:space="preserve"> </w:t>
      </w:r>
      <w:r>
        <w:rPr>
          <w:rFonts w:ascii="Times New Roman;sans-serif" w:hAnsi="Times New Roman;sans-serif"/>
          <w:b w:val="false"/>
          <w:color w:val="000000"/>
          <w:sz w:val="20"/>
        </w:rPr>
        <w:t xml:space="preserve">historically entered into multiple swap agreements designated as cash flow hedges to manage exposure to fluctuations in interest rates on our variable rate debt.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about certain of our market-sensitive financial instruments and constitutes a forward-looking statement.</w:t>
      </w:r>
    </w:p>
    <w:tbl>
      <w:tblPr>
        <w:tblW w:w="10528" w:type="dxa"/>
        <w:jc w:val="left"/>
        <w:tblInd w:w="0" w:type="dxa"/>
        <w:tblLayout w:type="fixed"/>
        <w:tblCellMar>
          <w:top w:w="28" w:type="dxa"/>
          <w:left w:w="28" w:type="dxa"/>
          <w:bottom w:w="28" w:type="dxa"/>
          <w:right w:w="28" w:type="dxa"/>
        </w:tblCellMar>
      </w:tblPr>
      <w:tblGrid>
        <w:gridCol w:w="505"/>
        <w:gridCol w:w="403"/>
        <w:gridCol w:w="188"/>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Expected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of</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debt: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outstanding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rate debt: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outstanding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fixed and variable rate debt amounts above exclude the remaining non-cash discounts, premiums and adjustments to fair value totaling $127 million. </w:t>
      </w:r>
    </w:p>
    <w:p>
      <w:pPr>
        <w:pStyle w:val="TextBody"/>
        <w:bidi w:val="0"/>
        <w:spacing w:lineRule="auto" w:line="288" w:before="100" w:after="283"/>
        <w:jc w:val="left"/>
        <w:rPr/>
      </w:pPr>
      <w:r>
        <w:rPr>
          <w:rFonts w:ascii="Times New Roman;sans-serif" w:hAnsi="Times New Roman;sans-serif"/>
          <w:b w:val="false"/>
          <w:color w:val="000000"/>
          <w:sz w:val="20"/>
        </w:rPr>
        <w:t xml:space="preserve">As of December 31, 2024, we had $2,160 million of principal floating rate debt. If interest rates increased or decreased by 100 basis points on our variable rate debt, annualized interest expense and net cash payments for interest would increase or decrease by approximately $22 million. This analysis does not reflect the effect that interest rates would have on other items, such as new borrowings and the impact on the economy. See Note 9,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of the notes to our audited consolidated financial statements in Part II, Item 8 of this Form 10-K for further information regarding how we manage interest rate risk.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Fuel costs represent a significant operating expense. When economically practical, we may enter into new fuel hedges, renew contracts, or engage in other strategies to mitigate market risk. As of December 31, 2024, we had no fuel hedges in place. While we charge fuel recovery fees to a majority of our customers, we are unable to charge such fees to all customers.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current consumption levels, we believe a twenty-cent per gallon change in the price of diesel fuel would change our fuel costs by approximately $27 million per year. Offsetting these changes in fuel expense would result in changes in our fuel recovery fee charged to our customers. At current participation rates, we believe a twenty-cent per gallon change in the price of diesel fuel would change our fuel recovery fee by approximately $38 million per year.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also require the use of certain petrochemical-based products (such as liners at our landfills) the cost of which may vary with the price of petrochemicals. An increase in the price of petrochemicals could increase the cost of those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which would increase our operating and capital costs. We also are susceptible to increases in fuel recovery fees from our vendors.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fuel costs were $470 million during 2024, or 3% of revenue, compared to $542 million, or 4% of revenue, during 2023.</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Commodities Price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recovered materials such as old corrugated containers and old newsprint from our recycling centers. Changes in market supply and demand for recycled commodities causes volatility in commodity prices. In prior periods, we have entered into derivative instruments such as swaps and costless collars designated as cash flow hedges to manage our exposure to changes in prices of these commodities. As of December 31, 2024, we had no recycling commodity hedges in place.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current volumes and mix of materials, we believe a $10 per ton change in the price of recycled commodities would change both annual revenue and operating income by approximately $11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recycling processing and commodity sales during the years ended December 31, 2024 and 2023 was $409 million and $312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ITEM 8.</w:t>
      </w:r>
      <w:r>
        <w:rPr>
          <w:rFonts w:ascii="Times New Roman;sans-serif" w:hAnsi="Times New Roman;sans-serif"/>
          <w:b/>
          <w:color w:val="000000"/>
          <w:sz w:val="20"/>
        </w:rPr>
        <w:t>FINANCIAL STATEMENTS AND SUPPLEMENTARY DATA</w:t>
      </w:r>
    </w:p>
    <w:tbl>
      <w:tblPr>
        <w:tblW w:w="10205" w:type="dxa"/>
        <w:jc w:val="left"/>
        <w:tblInd w:w="0" w:type="dxa"/>
        <w:tblLayout w:type="fixed"/>
        <w:tblCellMar>
          <w:top w:w="28" w:type="dxa"/>
          <w:left w:w="28" w:type="dxa"/>
          <w:bottom w:w="28" w:type="dxa"/>
          <w:right w:w="28" w:type="dxa"/>
        </w:tblCellMar>
      </w:tblPr>
      <w:tblGrid>
        <w:gridCol w:w="3561"/>
        <w:gridCol w:w="3127"/>
        <w:gridCol w:w="3144"/>
        <w:gridCol w:w="109"/>
        <w:gridCol w:w="109"/>
        <w:gridCol w:w="155"/>
      </w:tblGrid>
      <w:tr>
        <w:trPr/>
        <w:tc>
          <w:tcPr>
            <w:tcW w:w="3561"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85">
              <w:r>
                <w:rPr>
                  <w:rStyle w:val="InternetLink"/>
                  <w:rFonts w:ascii="Times New Roman;sans-serif" w:hAnsi="Times New Roman;sans-serif"/>
                  <w:b w:val="false"/>
                  <w:strike w:val="false"/>
                  <w:dstrike w:val="false"/>
                  <w:color w:val="000000"/>
                  <w:sz w:val="19"/>
                  <w:u w:val="none"/>
                  <w:effect w:val="none"/>
                </w:rPr>
                <w:t>Report of Independent Registered Public Accounting Firm</w:t>
              </w:r>
            </w:hyperlink>
            <w:r>
              <w:rPr>
                <w:rFonts w:ascii="Times New Roman;sans-serif" w:hAnsi="Times New Roman;sans-serif"/>
                <w:b w:val="false"/>
                <w:color w:val="000000"/>
                <w:sz w:val="19"/>
              </w:rPr>
              <w:t xml:space="preserve"> (PCAOB ID: 42)</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85">
              <w:r>
                <w:rPr>
                  <w:rStyle w:val="InternetLink"/>
                  <w:rFonts w:ascii="Times New Roman;sans-serif" w:hAnsi="Times New Roman;sans-serif"/>
                  <w:b w:val="false"/>
                  <w:color w:val="0000FF"/>
                  <w:sz w:val="19"/>
                  <w:u w:val="singl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88">
              <w:r>
                <w:rPr>
                  <w:rStyle w:val="InternetLink"/>
                  <w:rFonts w:ascii="Times New Roman;sans-serif" w:hAnsi="Times New Roman;sans-serif"/>
                  <w:b w:val="false"/>
                  <w:strike w:val="false"/>
                  <w:dstrike w:val="false"/>
                  <w:color w:val="000000"/>
                  <w:sz w:val="19"/>
                  <w:u w:val="none"/>
                  <w:effect w:val="none"/>
                </w:rPr>
                <w:t>Report of Independent Registered Public Accounting Firm on Internal Control Over Financial Reporting</w:t>
              </w:r>
            </w:hyperlink>
            <w:r>
              <w:rPr>
                <w:rFonts w:ascii="Times New Roman;sans-serif" w:hAnsi="Times New Roman;sans-serif"/>
                <w:b w:val="false"/>
                <w:color w:val="000000"/>
                <w:sz w:val="19"/>
              </w:rPr>
              <w:t xml:space="preserve"> (PCAOB ID: 42)</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88">
              <w:r>
                <w:rPr>
                  <w:rStyle w:val="InternetLink"/>
                  <w:rFonts w:ascii="Times New Roman;sans-serif" w:hAnsi="Times New Roman;sans-serif"/>
                  <w:b w:val="false"/>
                  <w:color w:val="0000FF"/>
                  <w:sz w:val="19"/>
                  <w:u w:val="single"/>
                </w:rPr>
                <w:t>64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Consolidated Balance Sheets as of December 31, 2024 and 2023</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91">
              <w:r>
                <w:rPr>
                  <w:rStyle w:val="InternetLink"/>
                  <w:rFonts w:ascii="Times New Roman;sans-serif" w:hAnsi="Times New Roman;sans-serif"/>
                  <w:b w:val="false"/>
                  <w:color w:val="0000FF"/>
                  <w:sz w:val="19"/>
                  <w:u w:val="single"/>
                </w:rPr>
                <w:t>65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94">
              <w:r>
                <w:rPr>
                  <w:rStyle w:val="InternetLink"/>
                  <w:rFonts w:ascii="Times New Roman;sans-serif" w:hAnsi="Times New Roman;sans-serif"/>
                  <w:b w:val="false"/>
                  <w:strike w:val="false"/>
                  <w:dstrike w:val="false"/>
                  <w:color w:val="000000"/>
                  <w:sz w:val="19"/>
                  <w:u w:val="none"/>
                  <w:effect w:val="none"/>
                </w:rPr>
                <w:t>Consolidated Statement</w:t>
              </w:r>
            </w:hyperlink>
            <w:hyperlink w:anchor="ia741dac77d4a44c98e59804b33ecc307_94">
              <w:r>
                <w:rPr>
                  <w:rStyle w:val="InternetLink"/>
                  <w:rFonts w:ascii="Times New Roman;sans-serif" w:hAnsi="Times New Roman;sans-serif"/>
                  <w:b w:val="false"/>
                  <w:strike w:val="false"/>
                  <w:dstrike w:val="false"/>
                  <w:color w:val="000000"/>
                  <w:sz w:val="20"/>
                  <w:u w:val="none"/>
                  <w:effect w:val="none"/>
                </w:rPr>
                <w:t>s of</w:t>
              </w:r>
            </w:hyperlink>
            <w:hyperlink w:anchor="ia741dac77d4a44c98e59804b33ecc307_94">
              <w:r>
                <w:rPr>
                  <w:rStyle w:val="InternetLink"/>
                  <w:strike w:val="false"/>
                  <w:dstrike w:val="false"/>
                  <w:color w:val="000000"/>
                  <w:u w:val="none"/>
                  <w:effect w:val="none"/>
                </w:rPr>
                <w:t xml:space="preserve"> </w:t>
              </w:r>
            </w:hyperlink>
            <w:hyperlink w:anchor="ia741dac77d4a44c98e59804b33ecc307_94">
              <w:r>
                <w:rPr>
                  <w:rStyle w:val="InternetLink"/>
                  <w:rFonts w:ascii="Times New Roman;sans-serif" w:hAnsi="Times New Roman;sans-serif"/>
                  <w:b w:val="false"/>
                  <w:strike w:val="false"/>
                  <w:dstrike w:val="false"/>
                  <w:color w:val="000000"/>
                  <w:sz w:val="19"/>
                  <w:u w:val="none"/>
                  <w:effect w:val="none"/>
                </w:rPr>
                <w:t xml:space="preserve">Income for Each of the Three Years in the Period Ended </w:t>
              </w:r>
            </w:hyperlink>
            <w:r>
              <w:rPr>
                <w:rFonts w:ascii="Times New Roman;sans-serif" w:hAnsi="Times New Roman;sans-serif"/>
                <w:b w:val="false"/>
                <w:color w:val="000000"/>
                <w:sz w:val="19"/>
              </w:rPr>
              <w:t>December 31, 2024</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94">
              <w:r>
                <w:rPr>
                  <w:rStyle w:val="InternetLink"/>
                  <w:rFonts w:ascii="Times New Roman;sans-serif" w:hAnsi="Times New Roman;sans-serif"/>
                  <w:b w:val="false"/>
                  <w:color w:val="0000FF"/>
                  <w:sz w:val="19"/>
                  <w:u w:val="single"/>
                </w:rPr>
                <w:t>66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Consolidated Statements of Comprehensive Income for Each of the Three Years in the Period Ended December 31, 2024</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97">
              <w:r>
                <w:rPr>
                  <w:rStyle w:val="InternetLink"/>
                  <w:rFonts w:ascii="Times New Roman;sans-serif" w:hAnsi="Times New Roman;sans-serif"/>
                  <w:b w:val="false"/>
                  <w:color w:val="0000FF"/>
                  <w:sz w:val="19"/>
                  <w:u w:val="single"/>
                </w:rPr>
                <w:t>67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Consolidated Statements of Stockholders' Equity for Each of the Three Years in the Period Ended December 31, 2024</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00">
              <w:r>
                <w:rPr>
                  <w:rStyle w:val="InternetLink"/>
                  <w:rFonts w:ascii="Times New Roman;sans-serif" w:hAnsi="Times New Roman;sans-serif"/>
                  <w:b w:val="false"/>
                  <w:color w:val="0000FF"/>
                  <w:sz w:val="19"/>
                  <w:u w:val="single"/>
                </w:rPr>
                <w:t>68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Consolidated Statements of Cash Flows for Each of the Three Years in the Period Ended December 31, 2024</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06">
              <w:r>
                <w:rPr>
                  <w:rStyle w:val="InternetLink"/>
                  <w:rFonts w:ascii="Times New Roman;sans-serif" w:hAnsi="Times New Roman;sans-serif"/>
                  <w:b w:val="false"/>
                  <w:color w:val="0000FF"/>
                  <w:sz w:val="19"/>
                  <w:u w:val="single"/>
                </w:rPr>
                <w:t>69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09">
              <w:r>
                <w:rPr>
                  <w:rStyle w:val="InternetLink"/>
                  <w:rFonts w:ascii="Times New Roman;sans-serif" w:hAnsi="Times New Roman;sans-serif"/>
                  <w:b w:val="false"/>
                  <w:strike w:val="false"/>
                  <w:dstrike w:val="false"/>
                  <w:color w:val="000080"/>
                  <w:sz w:val="19"/>
                  <w:u w:val="single"/>
                  <w:effect w:val="none"/>
                </w:rPr>
                <w:t xml:space="preserve">Notes to </w:t>
              </w:r>
            </w:hyperlink>
            <w:hyperlink w:anchor="ia741dac77d4a44c98e59804b33ecc307_109">
              <w:r>
                <w:rPr>
                  <w:rStyle w:val="InternetLink"/>
                  <w:rFonts w:ascii="Times New Roman;sans-serif" w:hAnsi="Times New Roman;sans-serif"/>
                  <w:b w:val="false"/>
                  <w:strike w:val="false"/>
                  <w:dstrike w:val="false"/>
                  <w:color w:val="000080"/>
                  <w:sz w:val="19"/>
                  <w:u w:val="single"/>
                  <w:effect w:val="none"/>
                </w:rPr>
                <w:t>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41dac77d4a44c98e59804b33ecc307_109">
              <w:r>
                <w:rPr>
                  <w:rStyle w:val="InternetLink"/>
                  <w:rFonts w:ascii="Times New Roman;sans-serif" w:hAnsi="Times New Roman;sans-serif"/>
                  <w:b w:val="false"/>
                  <w:color w:val="0000FF"/>
                  <w:sz w:val="19"/>
                  <w:u w:val="single"/>
                </w:rPr>
                <w:t>70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Republic Services, Inc.</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Republic Services, Inc. (the Company) as of December 31, 2024 and 2023, the related consolidated statements of income, comprehensive income,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13, 2025 expressed an unqualified opinion thereon.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tbl>
      <w:tblPr>
        <w:tblW w:w="10205" w:type="dxa"/>
        <w:jc w:val="left"/>
        <w:tblInd w:w="0" w:type="dxa"/>
        <w:tblLayout w:type="fixed"/>
        <w:tblCellMar>
          <w:top w:w="28" w:type="dxa"/>
          <w:left w:w="28" w:type="dxa"/>
          <w:bottom w:w="28" w:type="dxa"/>
          <w:right w:w="28" w:type="dxa"/>
        </w:tblCellMar>
      </w:tblPr>
      <w:tblGrid>
        <w:gridCol w:w="468"/>
        <w:gridCol w:w="412"/>
        <w:gridCol w:w="414"/>
        <w:gridCol w:w="109"/>
        <w:gridCol w:w="109"/>
        <w:gridCol w:w="109"/>
        <w:gridCol w:w="2543"/>
        <w:gridCol w:w="2494"/>
        <w:gridCol w:w="3547"/>
      </w:tblGrid>
      <w:tr>
        <w:trPr/>
        <w:tc>
          <w:tcPr>
            <w:tcW w:w="4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Landfill Development Asset Depletion</w:t>
            </w:r>
          </w:p>
        </w:tc>
      </w:tr>
      <w:tr>
        <w:trPr/>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i/>
                <w:sz w:val="20"/>
              </w:rPr>
              <w:br/>
            </w: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Landfill development asset depletion expense for the year ended December 31, 2024 was $408 million As discussed in Note 2, management updates the assumptions used to estimate the landfill development asset depletion expense at least annually, or more often if there is a significant change in facts and circumstances related to a landfill. Significant assumptions used in the calculation of the expense include estimated future development costs and available disposal capacity.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36"/>
        <w:gridCol w:w="374"/>
        <w:gridCol w:w="376"/>
        <w:gridCol w:w="109"/>
        <w:gridCol w:w="109"/>
        <w:gridCol w:w="109"/>
        <w:gridCol w:w="2612"/>
        <w:gridCol w:w="2474"/>
        <w:gridCol w:w="3506"/>
      </w:tblGrid>
      <w:tr>
        <w:trPr/>
        <w:tc>
          <w:tcPr>
            <w:tcW w:w="53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Auditing landfill development asset depletion expense is complex due to the highly judgmental nature of the significant assumptions, as discussed above, used in the calculation of the expense. </w:t>
            </w:r>
          </w:p>
        </w:tc>
      </w:tr>
      <w:tr>
        <w:trPr/>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i/>
                <w:sz w:val="20"/>
              </w:rPr>
              <w:br/>
            </w: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of, evaluated the design, and tested the operating effectiveness of the Company’s controls over landfill development asset depletion expense. Our audit procedures included, among others, testing controls over the Company’s process for evaluating and updating the significant assumptions used in the calculation of landfill development asset depletion expense and the accuracy of depletion expense recorded. </w:t>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test the landfill development asset depletion expense, our audit procedures included, among others, assessing methodologies and testing the significant assumptions discussed above. To test the future development costs, we compared the estimated costs used by management to comparable landfills accepting the same type of waste. We also tested the completeness and accuracy of the data utilized in the development of depletion expense. Regarding disposal capacity, we evaluated the Company’s annual utilization and estimation of the landfill disposal capacity through a comparison of airspace to historical estimates and annual aerial surveys. In addition, we considered the professional qualifications and objectivity of management’s specialist responsible for performing the aerial surveys. We involved EY engineering specialists to assist us with evaluating estimated future development costs.</w:t>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Landfill Final Capping, Closure and Post-Closure Costs</w:t>
            </w:r>
          </w:p>
        </w:tc>
      </w:tr>
      <w:tr>
        <w:trPr/>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ans-serif" w:hAnsi="Times New Roman;sans-serif"/>
                <w:b w:val="false"/>
                <w:i/>
                <w:sz w:val="20"/>
              </w:rPr>
              <w:br/>
            </w: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carrying value of the Company’s landfill final capping, closure and post-closure costs totaled $2,144 million. As discussed in Notes 2 and 8 of the consolidated financial statements, management updates the assumptions used to estimate the asset retirement obligations at least annually, or more often if there is a significant change in facts and circumstances related to a landfill. These assumptions include estimated future costs associated with the final capping, closure and post-closure activities at each landfill, projected timing of capping, and estimated inflation rate.</w:t>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Auditing the landfill asset retirement obligations is complex due to the highly judgmental nature of the significant assumptions, as discussed above, used in the calculation of the asset retirement obligations.</w:t>
            </w:r>
          </w:p>
        </w:tc>
      </w:tr>
      <w:tr>
        <w:trPr/>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i/>
                <w:sz w:val="20"/>
              </w:rPr>
              <w:br/>
            </w: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of, evaluated the design, and tested the operating effectiveness of the Company’s controls over the calculation of asset retirement obligations. Our procedures included, among others, testing controls over the Company’s process for evaluating and updating the significant assumptions used in the calculation of the landfill asset retirement obligations and the accuracy of the asset retirement obligations recorded.</w:t>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test the landfill asset retirement obligations, our audit procedures included, among others, assessing methodologies used by the Company, testing the completeness of activities included in the estimate and testing the significant assumptions discussed above. To test the estimated future costs, we compared the estimated future costs used by management to comparable landfills accepting the same type of waste. We also tested the completeness and accuracy of the data utilized in preparing the cost estimate. Regarding the projected timing of capping assumption, we evaluated the Company’s annual utilization and estimation of the landfill disposal capacity through a comparison of airspace to historical estimates and annual aerial surveys. We also performed a sensitivity analysis of the inflation rate assumption. In addition, we considered the professional qualifications and objectivity of management’s specialist responsible for performing the aerial surveys. We involved EY engineering specialists to assist us with evaluating assumptions used in estimated costs for the capping, closure and post-closure activities.</w:t>
            </w:r>
          </w:p>
        </w:tc>
      </w:tr>
    </w:tbl>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2002.</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Phoenix, Arizona</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Republic Services, Inc.</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Republic Services, Inc.’s internal control over financial reporting as of December 31, 2024, based on criteria established in Internal Control – Integrated Framework issued by the Committee of Sponsoring Organizations of the Treadway Commission (2013 framework) (the COSO criteria). In our opinion, Republic Services, Inc. (the Company) maintained, in all material respects, effective internal control over financial reporting as of December 31, 2024, based on the COSO criteria.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2024 and 2023, the related consolidated statements of income, comprehensive income, stockholders’ equity and cash flows for each of the three years in the period ended December 31, 2024, and the related notes and our report dated February 13, 2025 expressed an unqualified opinion thereon.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Report of Management on Republic Services, Inc.’s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Phoenix, Arizona</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data) </w:t>
      </w:r>
    </w:p>
    <w:tbl>
      <w:tblPr>
        <w:tblW w:w="10205" w:type="dxa"/>
        <w:jc w:val="left"/>
        <w:tblInd w:w="0" w:type="dxa"/>
        <w:tblLayout w:type="fixed"/>
        <w:tblCellMar>
          <w:top w:w="28" w:type="dxa"/>
          <w:left w:w="28" w:type="dxa"/>
          <w:bottom w:w="28" w:type="dxa"/>
          <w:right w:w="28" w:type="dxa"/>
        </w:tblCellMar>
      </w:tblPr>
      <w:tblGrid>
        <w:gridCol w:w="2661"/>
        <w:gridCol w:w="2183"/>
        <w:gridCol w:w="2147"/>
        <w:gridCol w:w="287"/>
        <w:gridCol w:w="984"/>
        <w:gridCol w:w="148"/>
        <w:gridCol w:w="109"/>
        <w:gridCol w:w="109"/>
        <w:gridCol w:w="109"/>
        <w:gridCol w:w="284"/>
        <w:gridCol w:w="972"/>
        <w:gridCol w:w="212"/>
      </w:tblGrid>
      <w:tr>
        <w:trPr/>
        <w:tc>
          <w:tcPr>
            <w:tcW w:w="266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for doubtful accounts and other of $74 and $83, respectively</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marketable securities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31,410 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and current maturities of long-term debt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landfill and environmental costs, current portion</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landfill and environmental costs, net of current portion</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and other long-term tax liabilities, net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reserves, net of current portion</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$0.01 per share; 50 shares authorized; none issued</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 750 shares authorized; 313 and 321 issued including shares held in treasury, respectively</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 and 6 shares, respectively</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net of tax</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Republic Services, Inc. stockholders’ equity</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consolidated subsidiary</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31,410 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308"/>
        <w:gridCol w:w="2025"/>
        <w:gridCol w:w="2049"/>
        <w:gridCol w:w="211"/>
        <w:gridCol w:w="721"/>
        <w:gridCol w:w="109"/>
        <w:gridCol w:w="109"/>
        <w:gridCol w:w="109"/>
        <w:gridCol w:w="109"/>
        <w:gridCol w:w="211"/>
        <w:gridCol w:w="721"/>
        <w:gridCol w:w="109"/>
        <w:gridCol w:w="109"/>
        <w:gridCol w:w="109"/>
        <w:gridCol w:w="109"/>
        <w:gridCol w:w="211"/>
        <w:gridCol w:w="721"/>
        <w:gridCol w:w="155"/>
      </w:tblGrid>
      <w:tr>
        <w:trPr/>
        <w:tc>
          <w:tcPr>
            <w:tcW w:w="2308"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withdrawal liability for multiemployer pension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business divestitures and impairments,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unconsolidated equity method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 in consolidated subsidiary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Republic Services,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attributable to Republic Services, Inc. stockholders: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attributable to Republic Services, Inc. stockholders: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and common equivalent shares outstanding</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color w:val="000000"/>
        </w:rPr>
      </w:pPr>
      <w:r>
        <w:rPr>
          <w:color w:val="000000"/>
        </w:rPr>
        <w:t> </w:t>
      </w:r>
    </w:p>
    <w:tbl>
      <w:tblPr>
        <w:tblW w:w="8801" w:type="dxa"/>
        <w:jc w:val="center"/>
        <w:tblInd w:w="0" w:type="dxa"/>
        <w:tblLayout w:type="fixed"/>
        <w:tblCellMar>
          <w:top w:w="28" w:type="dxa"/>
          <w:left w:w="28" w:type="dxa"/>
          <w:bottom w:w="28" w:type="dxa"/>
          <w:right w:w="28" w:type="dxa"/>
        </w:tblCellMar>
      </w:tblPr>
      <w:tblGrid>
        <w:gridCol w:w="1916"/>
        <w:gridCol w:w="1681"/>
        <w:gridCol w:w="1697"/>
        <w:gridCol w:w="211"/>
        <w:gridCol w:w="616"/>
        <w:gridCol w:w="109"/>
        <w:gridCol w:w="109"/>
        <w:gridCol w:w="109"/>
        <w:gridCol w:w="109"/>
        <w:gridCol w:w="211"/>
        <w:gridCol w:w="616"/>
        <w:gridCol w:w="109"/>
        <w:gridCol w:w="109"/>
        <w:gridCol w:w="109"/>
        <w:gridCol w:w="109"/>
        <w:gridCol w:w="211"/>
        <w:gridCol w:w="616"/>
        <w:gridCol w:w="154"/>
      </w:tblGrid>
      <w:tr>
        <w:trPr/>
        <w:tc>
          <w:tcPr>
            <w:tcW w:w="191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Republic Services,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613" w:type="dxa"/>
        <w:jc w:val="center"/>
        <w:tblInd w:w="0" w:type="dxa"/>
        <w:tblLayout w:type="fixed"/>
        <w:tblCellMar>
          <w:top w:w="28" w:type="dxa"/>
          <w:left w:w="28" w:type="dxa"/>
          <w:bottom w:w="28" w:type="dxa"/>
          <w:right w:w="28" w:type="dxa"/>
        </w:tblCellMar>
      </w:tblPr>
      <w:tblGrid>
        <w:gridCol w:w="555"/>
        <w:gridCol w:w="225"/>
        <w:gridCol w:w="226"/>
        <w:gridCol w:w="203"/>
        <w:gridCol w:w="203"/>
        <w:gridCol w:w="166"/>
        <w:gridCol w:w="109"/>
        <w:gridCol w:w="109"/>
        <w:gridCol w:w="109"/>
        <w:gridCol w:w="210"/>
        <w:gridCol w:w="263"/>
        <w:gridCol w:w="128"/>
        <w:gridCol w:w="109"/>
        <w:gridCol w:w="109"/>
        <w:gridCol w:w="109"/>
        <w:gridCol w:w="181"/>
        <w:gridCol w:w="496"/>
        <w:gridCol w:w="109"/>
        <w:gridCol w:w="109"/>
        <w:gridCol w:w="109"/>
        <w:gridCol w:w="109"/>
        <w:gridCol w:w="181"/>
        <w:gridCol w:w="496"/>
        <w:gridCol w:w="109"/>
        <w:gridCol w:w="109"/>
        <w:gridCol w:w="109"/>
        <w:gridCol w:w="109"/>
        <w:gridCol w:w="203"/>
        <w:gridCol w:w="203"/>
        <w:gridCol w:w="166"/>
        <w:gridCol w:w="109"/>
        <w:gridCol w:w="109"/>
        <w:gridCol w:w="109"/>
        <w:gridCol w:w="181"/>
        <w:gridCol w:w="376"/>
        <w:gridCol w:w="109"/>
        <w:gridCol w:w="109"/>
        <w:gridCol w:w="109"/>
        <w:gridCol w:w="109"/>
        <w:gridCol w:w="317"/>
        <w:gridCol w:w="527"/>
        <w:gridCol w:w="192"/>
        <w:gridCol w:w="109"/>
        <w:gridCol w:w="109"/>
        <w:gridCol w:w="109"/>
        <w:gridCol w:w="373"/>
        <w:gridCol w:w="466"/>
        <w:gridCol w:w="227"/>
        <w:gridCol w:w="109"/>
        <w:gridCol w:w="109"/>
        <w:gridCol w:w="109"/>
        <w:gridCol w:w="181"/>
        <w:gridCol w:w="571"/>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8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Republic Services,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Accumulated 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Non-controlling Interests In Consolidated Subsidiary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Total</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Balance as of December 31, 2021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dividends declared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common stock for treasury</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minority interest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paid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Balance as of December 31, 2022</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dividends declared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Issuances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common stock for treasury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paid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Balance as of December 31, 2023</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dividends declared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Issuances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common stock for treasury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Shares returned to unissued status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paid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Balance as of December 31, 2024</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11,407 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9672" w:type="dxa"/>
        <w:jc w:val="center"/>
        <w:tblInd w:w="0" w:type="dxa"/>
        <w:tblLayout w:type="fixed"/>
        <w:tblCellMar>
          <w:top w:w="28" w:type="dxa"/>
          <w:left w:w="28" w:type="dxa"/>
          <w:bottom w:w="28" w:type="dxa"/>
          <w:right w:w="28" w:type="dxa"/>
        </w:tblCellMar>
      </w:tblPr>
      <w:tblGrid>
        <w:gridCol w:w="2317"/>
        <w:gridCol w:w="2027"/>
        <w:gridCol w:w="2046"/>
        <w:gridCol w:w="196"/>
        <w:gridCol w:w="556"/>
        <w:gridCol w:w="109"/>
        <w:gridCol w:w="109"/>
        <w:gridCol w:w="109"/>
        <w:gridCol w:w="109"/>
        <w:gridCol w:w="196"/>
        <w:gridCol w:w="556"/>
        <w:gridCol w:w="109"/>
        <w:gridCol w:w="109"/>
        <w:gridCol w:w="109"/>
        <w:gridCol w:w="109"/>
        <w:gridCol w:w="196"/>
        <w:gridCol w:w="556"/>
        <w:gridCol w:w="154"/>
      </w:tblGrid>
      <w:tr>
        <w:trPr/>
        <w:tc>
          <w:tcPr>
            <w:tcW w:w="231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Years Ended December 31,</w:t>
            </w:r>
          </w:p>
        </w:tc>
      </w:tr>
      <w:tr>
        <w:trPr/>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provided by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provision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 net of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disposition of assets and asset impairments,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Environmental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unconsolidated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items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Change in assets and liabilities, net of effects from business acquisitions and divestitures: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Capping, closure and post-closure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Remediation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from retirement of certain hedging relationships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acquisitions and investments, net of cash and restricted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from business divestitures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restricted marketable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restricted marketable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provided by (used in)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credit facilities and notes payable, net of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senior notes, net of discount and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credit facilities and notes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of common stock,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common stock for treasury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paid to non-controlling interests in consolidated subsidiary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consideration 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provided by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cash equivalents, restricted cash and restricted cash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restricted cash and restricted cash equivalents at beginning of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restricted cash and restricted cash equivalents at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1.BASIS OF PRESENTATION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Republic Services, Inc., a Delaware corporation, and its consolidated subsidiaries (also referred to collectively as Republic, the Company, we, us, or our), is one of the largest providers of environmental services in the United States, as measured by revenue. 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primarily in geographic areas located across the United States and Canada. These groups represent our reportable segments, which provide integrated environmental services, including but not limited to collection, transfer, recycling, and disposal.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Republic Services, Inc. and its wholly owned and majority-owned subsidiaries in accordance with accounting principles generally accepted in the United States of America (U.S. GAAP). We account for investments in entities in which we do not have a controlling financial interest under the equity method of accounting or, for investments that do not meet the criteria to be accounted for under the equity method, we reflect these investments at their fair value when it is readily determinable. If fair value is not readily determinable, we use an alternative measurement approach. All material intercompany accounts and transactions have been eliminated in consolidation.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comparative purposes, certain prior year amounts have been reclassified to conform to the current year presentation and are not material to our consolidated financial statements. All dollar amounts in tabular presentations are in millions, except per share amounts and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Management’s Estimates and Assumptions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preparing our financial statements, we make numerous estimates and assumptions that affect the amounts reported in these financial statements and accompanying notes. We must make these estimates and assumptions because certain information we use is dependent on future events, cannot be calculated with a high degree of precision from data available or simply cannot be readily calculated based on generally accepted methodologies. In preparing our financial statements, the more significant and subjective areas that deal with the greatest amount of uncertainty relate to our accounting for our long-lived assets, including recoverability, landfill development costs and final capping, closure and post-closure costs; our liabilities for potential litigation, claims and assessments; our liabilities for environmental remediation, deferred taxes, uncertain tax positions and insurance reserves; and our estimates of the fair values of assets acquired and liabilities assumed in acquisitions. Each of these items is discussed in more detail elsewhere in these Notes to Consolidated Financial Statements. Our actual results may differ significantly from our estimates.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liquid investments with a maturity at the date of acquisition of three months or less to be cash equivalents.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have net book credit balances in our primary disbursement accounts at the end of a reporting period. We classify such credit balances as accounts payable in our consolidated balance sheets as checks presented for payment to these accounts are not payable by our banks under overdraft arrangements, and, therefore, do not represent short-term borrowings. As of December 31, 2024 and 2023, there were net book credit balances of $121 million and $148 million, respectively, in our primary disbursement accounts that were classified as accounts payable on our consolidated balance sheets.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us to concentrations of credit risk consist of cash and cash equivalents, trade accounts receivable and derivative instruments. We place our cash and cash equivalents with high quality financial institutions. Such balances may be in excess of FDIC insured limits. To manage the related credit exposure, we continually monitor the credit worthiness of the financial institutions where we have deposits. Concentrations of credit risk with respect to trade accounts receivable are limited due to the wide variety of customers and markets in which we provide services, as well as the dispersion of our operations across many geographic areas. We provide services to small-container, large-container, municipal and residential and environmental solutions customers primarily in the United States and Canada. We perform ongoing credit evaluations of our customers, but generally do not require collateral to support customer receivables. We establish an allowance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doubtful accounts based on various factors including the credit risk of specific customers, age of receivables outstanding, historical trends, economic conditions and other information.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Accounts Receivable, Net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represents receivables from customers for environmental services, including collection and processing of recyclable materials, collection, transfer and disposal of solid waste and environmental solutions. Our receivables are recorded when billed or when the related revenue is earned and represent claims against third parties that will be settled in cash. The carrying value of our receivables, net of the allowance for doubtful accounts and customer credits, represents the estimated net realizable value.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an allowance for doubtful accounts based on various factors including the age of receivables outstanding, historical trends, economic conditions and other information. We also review outstanding balances on an account-specific basis based on the credit risk of the customer. We determined that all of our accounts receivable share similar risk characteristics. We monitor our credit exposure on an ongoing basis and assess whether assets in the pool continue to display similar risk characteristics.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activity in our allowance for doubtful accounts for the years ended December 31:</w:t>
      </w:r>
    </w:p>
    <w:tbl>
      <w:tblPr>
        <w:tblW w:w="5277" w:type="dxa"/>
        <w:jc w:val="left"/>
        <w:tblInd w:w="0" w:type="dxa"/>
        <w:tblLayout w:type="fixed"/>
        <w:tblCellMar>
          <w:top w:w="28" w:type="dxa"/>
          <w:left w:w="28" w:type="dxa"/>
          <w:bottom w:w="28" w:type="dxa"/>
          <w:right w:w="28" w:type="dxa"/>
        </w:tblCellMar>
      </w:tblPr>
      <w:tblGrid>
        <w:gridCol w:w="918"/>
        <w:gridCol w:w="807"/>
        <w:gridCol w:w="810"/>
        <w:gridCol w:w="211"/>
        <w:gridCol w:w="361"/>
        <w:gridCol w:w="109"/>
        <w:gridCol w:w="109"/>
        <w:gridCol w:w="109"/>
        <w:gridCol w:w="109"/>
        <w:gridCol w:w="211"/>
        <w:gridCol w:w="361"/>
        <w:gridCol w:w="109"/>
        <w:gridCol w:w="109"/>
        <w:gridCol w:w="109"/>
        <w:gridCol w:w="109"/>
        <w:gridCol w:w="211"/>
        <w:gridCol w:w="36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expense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written-off</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Restricted Cash and Marketable Securities</w:t>
      </w:r>
    </w:p>
    <w:p>
      <w:pPr>
        <w:pStyle w:val="TextBody"/>
        <w:bidi w:val="0"/>
        <w:spacing w:lineRule="auto" w:line="288" w:before="100" w:after="283"/>
        <w:jc w:val="left"/>
        <w:rPr/>
      </w:pPr>
      <w:r>
        <w:rPr>
          <w:rFonts w:ascii="Times New Roman;sans-serif" w:hAnsi="Times New Roman;sans-serif"/>
          <w:b w:val="false"/>
          <w:color w:val="000000"/>
          <w:sz w:val="20"/>
        </w:rPr>
        <w:t xml:space="preserve">As of December 31, 2024 and 2023, we </w:t>
      </w:r>
      <w:r>
        <w:rPr>
          <w:rFonts w:ascii="Times New Roman;sans-serif" w:hAnsi="Times New Roman;sans-serif"/>
          <w:b w:val="false"/>
          <w:color w:val="000000"/>
          <w:sz w:val="20"/>
          <w:shd w:fill="FFFFFF" w:val="clear"/>
        </w:rPr>
        <w:t>had $208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$164 million, respectively, </w:t>
      </w:r>
      <w:r>
        <w:rPr>
          <w:rFonts w:ascii="Times New Roman;sans-serif" w:hAnsi="Times New Roman;sans-serif"/>
          <w:b w:val="false"/>
          <w:color w:val="000000"/>
          <w:sz w:val="20"/>
        </w:rPr>
        <w:t xml:space="preserve">of restricted cash and marketable securities, of which </w:t>
      </w:r>
      <w:r>
        <w:rPr>
          <w:rFonts w:ascii="Times New Roman;sans-serif" w:hAnsi="Times New Roman;sans-serif"/>
          <w:b w:val="false"/>
          <w:color w:val="000000"/>
          <w:sz w:val="20"/>
          <w:shd w:fill="FFFFFF" w:val="clear"/>
        </w:rPr>
        <w:t>$149 million and $121 million, respectively,</w:t>
      </w:r>
      <w:r>
        <w:rPr>
          <w:color w:val="000000"/>
        </w:rPr>
        <w:t xml:space="preserve"> </w:t>
      </w:r>
      <w:r>
        <w:rPr>
          <w:rFonts w:ascii="Times New Roman;sans-serif" w:hAnsi="Times New Roman;sans-serif"/>
          <w:b w:val="false"/>
          <w:color w:val="000000"/>
          <w:sz w:val="20"/>
        </w:rPr>
        <w:t>supports our insurance programs for workers' compensation, commercial general liability and commercial auto liability. Additionally, we obtain funds through the issuance of tax-exempt bonds for the purpose of financing qualifying expenditures at our landfills, transfer stations, collection and recycling centers. The funds are deposited directly into trust accounts by the bonding authorities at the time of issuance. As the use of these funds is contractually restricted, and we do not have the ability to use these funds for general operating purposes, they are classified as restricted cash and marketable securities in our consolidated balance sheets.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may be required to provide financial assurance to governmental agencies and a variety of other entities in connection with, among other things, municipal residential collection contracts, closure or post-closure of landfills, environmental remediation, environmental permits and business licenses and permits as a financial guarantee of our performance. At several of our landfills, we satisfy financial assurance requirements by depositing cash into restricted trust funds or escrow accounts.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Property and Equipment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 property and equipment at cost. Expenditures for major additions and improvements to facilities are capitalized, while maintenance and repairs are expensed as incurred. When property is retired or otherwise disposed, the related cost and accumulated depreciation are removed from the accounts and any resulting gain or loss is reflected in the consolidated statements of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revise the estimated useful lives of property and equipment acquired through business acquisitions to conform with our policies. We depreciate property and equipment over their estimated useful lives using the straight-line method. We assume no salvage value for our depreciable property and equipment. The estimated useful lives of our property and equipment are as follows:</w:t>
      </w:r>
    </w:p>
    <w:tbl>
      <w:tblPr>
        <w:tblW w:w="3554" w:type="dxa"/>
        <w:jc w:val="left"/>
        <w:tblInd w:w="0" w:type="dxa"/>
        <w:tblLayout w:type="fixed"/>
        <w:tblCellMar>
          <w:top w:w="28" w:type="dxa"/>
          <w:left w:w="28" w:type="dxa"/>
          <w:bottom w:w="28" w:type="dxa"/>
          <w:right w:w="28" w:type="dxa"/>
        </w:tblCellMar>
      </w:tblPr>
      <w:tblGrid>
        <w:gridCol w:w="896"/>
        <w:gridCol w:w="787"/>
        <w:gridCol w:w="791"/>
        <w:gridCol w:w="316"/>
        <w:gridCol w:w="316"/>
        <w:gridCol w:w="448"/>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5 - 30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5 - 20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equipment</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5 - 7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equipment</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3 - 25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3 - 10 years</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Landfill development costs also are included in property and equipment. Landfill development costs include direct costs incurred to obtain landfill permits and direct costs incurred to acquire, construct and develop sites, as well as final capping,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left"/>
        <w:rPr/>
      </w:pPr>
      <w:r>
        <w:rPr>
          <w:rFonts w:ascii="Times New Roman;sans-serif" w:hAnsi="Times New Roman;sans-serif"/>
          <w:b w:val="false"/>
          <w:color w:val="000000"/>
          <w:sz w:val="20"/>
        </w:rPr>
        <w:t xml:space="preserve">closure and post-closure assets. These costs are depleted or amortized based on consumed airspace. All indirect landfill development costs are expensed as incurred. For additional information, see Note 8, </w:t>
      </w:r>
      <w:r>
        <w:rPr>
          <w:rFonts w:ascii="Times New Roman;sans-serif" w:hAnsi="Times New Roman;sans-serif"/>
          <w:b w:val="false"/>
          <w:i/>
          <w:color w:val="000000"/>
          <w:sz w:val="20"/>
        </w:rPr>
        <w:t>Landfill and Environmental Costs</w:t>
      </w:r>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Capitalized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capitalize interest on all landfill cell construction and other construction or development projects. Interest is capitalized on qualified assets while they undergo activities to ready them for their intended use. Capitalization of interest ceases once an asset is placed into service or if construction activity is suspended for more than a brief period of time. Our interest capitalization rate is based on our weighted average cost of indebtedness. Interest capitalized was $11 million for the year ended December 31, 2024, $8 million for the year ended December 31, 2023 and $5 million for the year ended December 31, 2022.</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include cash and cash equivalents, restricted cash and marketable securities, interest rate hedges and other derivatives, long-term debt, contingent consideration arrangements and assets in our defined benefit pension plan.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Level 1 – inputs are based upon unadjusted quoted prices for identical instruments traded in active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pStyle w:val="TextBody"/>
        <w:bidi w:val="0"/>
        <w:spacing w:lineRule="auto" w:line="288" w:before="180" w:after="283"/>
        <w:jc w:val="left"/>
        <w:rPr/>
      </w:pPr>
      <w:r>
        <w:rPr>
          <w:rFonts w:ascii="Times New Roman;sans-serif" w:hAnsi="Times New Roman;sans-serif"/>
          <w:b w:val="false"/>
          <w:color w:val="000000"/>
          <w:sz w:val="20"/>
        </w:rPr>
        <w:t xml:space="preserve">See Note 18, </w:t>
      </w:r>
      <w:r>
        <w:rPr>
          <w:rFonts w:ascii="Times New Roman;sans-serif" w:hAnsi="Times New Roman;sans-serif"/>
          <w:b w:val="false"/>
          <w:i/>
          <w:color w:val="000000"/>
          <w:sz w:val="20"/>
        </w:rPr>
        <w:t>Financial Instruments,</w:t>
      </w:r>
      <w:r>
        <w:rPr>
          <w:color w:val="000000"/>
        </w:rPr>
        <w:t xml:space="preserve"> </w:t>
      </w:r>
      <w:r>
        <w:rPr>
          <w:rFonts w:ascii="Times New Roman;sans-serif" w:hAnsi="Times New Roman;sans-serif"/>
          <w:b w:val="false"/>
          <w:color w:val="000000"/>
          <w:sz w:val="20"/>
        </w:rPr>
        <w:t>for fair value disclosures related to our financial instruments.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Other Than Derivatives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other than derivatives primarily include money market funds, common stock, mutual funds, United States government and agency securities, municipal and corporate bonds and foreign government bonds. In general, and where applicable, we use quoted prices in active markets for identical assets or liabilities to determine fair value. This pricing methodology applies to our Level 1 investments, such as money market funds, common stock and certain mutual funds. If quoted prices in active markets for identical assets or liabilities are not available to determine fair value, then we use quoted prices for similar assets and liabilities or inputs other than the quoted prices that are observable either directly or indirectly. These investments are included in Level 2 and consist primarily of corporate bonds, foreign government bonds, real estate investment trusts and certain agency securities.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Landfill and Environmental Costs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Life Cycle Accounting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life-cycle accounting and the units-of-consumption method to recognize certain landfill costs over the life of the site. In life cycle accounting, all current and future capitalized costs to acquire and construct a site are calculated, and charged to expense based on the consumption of cubic yards of available airspace.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airspace estimates are developed at least annually by engineers. We use these estimates to adjust the rates we use to deplete capitalized costs. Changes in these estimates primarily relate to changes in cost estimates, available airspace, inflation and applicable regulations. Changes in available airspace include, but are not limited to, changes due to the addition of airspace attributable to probable expansion areas, airspace consumed and changes in engineering estimates.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Probable Expansion Airspace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classify landfill disposal capacity as either permitted (having received the final permit from the applicable regulatory agency) or as probable expansion airspace. Before airspace included in an expansion area is determined to be probable expansion airspace and, therefore, is included in our calculation of total available disposal capacity, all of the following criteria must be met: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own the land associated with the expansion airspace or control it pursuant to an option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committed to supporting the expansion project financially and with appropriate resources;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There are no identified fatal flaws or impediments associated with the project, including political impediments;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Progress is being made on the project;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expansion is attainable within a reasonable time frame;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believe it is likely the expansion permit will be received.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meeting our expansion criteria, the rates used at each applicable landfill to expense costs to acquire, construct, cap, close and maintain a site during the post-closure period are adjusted to include both the probable expansion airspace and the additional costs to be capitalized or accrued associated with that expansion airspace.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identified three steps that landfills generally follow to obtain expansion permits. These steps are as follows: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Obtaining approval from local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Submitting a permit application to state authorities;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Obtaining permit approval from state authorities.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monitor our progress toward obtaining permits for each of our sites with probable airspace. If we determine that a landfill expansion area no longer meets our criteria, the probable expansion airspace is removed from the landfill’s total available disposal capacity and the rates used at the landfill to deplete costs to acquire, construct, cap, close and maintain a site during the post-closure period are adjusted accordingly. In addition, any amounts capitalized for the probable expansion airspace are charged to expense in the period in which it is determined that the criteria are no longer met.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Capitalized Landfill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landfill costs include expenditures for land, permitting, cell construction and environmental structures. Capitalized permitting and cell construction costs are limited to direct costs relating to these activities, including legal, engineering and construction costs associated with excavation, natural and synthetic liners, construction of leachate collection systems, installation of methane gas collection and monitoring systems, installation of groundwater monitoring wells and other costs associated with the development of the site. Interest is capitalized on landfill construction projects while the assets are undergoing activities to ready them for their intended use. Capitalized landfill costs also include final capping, closure and post-closure assets and are depleted as airspace is consumed using the units-of-consumption method.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acquiring land, excluding the estimated residual value of unpermitted, non-buffer land, and costs related to permitting and cell construction are depleted as airspace is consumed using the units-of-consumption method.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landfill costs also may include an allocation of purchase price paid for landfills. For landfills purchased as part of a group of assets, the purchase price assigned to the landfill is determined based on the estimated fair value of the landfill. If the landfill meets our expansion criteria, the purchase price is further allocated between permitted airspace and expansion airspace based on the respective ratios to total available airspace. Landfill purchase price is depleted using the units-of-consumption method over the total available airspace, including probable expansion airspace, where appropriate.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Final Capping, Closure and Post-Closure Costs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Final capping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future obligations for final capping, closure and post-closure costs with respect to the landfills we own or operate as set forth in applicable landfill permits. The permit requirements are based on the Subtitle C and Subtitle D regulations of the Resource Conservation and Recovery Act, as implemented and applied on a state-by-state basis. We define final capping as activities required to permanently cover a portion of a landfill that has been completely filled with waste. Final capping typically includes installing flexible membrane and geosynthetic clay liners, drainage and compact soil layers and topsoil and is constructed over an area of the landfill where total available disposal capacity has been consumed and waste disposal operations have ceased. These final capping activities occur in phases as needed throughout the operating life of a landfill as specific areas are filled to capacity and the final elevation for that specific area is reached in accordance with the provisions of the operating permit. We consider final capping events to be discrete activities that are recognized as asset retirement obligations separately from other closure and post-closure obligations. As a result, we use a separate rate per ton for recognizing the principal amount of the liability and related asset associated with each capping event. We amortize the asset recorded pursuant to this approach as waste volume related to the capacity covered by the capping event is placed into the landfill based on the consumption of cubic yards of available airspace.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Closure and post-closure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Closure and post-closure activities occur after the entire landfill ceases to accept waste and closes. These activities involve methane gas control, leachate management and groundwater monitoring, surface water monitoring and control and other operational and maintenance activities that occur after the site ceases to accept waste. Obligations associated with monitoring and controlling methane gas migration and emissions are set forth in applicable landfill permits and these requirements are based on the provisions of the Clean Air Act. The post-closure period generally runs for 30 years after final site closure for municipal solid waste landfills and a shorter period for construction and demolition landfills and inert landfills. We recognize asset retirement obligations and the related amortization expense for closure and post-closure (excluding obligations for final capping) using the units-of-consumption method over the total remaining disposal capacity of the landfill, including probable expansion airspace, where appropriate.</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Estimated future expenditures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Estimates of future expenditures for final capping, closure and post-closure are developed at least annually by engineers. Management reviews these estimates and our operating and accounting personnel use them to adjust the rates used to capitalize and amortize these costs. These estimates involve projections of costs that will be incurred during the remaining life of the landfill for final capping activities, after the landfill ceases operations and during the legally required post-closure monitoring period. As of December 31, 2024, we had 125 closed landfills.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general, we engage third parties to perform most of our final capping, closure and post-closure activities. Accordingly, the fair value of these activities is based on quoted and actual prices paid for similar work. We also perform some of our final capping, closure and post-closure activities using internal resources. Where we expect internal resources to be used to fulfill an asset retirement obligation, we add a profit margin to the estimated cost of such services to better reflect their fair value. If we perform these services internally, the added profit margin is recognized as a component of operating income in the period the obligation is settled.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estimates of costs to discharge asset retirement obligations for landfills are developed in today’s dollars. These costs are inflated each year to reflect a normal escalation of prices up to the year they are expected to be paid. Our inflation rate was 2% for the year ended December 31, 2024, which was primarily based on the twenty-year historical moving average increase of the United States Core Consumer Price Index. Our inflation rate was 2% for each of the years ended December 31, 2023 and 2022, which was primarily based on the ten-year historical moving average increase of the United States Consumer Price Index. These estimated costs are then discounted to their present values using a credit-adjusted, risk-free interest rate.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assets retirement obligations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liability for an asset retirement obligation is recognized in the period in which it is incurred and is initially measured at fair value. The offset to the liability is capitalized as part of the carrying amount of the related long-lived asset. Changes in the liabilities due to revisions to estimated future cash flows are recognized by increasing or decreasing the liabilities with the offsets adjusting the carrying amounts of the related long-lived assets, and may also require immediate adjustments to amortization expense in the consolidated statements of income. Upward revisions in the amount of undiscounted estimated cash flows used to record a liability are discounted using the credit-adjusted, risk-free interest rate in effect at the time of the change. Downward revisions in the amount of undiscounted estimated cash flows used to record a liability are discounted using the credit-adjusted, risk-free rate that existed when the original liability was recognized.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 retirement obligations due to the passage of time are measured by recognizing accretion expense in a manner that results in a constant effective interest rate being applied to the average carrying amount of the liability. The effective interest rate used to calculate accretion expense is our credit-adjusted, risk-free interest rate in effect at the time the liabilities were recorded.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review our calculations with respect to landfill asset retirement obligations at least annually. If there is a significant change in the facts and circumstances related to a landfill during the year, we will review our calculations for the landfill as soon as practical after the change has occurred.</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Landfill operating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daily maintenance activities and environmental compliance during the operating life of the landfill are expensed as incurred. These costs include, among other things, leachate treatment and disposal, methane gas and groundwater monitoring and systems maintenance, interim cap maintenance, costs associated with the application of daily cover materials and the legal and administrative costs of ongoing environmental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Environmental Liabilities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and the legal costs related to these remediation efforts.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We accrue for costs associated with environmental remediation obligations when such costs are probable and reasonably estimable in accordance with accounting for loss contingencies. Changes in our liabilities are recognized currently in earnings in the period in which the adjustment is known. Adjustments to estimates are reasonably possible in the near term and may result in changes to recorded amounts. With the exception of those obligations assumed in certain business combinations, environmental obligations are recorded on an undiscounted basis.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and update our estimates of the likelihood of and future expenditures for remediation as necessary. We have not reduced the liabilities we have recorded for recoveries from other potentially responsible parties or insurance companies.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acquire businesses in the environmental services industry as part of our growth strategy. Businesses are included in the consolidated financial statements from the date of acquisition.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separately from goodwill, the identifiable assets acquired and liabilities assumed at their estimated acquisition-date fair values. We measure and recognize goodwill as of the acquisition date as the excess of: (1) the aggregate of the fair value of consideration transferred, the fair value of any non-controlling interest in the acquiree (if any) and the acquisition date fair value of our previously held equity interest in the acquiree (if any), over (2) the fair value of assets acquired and liabilities assumed. If information about facts and circumstances existing as of the acquisition date is incomplete by the end of the reporting period in which a business combination occurs, we report provisional amounts for the items for which the accounting is incomplete. The measurement or allocation period ends once we receive the information we are seeking; however, this period will generally not exceed one year from the acquisition date. Any material adjustments recognized during the measurement period will be reflected retrospectively in the consolidated financial statements of the subsequent period. We recognize third-party transaction-related costs as expense in the period in which they are incurred.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Goodwill and Other Intangible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goodwill for impairment annually as of October 1st, or when an indicator of impairment exists, at the reporting unit level. Our reporting units are our three field groups: Group 1, Group 2 and Group 3.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use both qualitative and quantitative approaches when testing goodwill for impairment. If, after assessing qualitative factors, we determine it is more likely than not that a reporting unit's goodwill is impaired, then we perform a quantitative test for that reporting unit. The quantitative impairment test for goodwill encompasses calculating a fair value of goodwill and comparing the fair value to its carrying value. If the carrying value exceeds the fair value, impairment is recognized for the difference.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1, 2024, we performed a qualitative assessment to evaluate circumstances and events impacting our reporting units to determine the likelihood of goodwill impairment. Examples of such events or circumstances include: (1) a significant adverse change in legal factors or in the business climate; (2) an adverse action or assessment by a regulator; (3) a more likely than not expectation that a reporting unit or a significant portion thereof will be sold; (4) continued or sustained losses at a reporting unit; (5) a significant decline in our market capitalization as compared to our book value; or (6) we conclude that we may not recover a significant asset group within the reporting unit. We determined it was more likely than not that the fair values of our reporting units exceeded their carrying amounts. No impairment losses were recorded for goodwill during the years ended December 31, 2024, 2023 or 2022.</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include values assigned to customer relationships, non-compete agreements and trade names and are amortized generally on a straight-line basis over periods ranging from 1 to 15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Asset Impairments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continually consider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and identifiable intangible assets. </w:t>
      </w:r>
    </w:p>
    <w:p>
      <w:pPr>
        <w:pStyle w:val="TextBody"/>
        <w:bidi w:val="0"/>
        <w:spacing w:lineRule="auto" w:line="288" w:before="100" w:after="283"/>
        <w:jc w:val="left"/>
        <w:rPr/>
      </w:pPr>
      <w:r>
        <w:rPr>
          <w:rFonts w:ascii="Times New Roman;sans-serif" w:hAnsi="Times New Roman;sans-serif"/>
          <w:b w:val="false"/>
          <w:color w:val="000000"/>
          <w:sz w:val="20"/>
        </w:rPr>
        <w:t>Events or changes in circumstances that may indicate that an asset may be impaired include the following:</w:t>
      </w:r>
      <w:r>
        <w:rPr>
          <w:color w:val="000000"/>
        </w:rPr>
        <w: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significant decrease in the market price of an asset or asset group;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significant adverse change in the extent or manner in which an asset or asset group is being used or in its physical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significant adverse change in legal factors or in the business climate that could affect the value of an asset or asset group, including an adverse action or assessment by a regulator;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 accumulation of costs significantly in excess of the amount originally expected for the acquisition or construction of a long-lived asset;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current period operating or cash flow loss combined with a history of operating or cash flow losses or a projection or forecast that demonstrates continuing losses associated with the use of a long-lived asset or asset group;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current expectation that, more likely than not, a long-lived asset or asset group will be sold or otherwise disposed of significantly before the end of its previously estimated useful life;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 impairment of goodwill at a reporting unit.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certain indicators listed above that require judgment and understanding of the environmental services industry when applied to landfill development or expansion.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environmental services industry.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indicators of impairment exist, the asset or asset group is reviewed to determine whether its recoverability is impaired. We assess the recoverability of the asset or asset group by comparing its carrying value to an estimate (or estimates) of its undiscounted future cash flows over its remaining life. If the estimated undiscounted cash flows are not sufficient to recover the carrying value of the asset or asset group, we measure an impairment loss as the amount by which the carrying amount of the asset exceeds its fair value. The loss is recorded in the consolidated statements of income in the period in which such impairment is identified. Estimating future cash flows requires significant judgment, and our projections of future cash flows and remaining useful lives may vary materially from actual results. No impairment losses were recorded for long-lived assets during the years ended December 31, 2024, 2023 or 2022.</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Insurance Reserves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insurance programs for workers' compensation, commercial general and auto liability, environmental and remediation liability and employee-related health care benefits are subject to high deductible insurance policies. Accruals for insurance reserves are based on claims filed and estimates of claims incurred but not reported. We consider our past claims experience, including both frequency and settlement amount of claims, in determining these estimates. It is possible that recorded reserves may not be adequate to fund the future payment of claims. Adjustments, if any, to estimates recorded resulting from ultimate claim payments will be reflected in the consolidated statements of income in the periods in which such adjustments are known. In general, our insurance reserves are recorded on an undiscounted basis; however, the insurance liabilities we assumed in business combinations are recorded at estimated fair value, and therefore have been discounted to present value based on our estimate of the timing of the related cash flows.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Contingent Liabilities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legal proceedings, claims and regulatory matters, the outcomes of which are subject to significant uncertainty. In general, we determine whether to disclose or accrue for loss contingencies based on an assessment of whether the risk of loss is remote, reasonably possible or probable, and whether it can be reasonably estimated. We assess our potential liability relating to litigation and regulatory matters based on information available to us. Management develops its assessment based on an analysis of possible outcomes under various strategies. We accrue for loss contingencies when such amounts are probable and reasonably estimable. If a contingent liability is only reasonably possible, we disclose the potential range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if estimable. Contingent liabilities recorded in purchase accounting are recorded at their fair values. These fair values may be different from the values we would have otherwise recorded, had the contingent liability not been assumed as part of an acquisition of a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is a component of stockholders’ equity and includes the amortization of our settled interest rate locks, certain adjustments to liabilities associated with our employee defined benefit pension plan liabilities, net of tax, and foreign currency translation adjustments.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provide services under contracts with municipalities or individual customers. Municipal and small-container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contracts are generally long-term and often have renewal options. Environmental solutions revenue may be billed in advance of the service being performed, such as the treatment or disposal of the waste. Advance billings are recorded as deferred revenue, and revenue is recognized over the period services are provided.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net of tax, when control is transferred to the customer, generally at the time we provide a service. Revenue is measured as the amount of consideration we expect to receive in exchange for providing a service. We make payments to certain of our customers, including payments to our municipal customers or commodity rebates to customers in our recycling business, which reduce the amount of revenue we recognize.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under the asset and liability method, which requires the recognition of deferred tax assets and liabilities for the expected future tax consequences of events that have been included in the financial statements. Under this method, we record deferred income taxes to reflect the effects of temporary differences between the carrying amounts of assets and liabilities and their tax bases using enacted tax rates that we expect to be in effect when the taxes are actually paid or recovered. The effect of a change in tax rates on deferred tax assets and liabilities is recognized in income in the period that includes the enactment date.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 net deferred tax assets to the extent we believe these assets will more likely than not be realized. In making these determinations, we consider all available positive and negative evidence, including scheduled reversals of deferred tax liabilities, tax planning strategies, projected future taxable income and recent financial operating results. The weight given to the positive and negative evidence is commensurate with the extent such evidence can be objectively verified. If we determine that we would be able to realize a deferred income tax asset in the future in excess of its net recorded amount, we would make an adjustment to the valuation allowance, which would reduce the provision for 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 uncertain tax positions in accordance with ASC 740. A tax benefit from an uncertain tax position may be recognized when it is more likely than not that the position will be sustained upon examination, including resolution of any related appeals or litigation processes, based on the technical merits. Income tax positions must meet a more-likely-than-not recognition threshold at the effective date to be recognized.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interest and penalties related to uncertain tax positions in the provision for income taxes in the accompanying consolidated statements of income. Accrued interest and penalties are included in other accrued liabilities, deferred income taxes and other long-term tax liabilities in the consolidated balance sheets.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the flow-through method to account for investment tax credits earned on eligible development expenditures. Under this method, the investment tax credits are recognized as a reduction to income tax expense in the year they are earned.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Share Repurchases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repurchases under our share repurchase authorization may be made through open market purchases or privately negotiated transactions at the current market prices. From time-to-time, we return treasury shares acquired through share repurchases to the status of authorized but unissued. Our accounting policy is to deduct the par value from common stock and to reflect any excess of cost over par value as a deduction from additional paid-in capital.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property and equipment in the ordinary course of business under various lease agreements. The most significant lease obligations are for real property and equipment specific to our industry, including property operated as a landfill or transfer station and operating equipment. Our leases have varying terms. Some may include renewal or purchase options, escalation clauses, restrictions, penalties or other obligations that we consider in determining minimum lease payments. Our lease terms include options to renew the lease when it is reasonably certain that we will exercise the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leases require payments that are variable in nature based on volume measurements, e.g. a fixed rate per ton at our landfills. In addition, certain rental payments are adjusted annually based on changes in an underlying base index such as a consumer price index. Variable lease payments are recognized in our consolidated statements of income in the period incurred. Our lease agreements do not contain any material residual value guarantees or material restrictive covenants. We generally account for lease components separately from non-lease components.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Leases are classified as either operating leases or finance leases, as appropriate. Leases with an initial term of 12 months or less are not recorded on our consolidated balance sheet.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leases are operating leases. Operating lease classification generally can be attributed to either (1) relatively low fixed minimum lease payments (including, for example, real property lease payments that are not fixed and vary based on the volume of material we receive or process), or (2) minimum lease terms that are shorter than the asset's economic useful life. We expect that, in the ordinary course of business, our operating leases will be renewed, replaced by other leases, or replaced with capital expenditures. We recognize rent expense for these leases on a straight-line basis over the lease term.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a right-of-use liability and right-of-use asset for leases classified as operating leases in our consolidated balance sheet upon lease commencement. The right-of-use liability represents the present value of the remaining lease payments. An implicit rate is often not readily available for these leases. As such, we use our incremental borrowing rate at the commencement date to determine the present value of the lease payments. Our incremental borrowing rate represents the rate of interest that we would have to pay to borrow on a collateralized basis over a similar term in a similar economic environment. In addition, we recognize a corresponding right-of-use asset, which represents our right to use an underlying asset for the lease term. The right-of-use asset is adjusted for certain favorable or unfavorable leases recognized through acquisition, prepaid or accrued rent, asset impairments and lease incentives, including but not limited to cash incentives, rent abatement or leasehold improvements paid by the lessor.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Finance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capitalize assets acquired under finance leases at lease commencement and amortize them to depreciation expense over the lesser of the useful life of the asset or the lease term on either a straight-line or a units-of-consumption basis, depending on the asset leased. We record the present value of the related lease payments as a debt obligation. Our finance lease liabilities relate primarily to real property, including certain long-term landfill operating agreements that require minimum lease payments with offsetting finance lease assets recorded as part of the landfill development costs.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Related Party Transactions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our policy that transactions with related parties must be on terms that, on the whole, are no less favorable than those that would be available from unaffiliated parties.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Accounting Standards Adopted</w:t>
      </w:r>
    </w:p>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Improvements to Reportable Segment Disclosures</w:t>
      </w:r>
    </w:p>
    <w:p>
      <w:pPr>
        <w:pStyle w:val="TextBody"/>
        <w:bidi w:val="0"/>
        <w:spacing w:lineRule="auto" w:line="288" w:before="100" w:after="283"/>
        <w:jc w:val="left"/>
        <w:rPr/>
      </w:pPr>
      <w:r>
        <w:rPr>
          <w:rFonts w:ascii="Times New Roman;sans-serif" w:hAnsi="Times New Roman;sans-serif"/>
          <w:b w:val="false"/>
          <w:color w:val="000000"/>
          <w:sz w:val="20"/>
        </w:rPr>
        <w:t xml:space="preserve">In November 2023, the FASB issued ASU 2023-07, Segment Reporting (Topic 280): </w:t>
      </w: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color w:val="000000"/>
          <w:sz w:val="20"/>
        </w:rPr>
        <w:t>(ASU 2023-07)</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ASU 2023-07 amends the reportable segment disclosure requirements, primarily through enhanced disclosures about significant segment expenses. The Company adopted ASU 2023-07 in this Annual Report on Form 10-K and will adopt the interim disclosures in the first quarter of 2025. ASU 2023-07 was adopted retrospectively to all periods presented in the financial statements. The adoption of this standard did not have a material impact on our consolidated financial statements. See Note 15,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xml:space="preserve">, for additional information and detailed disclosures prepared in accordance with ASU 2023-07.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Accounting Standards Updates Issued but not yet Adopted as of December 31, 2024</w:t>
      </w:r>
    </w:p>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Income Statement Expenses</w:t>
      </w:r>
    </w:p>
    <w:p>
      <w:pPr>
        <w:pStyle w:val="TextBody"/>
        <w:bidi w:val="0"/>
        <w:spacing w:lineRule="auto" w:line="288" w:before="100" w:after="283"/>
        <w:jc w:val="left"/>
        <w:rPr/>
      </w:pPr>
      <w:r>
        <w:rPr>
          <w:rFonts w:ascii="Times New Roman;sans-serif" w:hAnsi="Times New Roman;sans-serif"/>
          <w:b w:val="false"/>
          <w:color w:val="000000"/>
          <w:sz w:val="20"/>
        </w:rPr>
        <w:t xml:space="preserve">In November 2024, the Financial Accounting Standards Board (FASB) issued Accounting Standard Update No. 2024-03, Income Statement – Reporting Comprehensive Income – Expense Disaggregation Disclosures (Subtopic 220-40): </w:t>
      </w:r>
      <w:r>
        <w:rPr>
          <w:rFonts w:ascii="Times New Roman;sans-serif" w:hAnsi="Times New Roman;sans-serif"/>
          <w:b w:val="false"/>
          <w:i/>
          <w:color w:val="000000"/>
          <w:sz w:val="20"/>
        </w:rPr>
        <w:t xml:space="preserve">Disaggregation of Income Statement Expenses </w:t>
      </w:r>
      <w:r>
        <w:rPr>
          <w:rFonts w:ascii="Times New Roman;sans-serif" w:hAnsi="Times New Roman;sans-serif"/>
          <w:b w:val="false"/>
          <w:color w:val="000000"/>
          <w:sz w:val="20"/>
        </w:rPr>
        <w:t xml:space="preserve">(ASU 2024-03). ASU 2024-03 requires an entity to disclose the amount of purchases of inventory, employee compensation, depreciation, and intangible asset amortization included in each relevant expense caption. It also requires an entity to include certain amounts that are already required to be disclosed under GAAP in the same disclosure. Additionally, it requires an entity to disclose a qualitative description of the amounts remaining in relevant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captions that are not separately disaggregated quantitatively, and to disclose the total amount of selling expenses and, in annual reporting periods, an entity’s definition of selling expenses. The amendments in ASU 2024-03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Company is currently evaluating the impact of the rules on its future consolidated financial statements.</w:t>
      </w:r>
    </w:p>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Climate-Related Disclosures</w:t>
      </w:r>
    </w:p>
    <w:p>
      <w:pPr>
        <w:pStyle w:val="TextBody"/>
        <w:bidi w:val="0"/>
        <w:spacing w:lineRule="auto" w:line="288" w:before="100" w:after="283"/>
        <w:jc w:val="left"/>
        <w:rPr/>
      </w:pPr>
      <w:r>
        <w:rPr>
          <w:rFonts w:ascii="Times New Roman;sans-serif" w:hAnsi="Times New Roman;sans-serif"/>
          <w:b w:val="false"/>
          <w:color w:val="000000"/>
          <w:sz w:val="20"/>
        </w:rPr>
        <w:t xml:space="preserve">In March 2024, the SEC adopted Final Rule 33-11275 and 34-99678 - </w:t>
      </w:r>
      <w:r>
        <w:rPr>
          <w:rFonts w:ascii="Times New Roman;sans-serif" w:hAnsi="Times New Roman;sans-serif"/>
          <w:b w:val="false"/>
          <w:i/>
          <w:color w:val="000000"/>
          <w:sz w:val="20"/>
        </w:rPr>
        <w:t>The Enhancement and Standardization of Climate-Related Disclosures for Investors</w:t>
      </w:r>
      <w:r>
        <w:rPr>
          <w:rFonts w:ascii="Times New Roman;sans-serif" w:hAnsi="Times New Roman;sans-serif"/>
          <w:b w:val="false"/>
          <w:color w:val="000000"/>
          <w:sz w:val="20"/>
        </w:rPr>
        <w:t>. The rules require registrants to provide standardized disclosures related to material climate-related risks, governance and risk management strategies, and the financial impact of severe weather events and material Scope 1 and 2 greenhouse gas emissions. The rules require implementation in phases between 2025 and 2033. In April 2024, the SEC announced that it would voluntarily stay these rules pending judicial review. The Company is currently evaluating the impact of the rules on its future consolidated financial statements.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Improvements to Income Tax Disclosures</w:t>
      </w:r>
    </w:p>
    <w:p>
      <w:pPr>
        <w:pStyle w:val="TextBody"/>
        <w:bidi w:val="0"/>
        <w:spacing w:lineRule="auto" w:line="288" w:before="100" w:after="283"/>
        <w:jc w:val="left"/>
        <w:rPr/>
      </w:pPr>
      <w:r>
        <w:rPr>
          <w:rFonts w:ascii="Times New Roman;sans-serif" w:hAnsi="Times New Roman;sans-serif"/>
          <w:b w:val="false"/>
          <w:color w:val="000000"/>
          <w:sz w:val="20"/>
        </w:rPr>
        <w:t xml:space="preserve">In December 2023, the FASB issued ASU 2023-09, Income Taxes (Topic 740):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 xml:space="preserve">(ASU 2023-09). ASU 2023-09 requires entities to provide additional information in the rate reconciliation and additional disclosures about income taxes paid. The amendments in this update are effective for fiscal years beginning after December 15, 2024. We are currently assessing the effect this guidance may have on our consolidated financial statements.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Codification Amendments in Response to the SEC's Disclosure Update and Simplification Initiative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FASB issued ASU 2023-06 to modify the disclosure or presentation requirements of a variety of topics, which will allow users to more easily compare entities subject to the SEC's existing disclosures with those entities that were not previously subject to the SEC's requirements, and to align the requirements in the FASB accounting standard codification with the SEC's regulations. The effective date for each topic's amendment will be the date on which the SEC's removal of the topic's related disclosure from Regulation S-X or Regulation S-K becomes effective, with early adoption prohibited. The Company is currently evaluating the amendments and the impact on its future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3.BUSINESS ACQUISITIONS, INVESTMENTS AND RESTRUCTURING CHARGES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acquired various environmental services businesses during the years ended December 31, 2024 and 2023. The purchase price paid for these business acquisitions and the allocations of the purchase price follows:</w:t>
      </w:r>
    </w:p>
    <w:tbl>
      <w:tblPr>
        <w:tblW w:w="8401" w:type="dxa"/>
        <w:jc w:val="left"/>
        <w:tblInd w:w="0" w:type="dxa"/>
        <w:tblLayout w:type="fixed"/>
        <w:tblCellMar>
          <w:top w:w="28" w:type="dxa"/>
          <w:left w:w="28" w:type="dxa"/>
          <w:bottom w:w="28" w:type="dxa"/>
          <w:right w:w="28" w:type="dxa"/>
        </w:tblCellMar>
      </w:tblPr>
      <w:tblGrid>
        <w:gridCol w:w="2223"/>
        <w:gridCol w:w="1959"/>
        <w:gridCol w:w="1968"/>
        <w:gridCol w:w="211"/>
        <w:gridCol w:w="466"/>
        <w:gridCol w:w="109"/>
        <w:gridCol w:w="109"/>
        <w:gridCol w:w="109"/>
        <w:gridCol w:w="109"/>
        <w:gridCol w:w="211"/>
        <w:gridCol w:w="616"/>
        <w:gridCol w:w="311"/>
      </w:tblGrid>
      <w:tr>
        <w:trPr/>
        <w:tc>
          <w:tcPr>
            <w:tcW w:w="222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acquisitions, net of cash acquired of $1 and $23,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Holdbacks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future minimum lease payments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Allocated as follows: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Landfill development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lease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Parts and supplies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remediation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Closure and post-closure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lease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tangible assets acquired and liabilities assumed</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purchase price to be allocated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purchase price allocated as follows:</w:t>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allocated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Certain of the purchase price allocations are preliminary and based on information existing at the acquisition dates. Accordingly, the purchase price allocations are subject to change. For the acquisitions that closed during 2024, we expect that a majority of the goodwill and intangible assets recognized as a result of these acquisitions will be deductible for tax purposes. </w:t>
      </w:r>
    </w:p>
    <w:p>
      <w:pPr>
        <w:pStyle w:val="TextBody"/>
        <w:bidi w:val="0"/>
        <w:spacing w:lineRule="auto" w:line="288" w:before="1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acquisitions are not material to the Company's results of operations, individually or in the aggregate. As a result, no pro forma financial information is provided.</w:t>
      </w:r>
    </w:p>
    <w:p>
      <w:pPr>
        <w:pStyle w:val="TextBody"/>
        <w:bidi w:val="0"/>
        <w:spacing w:lineRule="auto" w:line="288" w:before="1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February 2025, we acquired all of the issued and outstanding shares of COP Shamrock Parent, Inc. (Shamrock). Shamrock is a leading provider of environmental solutions offering industrial waste and wastewater treatment services. Shamrock’s environmental solutions operations are primarily located in the northeastern and southeastern United States and provide us with a platform to pursue additional growth in our environmental solutions line of business.</w:t>
      </w:r>
    </w:p>
    <w:p>
      <w:pPr>
        <w:pStyle w:val="TextBody"/>
        <w:bidi w:val="0"/>
        <w:spacing w:lineRule="auto" w:line="288" w:before="1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February 13, 2025, we paid approximately $700 million for acquisitions that closed through that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In 2024 and 2023, we acquired non-controlling equity interests in certain limited liability companies that qualified for investment tax credits under Section 48 of the Internal Revenue Code. We account for these investments under the equity method of accounting utilizing the Hypothetical Liquidation at Book Value (HLBV) method. In exchange for our non-controlling interests, we made capital contributions of approximately $236 million and $222 million, which were recorded to other assets in our December 31, 2024 and 2023 consolidated balance sheets, respectively. During 2024 and 2023, we decreased the carrying value of these investments by approximately </w:t>
      </w:r>
      <w:r>
        <w:rPr>
          <w:rFonts w:ascii="Times New Roman;sans-serif" w:hAnsi="Times New Roman;sans-serif"/>
          <w:b w:val="false"/>
          <w:color w:val="000000"/>
          <w:sz w:val="20"/>
        </w:rPr>
        <w:t>$254 million</w:t>
      </w:r>
      <w:r>
        <w:rPr>
          <w:color w:val="000000"/>
          <w:shd w:fill="FFFFFF" w:val="clear"/>
        </w:rPr>
        <w:t xml:space="preserve"> </w:t>
      </w:r>
      <w:r>
        <w:rPr>
          <w:rFonts w:ascii="Times New Roman;sans-serif" w:hAnsi="Times New Roman;sans-serif"/>
          <w:b w:val="false"/>
          <w:color w:val="000000"/>
          <w:sz w:val="20"/>
          <w:shd w:fill="FFFFFF" w:val="clear"/>
        </w:rPr>
        <w:t>and $102 million, respectively, as a result of cash distributions and our share of income and loss pursuant to the terms of the limited liability company agreements. Additionally, our tax provisions reflect benefits of approximately $222 million and $87 million for the years end December 31, 2024 and 2023, respectively, due to the tax credits related to these investments.</w:t>
      </w:r>
      <w:r>
        <w:rPr>
          <w:color w:val="000000"/>
        </w:rPr>
        <w:t xml:space="preserve"> </w:t>
      </w:r>
      <w:r>
        <w:rPr>
          <w:rFonts w:ascii="Times New Roman;sans-serif" w:hAnsi="Times New Roman;sans-serif"/>
          <w:b w:val="false"/>
          <w:color w:val="000000"/>
          <w:sz w:val="20"/>
          <w:shd w:fill="FFFFFF" w:val="clear"/>
        </w:rPr>
        <w:t xml:space="preserve">For further discussion of the income tax benefits, refer to Note 11, </w:t>
      </w:r>
      <w:r>
        <w:rPr>
          <w:rFonts w:ascii="Times New Roman;sans-serif" w:hAnsi="Times New Roman;sans-serif"/>
          <w:b w:val="false"/>
          <w:i/>
          <w:color w:val="000000"/>
          <w:sz w:val="20"/>
          <w:shd w:fill="FFFFFF" w:val="clear"/>
        </w:rPr>
        <w:t xml:space="preserve">Income Taxes, </w:t>
      </w:r>
      <w:r>
        <w:rPr>
          <w:rFonts w:ascii="Times New Roman;sans-serif" w:hAnsi="Times New Roman;sans-serif"/>
          <w:b w:val="false"/>
          <w:color w:val="000000"/>
          <w:sz w:val="20"/>
          <w:shd w:fill="FFFFFF" w:val="clear"/>
        </w:rPr>
        <w:t xml:space="preserve">in Part II, Item 8 of this Annual Report on Form 10-K for the year ended December 31, 2024. </w:t>
      </w:r>
    </w:p>
    <w:p>
      <w:pPr>
        <w:pStyle w:val="TextBody"/>
        <w:bidi w:val="0"/>
        <w:spacing w:lineRule="auto" w:line="288" w:before="100" w:after="283"/>
        <w:jc w:val="left"/>
        <w:rPr/>
      </w:pPr>
      <w:r>
        <w:rPr>
          <w:rFonts w:ascii="Times New Roman;sans-serif" w:hAnsi="Times New Roman;sans-serif"/>
          <w:b w:val="false"/>
          <w:color w:val="000000"/>
          <w:sz w:val="20"/>
        </w:rPr>
        <w:t>In 2024, we acquired a non-controlling equity interest in a joint venture with a landfill gas-to-energy developer to construct a number of renewable natural gas projects at certain of our landfill locations in Illinois. During the year ended December 31, 2024, we invested $35 million in the joint venture. Additionally, our tax provision reflects a benefit of approximately $8 million for the year ended</w:t>
      </w:r>
      <w:r>
        <w:rPr>
          <w:color w:val="000000"/>
          <w:shd w:fill="FFFFFF" w:val="clear"/>
        </w:rPr>
        <w:t xml:space="preserve"> </w:t>
      </w:r>
      <w:r>
        <w:rPr>
          <w:rFonts w:ascii="Times New Roman;sans-serif" w:hAnsi="Times New Roman;sans-serif"/>
          <w:b w:val="false"/>
          <w:color w:val="000000"/>
          <w:sz w:val="20"/>
          <w:shd w:fill="FFFFFF" w:val="clear"/>
        </w:rPr>
        <w:t>December 31, 2024 related to these qualified investments in renewable natural gas projects</w:t>
      </w:r>
      <w:r>
        <w:rPr>
          <w:rFonts w:ascii="Times New Roman;sans-serif" w:hAnsi="Times New Roman;sans-serif"/>
          <w:b w:val="false"/>
          <w:color w:val="000000"/>
          <w:sz w:val="20"/>
        </w:rPr>
        <w:t>. This investment is an unconsolidated variable interest entity (VIE) for which we do not have the power to direct the significant activities of the business, and it is accounted for under the equity method of accounting. Our risk of loss is materially consistent with our contributions to-date.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2024, we acquired a non-controlling equity interest in a thermal processing facility that treats and recycles contaminated soil, hazardous and non-hazardous waste, and contaminated water to expand our environmental services offerings in Canada. During the year ended December 31, 2024 we invested $27 million in the joint venture. The investment is accounted for under the equity method of accounting.</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we acquired a non-controlling equity interest in a joint venture with a landfill gas-to-energy developer to construct a number of renewable natural gas projects at our landfills across the United States. Certain of these investments qualified for investment tax credits under Section 48 of the Internal Revenue Code. As of December 31, 2024 and 2023, we had invested approximately $270 million and $170 million, respectively, in the joint venture. </w:t>
      </w:r>
      <w:r>
        <w:rPr>
          <w:rFonts w:ascii="Times New Roman;sans-serif" w:hAnsi="Times New Roman;sans-serif"/>
          <w:b w:val="false"/>
          <w:color w:val="000000"/>
          <w:sz w:val="20"/>
        </w:rPr>
        <w:t>During the years ended December 31, 2024, 2023 and 2022,</w:t>
      </w:r>
      <w:r>
        <w:rPr>
          <w:color w:val="000000"/>
          <w:shd w:fill="FFFFFF" w:val="clear"/>
        </w:rPr>
        <w:t xml:space="preserve"> </w:t>
      </w:r>
      <w:r>
        <w:rPr>
          <w:rFonts w:ascii="Times New Roman;sans-serif" w:hAnsi="Times New Roman;sans-serif"/>
          <w:b w:val="false"/>
          <w:color w:val="000000"/>
          <w:sz w:val="20"/>
          <w:shd w:fill="FFFFFF" w:val="clear"/>
        </w:rPr>
        <w:t xml:space="preserve">we contributed </w:t>
      </w:r>
      <w:r>
        <w:rPr>
          <w:rFonts w:ascii="Times New Roman;sans-serif" w:hAnsi="Times New Roman;sans-serif"/>
          <w:b w:val="false"/>
          <w:color w:val="000000"/>
          <w:sz w:val="20"/>
        </w:rPr>
        <w:t>$98 million, $68 million and $137 million, respectively, in the joint venture. Additionally, our tax provision reflects a benefit of approximately $6 million for the year ended</w:t>
      </w:r>
      <w:r>
        <w:rPr>
          <w:color w:val="000000"/>
          <w:shd w:fill="FFFFFF" w:val="clear"/>
        </w:rPr>
        <w:t xml:space="preserve"> </w:t>
      </w:r>
      <w:r>
        <w:rPr>
          <w:rFonts w:ascii="Times New Roman;sans-serif" w:hAnsi="Times New Roman;sans-serif"/>
          <w:b w:val="false"/>
          <w:color w:val="000000"/>
          <w:sz w:val="20"/>
          <w:shd w:fill="FFFFFF" w:val="clear"/>
        </w:rPr>
        <w:t>December 31, 2024 related to these qualified investments in renewable natural gas projects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investment is accounted for under the equity method of accounting.</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we acquired a non-controlling equity interest in a joint venture with Ravago, Blue Polymers, LLC, intended to help create vertical integration in the recycling market, and to further advance circularity by acquiring all olefins produced by the Company's Polymer Centers and produce custom blended pellets for food-grade and non-food-grade packaging. As of December 31, 2024 and 2023, we had invested approximately </w:t>
      </w:r>
      <w:r>
        <w:rPr>
          <w:rFonts w:ascii="Times New Roman;sans-serif" w:hAnsi="Times New Roman;sans-serif"/>
          <w:b w:val="false"/>
          <w:color w:val="000000"/>
          <w:sz w:val="20"/>
        </w:rPr>
        <w:t>$55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$19 million, respectively, in the joint venture. During the years ended December 31, 2024, 2023 and 2022, </w:t>
      </w:r>
      <w:r>
        <w:rPr>
          <w:rFonts w:ascii="Times New Roman;sans-serif" w:hAnsi="Times New Roman;sans-serif"/>
          <w:b w:val="false"/>
          <w:color w:val="000000"/>
          <w:sz w:val="20"/>
          <w:shd w:fill="FFFFFF" w:val="clear"/>
        </w:rPr>
        <w:t xml:space="preserve">we contributed </w:t>
      </w:r>
      <w:r>
        <w:rPr>
          <w:rFonts w:ascii="Times New Roman;sans-serif" w:hAnsi="Times New Roman;sans-serif"/>
          <w:b w:val="false"/>
          <w:color w:val="000000"/>
          <w:sz w:val="20"/>
        </w:rPr>
        <w:t>$38 million, $9 million and $10 million, respectively, in the joint venture. This investment is an unconsolidated variable interest entity (VIE) for which we do not have the power to direct the significant activities of the business, and it is accounted for under the equity method of accounting. Our risk of loss is materially consistent with our contributions to-date.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Restructuring Charges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2024, 2023 and 2022 we incurred restructuring charges of $29 million, $33 million, $27 million, respectively. The 2024 charges primarily related to the redesign of our asset management, and customer and order management software systems. Of the 2023 charges, $9 million related to early termination of certain leases and $24 million related to the redesign of our asset management, and customer and order management software systems. The 2022 charges primarily related to the redesign of our general ledger, budgeting and procurement enterprise resource planning systems. We paid $25 million, $39 million, and $20 million during 2024, 2023 and 2022, respectively, related to these restructuring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4.PROPERTY AND EQUIPMENT, NET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property and equipment, net as of December 31 follows:</w:t>
      </w:r>
    </w:p>
    <w:tbl>
      <w:tblPr>
        <w:tblW w:w="7433" w:type="dxa"/>
        <w:jc w:val="left"/>
        <w:tblInd w:w="0" w:type="dxa"/>
        <w:tblLayout w:type="fixed"/>
        <w:tblCellMar>
          <w:top w:w="28" w:type="dxa"/>
          <w:left w:w="28" w:type="dxa"/>
          <w:bottom w:w="28" w:type="dxa"/>
          <w:right w:w="28" w:type="dxa"/>
        </w:tblCellMar>
      </w:tblPr>
      <w:tblGrid>
        <w:gridCol w:w="1800"/>
        <w:gridCol w:w="1584"/>
        <w:gridCol w:w="1595"/>
        <w:gridCol w:w="211"/>
        <w:gridCol w:w="721"/>
        <w:gridCol w:w="109"/>
        <w:gridCol w:w="109"/>
        <w:gridCol w:w="109"/>
        <w:gridCol w:w="109"/>
        <w:gridCol w:w="211"/>
        <w:gridCol w:w="721"/>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 landfill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depletion and amortization</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development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and amortization of property and equipment was $1,517 million, $1,368 million and $1,246 million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5.GOODWILL AND OTHER INTANGIBLE ASSETS, NET</w:t>
      </w:r>
    </w:p>
    <w:p>
      <w:pPr>
        <w:pStyle w:val="TextBody"/>
        <w:bidi w:val="0"/>
        <w:spacing w:lineRule="auto" w:line="288" w:before="180" w:after="100"/>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activity and balances in goodwill accounts by reporting segment follows:</w:t>
      </w:r>
    </w:p>
    <w:tbl>
      <w:tblPr>
        <w:tblW w:w="10205" w:type="dxa"/>
        <w:jc w:val="left"/>
        <w:tblInd w:w="0" w:type="dxa"/>
        <w:tblLayout w:type="fixed"/>
        <w:tblCellMar>
          <w:top w:w="28" w:type="dxa"/>
          <w:left w:w="28" w:type="dxa"/>
          <w:bottom w:w="28" w:type="dxa"/>
          <w:right w:w="28" w:type="dxa"/>
        </w:tblCellMar>
      </w:tblPr>
      <w:tblGrid>
        <w:gridCol w:w="269"/>
        <w:gridCol w:w="236"/>
        <w:gridCol w:w="238"/>
        <w:gridCol w:w="482"/>
        <w:gridCol w:w="1649"/>
        <w:gridCol w:w="248"/>
        <w:gridCol w:w="109"/>
        <w:gridCol w:w="109"/>
        <w:gridCol w:w="109"/>
        <w:gridCol w:w="306"/>
        <w:gridCol w:w="676"/>
        <w:gridCol w:w="159"/>
        <w:gridCol w:w="109"/>
        <w:gridCol w:w="109"/>
        <w:gridCol w:w="109"/>
        <w:gridCol w:w="314"/>
        <w:gridCol w:w="604"/>
        <w:gridCol w:w="163"/>
        <w:gridCol w:w="109"/>
        <w:gridCol w:w="109"/>
        <w:gridCol w:w="109"/>
        <w:gridCol w:w="341"/>
        <w:gridCol w:w="608"/>
        <w:gridCol w:w="177"/>
        <w:gridCol w:w="109"/>
        <w:gridCol w:w="109"/>
        <w:gridCol w:w="109"/>
        <w:gridCol w:w="470"/>
        <w:gridCol w:w="1610"/>
        <w:gridCol w:w="347"/>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Group 1</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Group 2</w:t>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Group 3</w:t>
            </w:r>
          </w:p>
        </w:tc>
        <w:tc>
          <w:tcPr>
            <w:tcW w:w="2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15,982 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9"/>
        <w:gridCol w:w="236"/>
        <w:gridCol w:w="238"/>
        <w:gridCol w:w="482"/>
        <w:gridCol w:w="1649"/>
        <w:gridCol w:w="248"/>
        <w:gridCol w:w="109"/>
        <w:gridCol w:w="109"/>
        <w:gridCol w:w="109"/>
        <w:gridCol w:w="257"/>
        <w:gridCol w:w="750"/>
        <w:gridCol w:w="134"/>
        <w:gridCol w:w="109"/>
        <w:gridCol w:w="109"/>
        <w:gridCol w:w="109"/>
        <w:gridCol w:w="314"/>
        <w:gridCol w:w="604"/>
        <w:gridCol w:w="163"/>
        <w:gridCol w:w="109"/>
        <w:gridCol w:w="109"/>
        <w:gridCol w:w="109"/>
        <w:gridCol w:w="302"/>
        <w:gridCol w:w="667"/>
        <w:gridCol w:w="157"/>
        <w:gridCol w:w="109"/>
        <w:gridCol w:w="109"/>
        <w:gridCol w:w="109"/>
        <w:gridCol w:w="470"/>
        <w:gridCol w:w="1610"/>
        <w:gridCol w:w="347"/>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Group 1</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Group 2</w:t>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Group 3</w:t>
            </w:r>
          </w:p>
        </w:tc>
        <w:tc>
          <w:tcPr>
            <w:tcW w:w="2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14,451 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20"/>
        </w:rPr>
        <w:t xml:space="preserve">Adjustments to acquisitions during the year ended December 31, 2024 primarily related to changes in our valuation of property, plant and equipment and customer list intangible assets acquired as a result of obtaining new information regarding the acquisitions that closed in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Adjustments to acquisitions during the year ended December 31, 2023 primarily related to changes in our valuation of tangible assets acquired and certain environmental liabilities assumed in connection with our acquisition of US Ecology.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Other Intangible Assets, Net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 includes values assigned to customer relationships, non-compete agreements and trade names, and are amortized over periods ranging from 1 to 15 years. A summary of the activity and balances by intangible asset type follows:</w:t>
      </w:r>
    </w:p>
    <w:tbl>
      <w:tblPr>
        <w:tblW w:w="11371" w:type="dxa"/>
        <w:jc w:val="left"/>
        <w:tblInd w:w="0" w:type="dxa"/>
        <w:tblLayout w:type="fixed"/>
        <w:tblCellMar>
          <w:top w:w="28" w:type="dxa"/>
          <w:left w:w="28" w:type="dxa"/>
          <w:bottom w:w="28" w:type="dxa"/>
          <w:right w:w="28" w:type="dxa"/>
        </w:tblCellMar>
      </w:tblPr>
      <w:tblGrid>
        <w:gridCol w:w="326"/>
        <w:gridCol w:w="287"/>
        <w:gridCol w:w="288"/>
        <w:gridCol w:w="218"/>
        <w:gridCol w:w="470"/>
        <w:gridCol w:w="123"/>
        <w:gridCol w:w="109"/>
        <w:gridCol w:w="109"/>
        <w:gridCol w:w="109"/>
        <w:gridCol w:w="296"/>
        <w:gridCol w:w="500"/>
        <w:gridCol w:w="165"/>
        <w:gridCol w:w="109"/>
        <w:gridCol w:w="109"/>
        <w:gridCol w:w="109"/>
        <w:gridCol w:w="296"/>
        <w:gridCol w:w="500"/>
        <w:gridCol w:w="165"/>
        <w:gridCol w:w="109"/>
        <w:gridCol w:w="109"/>
        <w:gridCol w:w="109"/>
        <w:gridCol w:w="218"/>
        <w:gridCol w:w="470"/>
        <w:gridCol w:w="123"/>
        <w:gridCol w:w="109"/>
        <w:gridCol w:w="109"/>
        <w:gridCol w:w="109"/>
        <w:gridCol w:w="214"/>
        <w:gridCol w:w="477"/>
        <w:gridCol w:w="120"/>
        <w:gridCol w:w="109"/>
        <w:gridCol w:w="109"/>
        <w:gridCol w:w="109"/>
        <w:gridCol w:w="262"/>
        <w:gridCol w:w="462"/>
        <w:gridCol w:w="147"/>
        <w:gridCol w:w="109"/>
        <w:gridCol w:w="109"/>
        <w:gridCol w:w="109"/>
        <w:gridCol w:w="296"/>
        <w:gridCol w:w="500"/>
        <w:gridCol w:w="165"/>
        <w:gridCol w:w="109"/>
        <w:gridCol w:w="109"/>
        <w:gridCol w:w="109"/>
        <w:gridCol w:w="214"/>
        <w:gridCol w:w="477"/>
        <w:gridCol w:w="120"/>
        <w:gridCol w:w="109"/>
        <w:gridCol w:w="109"/>
        <w:gridCol w:w="109"/>
        <w:gridCol w:w="217"/>
        <w:gridCol w:w="467"/>
        <w:gridCol w:w="172"/>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 as of December 31, 2024</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Adjustments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Additions</w:t>
              <w:br/>
              <w:t>Charged</w:t>
              <w:br/>
              <w:t>to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Adjustments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intangible assets </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21" w:type="dxa"/>
        <w:jc w:val="left"/>
        <w:tblInd w:w="0" w:type="dxa"/>
        <w:tblLayout w:type="fixed"/>
        <w:tblCellMar>
          <w:top w:w="28" w:type="dxa"/>
          <w:left w:w="28" w:type="dxa"/>
          <w:bottom w:w="28" w:type="dxa"/>
          <w:right w:w="28" w:type="dxa"/>
        </w:tblCellMar>
      </w:tblPr>
      <w:tblGrid>
        <w:gridCol w:w="326"/>
        <w:gridCol w:w="287"/>
        <w:gridCol w:w="288"/>
        <w:gridCol w:w="196"/>
        <w:gridCol w:w="556"/>
        <w:gridCol w:w="109"/>
        <w:gridCol w:w="109"/>
        <w:gridCol w:w="109"/>
        <w:gridCol w:w="109"/>
        <w:gridCol w:w="259"/>
        <w:gridCol w:w="557"/>
        <w:gridCol w:w="145"/>
        <w:gridCol w:w="109"/>
        <w:gridCol w:w="109"/>
        <w:gridCol w:w="109"/>
        <w:gridCol w:w="254"/>
        <w:gridCol w:w="565"/>
        <w:gridCol w:w="142"/>
        <w:gridCol w:w="109"/>
        <w:gridCol w:w="109"/>
        <w:gridCol w:w="109"/>
        <w:gridCol w:w="218"/>
        <w:gridCol w:w="470"/>
        <w:gridCol w:w="123"/>
        <w:gridCol w:w="109"/>
        <w:gridCol w:w="109"/>
        <w:gridCol w:w="109"/>
        <w:gridCol w:w="214"/>
        <w:gridCol w:w="477"/>
        <w:gridCol w:w="120"/>
        <w:gridCol w:w="109"/>
        <w:gridCol w:w="109"/>
        <w:gridCol w:w="109"/>
        <w:gridCol w:w="262"/>
        <w:gridCol w:w="462"/>
        <w:gridCol w:w="147"/>
        <w:gridCol w:w="109"/>
        <w:gridCol w:w="109"/>
        <w:gridCol w:w="109"/>
        <w:gridCol w:w="259"/>
        <w:gridCol w:w="557"/>
        <w:gridCol w:w="145"/>
        <w:gridCol w:w="109"/>
        <w:gridCol w:w="109"/>
        <w:gridCol w:w="109"/>
        <w:gridCol w:w="214"/>
        <w:gridCol w:w="477"/>
        <w:gridCol w:w="120"/>
        <w:gridCol w:w="109"/>
        <w:gridCol w:w="109"/>
        <w:gridCol w:w="109"/>
        <w:gridCol w:w="217"/>
        <w:gridCol w:w="467"/>
        <w:gridCol w:w="172"/>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 as of December 31, 2023</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Adjustments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Additions</w:t>
              <w:br/>
              <w:t>Charged</w:t>
              <w:br/>
              <w:t>to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Adjustments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intangible assets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amortizable intangible assets recorded in the consolidated balance sheet as of December 31, 2024, amortization expense for each of the next five years is estimated as follows:</w:t>
      </w:r>
    </w:p>
    <w:tbl>
      <w:tblPr>
        <w:tblW w:w="1267" w:type="dxa"/>
        <w:jc w:val="left"/>
        <w:tblInd w:w="0" w:type="dxa"/>
        <w:tblLayout w:type="fixed"/>
        <w:tblCellMar>
          <w:top w:w="28" w:type="dxa"/>
          <w:left w:w="28" w:type="dxa"/>
          <w:bottom w:w="28" w:type="dxa"/>
          <w:right w:w="28" w:type="dxa"/>
        </w:tblCellMar>
      </w:tblPr>
      <w:tblGrid>
        <w:gridCol w:w="196"/>
        <w:gridCol w:w="172"/>
        <w:gridCol w:w="173"/>
        <w:gridCol w:w="211"/>
        <w:gridCol w:w="36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6.OTHER ASSETS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prepaid expenses and other current assets as of December 31 follows:</w:t>
      </w:r>
    </w:p>
    <w:tbl>
      <w:tblPr>
        <w:tblW w:w="6789" w:type="dxa"/>
        <w:jc w:val="left"/>
        <w:tblInd w:w="0" w:type="dxa"/>
        <w:tblLayout w:type="fixed"/>
        <w:tblCellMar>
          <w:top w:w="28" w:type="dxa"/>
          <w:left w:w="28" w:type="dxa"/>
          <w:bottom w:w="28" w:type="dxa"/>
          <w:right w:w="28" w:type="dxa"/>
        </w:tblCellMar>
      </w:tblPr>
      <w:tblGrid>
        <w:gridCol w:w="1757"/>
        <w:gridCol w:w="1539"/>
        <w:gridCol w:w="1549"/>
        <w:gridCol w:w="211"/>
        <w:gridCol w:w="466"/>
        <w:gridCol w:w="109"/>
        <w:gridCol w:w="109"/>
        <w:gridCol w:w="109"/>
        <w:gridCol w:w="109"/>
        <w:gridCol w:w="211"/>
        <w:gridCol w:w="466"/>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supplies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non-trade receivables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fees for cloud-based hosting arrangements, current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other assets as of December 31 follows:</w:t>
      </w:r>
    </w:p>
    <w:tbl>
      <w:tblPr>
        <w:tblW w:w="9503" w:type="dxa"/>
        <w:jc w:val="left"/>
        <w:tblInd w:w="0" w:type="dxa"/>
        <w:tblLayout w:type="fixed"/>
        <w:tblCellMar>
          <w:top w:w="28" w:type="dxa"/>
          <w:left w:w="28" w:type="dxa"/>
          <w:bottom w:w="28" w:type="dxa"/>
          <w:right w:w="28" w:type="dxa"/>
        </w:tblCellMar>
      </w:tblPr>
      <w:tblGrid>
        <w:gridCol w:w="2629"/>
        <w:gridCol w:w="2311"/>
        <w:gridCol w:w="2319"/>
        <w:gridCol w:w="211"/>
        <w:gridCol w:w="616"/>
        <w:gridCol w:w="109"/>
        <w:gridCol w:w="109"/>
        <w:gridCol w:w="109"/>
        <w:gridCol w:w="109"/>
        <w:gridCol w:w="211"/>
        <w:gridCol w:w="616"/>
        <w:gridCol w:w="154"/>
      </w:tblGrid>
      <w:tr>
        <w:trPr/>
        <w:tc>
          <w:tcPr>
            <w:tcW w:w="262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lease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fees and capitalized implementation costs for cloud-based hosting arrangements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costs and sales commissions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and hedging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recoverable for capping, closure and post-closure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7.OTHER LIABILITIES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Accrued Liabilities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other accrued liabilities as of December 31 follows:</w:t>
      </w:r>
    </w:p>
    <w:tbl>
      <w:tblPr>
        <w:tblW w:w="6803" w:type="dxa"/>
        <w:jc w:val="left"/>
        <w:tblInd w:w="0" w:type="dxa"/>
        <w:tblLayout w:type="fixed"/>
        <w:tblCellMar>
          <w:top w:w="28" w:type="dxa"/>
          <w:left w:w="28" w:type="dxa"/>
          <w:bottom w:w="28" w:type="dxa"/>
          <w:right w:w="28" w:type="dxa"/>
        </w:tblCellMar>
      </w:tblPr>
      <w:tblGrid>
        <w:gridCol w:w="1650"/>
        <w:gridCol w:w="1449"/>
        <w:gridCol w:w="1460"/>
        <w:gridCol w:w="211"/>
        <w:gridCol w:w="616"/>
        <w:gridCol w:w="109"/>
        <w:gridCol w:w="109"/>
        <w:gridCol w:w="109"/>
        <w:gridCol w:w="109"/>
        <w:gridCol w:w="211"/>
        <w:gridCol w:w="616"/>
        <w:gridCol w:w="154"/>
      </w:tblGrid>
      <w:tr>
        <w:trPr/>
        <w:tc>
          <w:tcPr>
            <w:tcW w:w="165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reserves, current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fees and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dividends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right-of-use lease liabilities, current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Ceded insurance reserves, current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purchase price and acquisition holdbacks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 and legal settlement reserves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000000"/>
        </w:rPr>
        <w:t> </w:t>
      </w:r>
      <w:r>
        <w:rPr>
          <w:rFonts w:ascii="Times New Roman;sans-serif" w:hAnsi="Times New Roman;sans-serif"/>
          <w:b/>
          <w:color w:val="000000"/>
          <w:sz w:val="20"/>
        </w:rPr>
        <w:t>Other Long-Term Liabilities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other long-term liabilities as of December 31 follows:</w:t>
      </w:r>
    </w:p>
    <w:tbl>
      <w:tblPr>
        <w:tblW w:w="6398" w:type="dxa"/>
        <w:jc w:val="left"/>
        <w:tblInd w:w="0" w:type="dxa"/>
        <w:tblLayout w:type="fixed"/>
        <w:tblCellMar>
          <w:top w:w="28" w:type="dxa"/>
          <w:left w:w="28" w:type="dxa"/>
          <w:bottom w:w="28" w:type="dxa"/>
          <w:right w:w="28" w:type="dxa"/>
        </w:tblCellMar>
      </w:tblPr>
      <w:tblGrid>
        <w:gridCol w:w="1613"/>
        <w:gridCol w:w="1416"/>
        <w:gridCol w:w="1425"/>
        <w:gridCol w:w="211"/>
        <w:gridCol w:w="466"/>
        <w:gridCol w:w="109"/>
        <w:gridCol w:w="109"/>
        <w:gridCol w:w="109"/>
        <w:gridCol w:w="109"/>
        <w:gridCol w:w="211"/>
        <w:gridCol w:w="46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insurance reserves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and hedging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purchase price and acquisition holdbacks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Withdrawal liability - multiemployer pension funds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Insurance Reserves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liabilities for unpaid and incurred but not reported claims as of December 31, 2024 and 2023 (which include claims for workers’ compensation, commercial general and auto liability and employee-related health care benefits) were $622 million and $566 million, respectively, under our risk management program and are included in other accrued liabilities and insurance reserves, net of current portion, in our consolidated balance sheets. While the ultimate amount of claims incurred depends on future developments, we believe the recorded reserves are adequate to cover the future payment of claims; however, it is possible that these recorded reserves may not be adequate to cover the future payment of claims. Adjustments, if any, to estimates recorded resulting from ultimate claim payments will be reflected in our consolidated statements of income in the periods in which such adjustments are known.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insurance reserves for the years ended December 31:</w:t>
      </w:r>
    </w:p>
    <w:tbl>
      <w:tblPr>
        <w:tblW w:w="6762" w:type="dxa"/>
        <w:jc w:val="left"/>
        <w:tblInd w:w="0" w:type="dxa"/>
        <w:tblLayout w:type="fixed"/>
        <w:tblCellMar>
          <w:top w:w="28" w:type="dxa"/>
          <w:left w:w="28" w:type="dxa"/>
          <w:bottom w:w="28" w:type="dxa"/>
          <w:right w:w="28" w:type="dxa"/>
        </w:tblCellMar>
      </w:tblPr>
      <w:tblGrid>
        <w:gridCol w:w="1342"/>
        <w:gridCol w:w="1179"/>
        <w:gridCol w:w="1184"/>
        <w:gridCol w:w="211"/>
        <w:gridCol w:w="466"/>
        <w:gridCol w:w="109"/>
        <w:gridCol w:w="109"/>
        <w:gridCol w:w="109"/>
        <w:gridCol w:w="109"/>
        <w:gridCol w:w="211"/>
        <w:gridCol w:w="466"/>
        <w:gridCol w:w="109"/>
        <w:gridCol w:w="109"/>
        <w:gridCol w:w="109"/>
        <w:gridCol w:w="109"/>
        <w:gridCol w:w="211"/>
        <w:gridCol w:w="46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written for third party risk assumed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8.LANDFILL AND ENVIRONMENTAL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or operated 208 active landfills with total available disposal capacity estimated to be 5 billion in-place cubic yards. Additionally, we have post-closure responsibility for 125 closed landfills.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Accrued Landfill and Environmental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accrued landfill asset retirement obligations and environmental liabilities as of December 31 follows:</w:t>
      </w:r>
    </w:p>
    <w:tbl>
      <w:tblPr>
        <w:tblW w:w="7028" w:type="dxa"/>
        <w:jc w:val="left"/>
        <w:tblInd w:w="0" w:type="dxa"/>
        <w:tblLayout w:type="fixed"/>
        <w:tblCellMar>
          <w:top w:w="28" w:type="dxa"/>
          <w:left w:w="28" w:type="dxa"/>
          <w:bottom w:w="28" w:type="dxa"/>
          <w:right w:w="28" w:type="dxa"/>
        </w:tblCellMar>
      </w:tblPr>
      <w:tblGrid>
        <w:gridCol w:w="1731"/>
        <w:gridCol w:w="1524"/>
        <w:gridCol w:w="1529"/>
        <w:gridCol w:w="211"/>
        <w:gridCol w:w="616"/>
        <w:gridCol w:w="109"/>
        <w:gridCol w:w="109"/>
        <w:gridCol w:w="109"/>
        <w:gridCol w:w="109"/>
        <w:gridCol w:w="211"/>
        <w:gridCol w:w="616"/>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final capping, closure and post-closure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remediation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landfill and environmental costs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Final Capping, Closure and Post-Closure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asset retirement obligations, which includes liabilities for final capping, closure and post-closure, for the years ended December 31:</w:t>
      </w:r>
    </w:p>
    <w:tbl>
      <w:tblPr>
        <w:tblW w:w="8037" w:type="dxa"/>
        <w:jc w:val="left"/>
        <w:tblInd w:w="0" w:type="dxa"/>
        <w:tblLayout w:type="fixed"/>
        <w:tblCellMar>
          <w:top w:w="28" w:type="dxa"/>
          <w:left w:w="28" w:type="dxa"/>
          <w:bottom w:w="28" w:type="dxa"/>
          <w:right w:w="28" w:type="dxa"/>
        </w:tblCellMar>
      </w:tblPr>
      <w:tblGrid>
        <w:gridCol w:w="1641"/>
        <w:gridCol w:w="1442"/>
        <w:gridCol w:w="1447"/>
        <w:gridCol w:w="211"/>
        <w:gridCol w:w="616"/>
        <w:gridCol w:w="109"/>
        <w:gridCol w:w="109"/>
        <w:gridCol w:w="109"/>
        <w:gridCol w:w="109"/>
        <w:gridCol w:w="211"/>
        <w:gridCol w:w="616"/>
        <w:gridCol w:w="109"/>
        <w:gridCol w:w="109"/>
        <w:gridCol w:w="109"/>
        <w:gridCol w:w="109"/>
        <w:gridCol w:w="211"/>
        <w:gridCol w:w="616"/>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divestitures and 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end of year</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review annually, in the fourth quarter, and update as necessary, our estimates of asset retirement obligations. As a result, we increased amortization expense by $13 million, $5 million and $6 million for the years ended December 31, 2024, 2023 and 2022, respectively, primarily related to changes in estimates and assumptions concerning the anticipated waste flow, cost and timing of future final capping, closure and post-closure activities.</w:t>
      </w:r>
    </w:p>
    <w:p>
      <w:pPr>
        <w:pStyle w:val="TextBody"/>
        <w:bidi w:val="0"/>
        <w:spacing w:lineRule="auto" w:line="288" w:before="100" w:after="283"/>
        <w:jc w:val="left"/>
        <w:rPr/>
      </w:pPr>
      <w:r>
        <w:rPr>
          <w:rFonts w:ascii="Times New Roman;sans-serif" w:hAnsi="Times New Roman;sans-serif"/>
          <w:b w:val="false"/>
          <w:color w:val="000000"/>
          <w:sz w:val="20"/>
        </w:rPr>
        <w:t>The expected future payments for final capping, closure and post-closure as of December 31, 2024 follows:</w:t>
      </w:r>
      <w:r>
        <w:rPr>
          <w:color w:val="000000"/>
        </w:rPr>
        <w:t> </w:t>
      </w:r>
    </w:p>
    <w:tbl>
      <w:tblPr>
        <w:tblW w:w="1927" w:type="dxa"/>
        <w:jc w:val="left"/>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remaining final capping, closure and post-closure expenditures presented above are not inflated and not discounted and reflect the total estimated future payments for liabilities which include those incurred and recorded as of December 31, 2024 as well as liabilities yet to be incurred over the remaining life of our landfills.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Environmental Remediation Liabilities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accrue for remediation costs when they become probable and can be reasonably estimated. There can sometimes be a range of reasonable estimates of the costs associated with remediation of a site. In these cases, we use the amount within the range that constitutes our best estimate. If no amount within the range appears to be a better estimate than any other, we use the amount that is at the low end of such range. It is reasonably possible that we will need to adjust the liabilities recorded for remediation to reflect the effects of new or additional information, to the extent such information impacts the costs, timing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duration of the required actions. If we used the reasonably possible high ends of our ranges, our aggregate potential remediation liability as of December 31, 2024 would be approximately $273 million higher than the amounts recorded. Future changes in our estimates of the cost, timing or duration of the required actions could have a material adverse effect on our consolidated financial position, results of operations and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environmental remediation liabilities for the years ended December 31:</w:t>
      </w:r>
    </w:p>
    <w:tbl>
      <w:tblPr>
        <w:tblW w:w="7766" w:type="dxa"/>
        <w:jc w:val="left"/>
        <w:tblInd w:w="0" w:type="dxa"/>
        <w:tblLayout w:type="fixed"/>
        <w:tblCellMar>
          <w:top w:w="28" w:type="dxa"/>
          <w:left w:w="28" w:type="dxa"/>
          <w:bottom w:w="28" w:type="dxa"/>
          <w:right w:w="28" w:type="dxa"/>
        </w:tblCellMar>
      </w:tblPr>
      <w:tblGrid>
        <w:gridCol w:w="1706"/>
        <w:gridCol w:w="1498"/>
        <w:gridCol w:w="1505"/>
        <w:gridCol w:w="211"/>
        <w:gridCol w:w="466"/>
        <w:gridCol w:w="109"/>
        <w:gridCol w:w="109"/>
        <w:gridCol w:w="109"/>
        <w:gridCol w:w="109"/>
        <w:gridCol w:w="211"/>
        <w:gridCol w:w="466"/>
        <w:gridCol w:w="109"/>
        <w:gridCol w:w="109"/>
        <w:gridCol w:w="109"/>
        <w:gridCol w:w="109"/>
        <w:gridCol w:w="211"/>
        <w:gridCol w:w="466"/>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remediation liabilities,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additions charged to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 (non-cash 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divestitures and other adjustments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remediation liabilities, end of year</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undiscounted future payments for remediation costs as of December 31, 2024 follows:</w:t>
      </w:r>
    </w:p>
    <w:tbl>
      <w:tblPr>
        <w:tblW w:w="1777" w:type="dxa"/>
        <w:jc w:val="left"/>
        <w:tblInd w:w="0" w:type="dxa"/>
        <w:tblLayout w:type="fixed"/>
        <w:tblCellMar>
          <w:top w:w="28" w:type="dxa"/>
          <w:left w:w="28" w:type="dxa"/>
          <w:bottom w:w="28" w:type="dxa"/>
          <w:right w:w="28" w:type="dxa"/>
        </w:tblCellMar>
      </w:tblPr>
      <w:tblGrid>
        <w:gridCol w:w="342"/>
        <w:gridCol w:w="300"/>
        <w:gridCol w:w="304"/>
        <w:gridCol w:w="211"/>
        <w:gridCol w:w="4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certain of our significant remediation matters:</w:t>
      </w:r>
    </w:p>
    <w:p>
      <w:pPr>
        <w:pStyle w:val="TextBody"/>
        <w:bidi w:val="0"/>
        <w:spacing w:lineRule="auto" w:line="288" w:before="180" w:after="283"/>
        <w:jc w:val="left"/>
        <w:rPr/>
      </w:pPr>
      <w:r>
        <w:rPr>
          <w:rFonts w:ascii="Times New Roman;sans-serif" w:hAnsi="Times New Roman;sans-serif"/>
          <w:b w:val="false"/>
          <w:i/>
          <w:color w:val="000000"/>
          <w:sz w:val="20"/>
        </w:rPr>
        <w:t>Bridgeton Landfill. </w:t>
      </w:r>
      <w:r>
        <w:rPr>
          <w:rFonts w:ascii="Times New Roman;sans-serif" w:hAnsi="Times New Roman;sans-serif"/>
          <w:b w:val="false"/>
          <w:color w:val="000000"/>
          <w:sz w:val="20"/>
        </w:rPr>
        <w:t>During the year ended December 31, 2024, we paid $12 million related to management and monitoring of the remediation area for our closed Bridgeton Landfill in Missouri. We continue to work with state and federal regulatory agencies on our remediation efforts. From time to time, this may require us to modify our future operating timeline and procedures, which could result in changes to our expected liability. As of December 31, 2024, the remediation liability recorded for this site was $62 million, of which approximately $11 million</w:t>
      </w:r>
      <w:r>
        <w:rPr>
          <w:color w:val="000000"/>
          <w:shd w:fill="FFFFFF" w:val="clear"/>
        </w:rPr>
        <w:t xml:space="preserve"> </w:t>
      </w:r>
      <w:r>
        <w:rPr>
          <w:rFonts w:ascii="Times New Roman;sans-serif" w:hAnsi="Times New Roman;sans-serif"/>
          <w:b w:val="false"/>
          <w:color w:val="000000"/>
          <w:sz w:val="20"/>
          <w:shd w:fill="FFFFFF" w:val="clear"/>
        </w:rPr>
        <w:t>is e</w:t>
      </w:r>
      <w:r>
        <w:rPr>
          <w:rFonts w:ascii="Times New Roman;sans-serif" w:hAnsi="Times New Roman;sans-serif"/>
          <w:b w:val="false"/>
          <w:color w:val="000000"/>
          <w:sz w:val="20"/>
        </w:rPr>
        <w:t>xpected to be paid during 2025.</w:t>
      </w:r>
    </w:p>
    <w:p>
      <w:pPr>
        <w:pStyle w:val="TextBody"/>
        <w:bidi w:val="0"/>
        <w:spacing w:lineRule="auto" w:line="288" w:before="100" w:after="283"/>
        <w:jc w:val="left"/>
        <w:rPr/>
      </w:pPr>
      <w:r>
        <w:rPr>
          <w:rFonts w:ascii="Times New Roman;sans-serif" w:hAnsi="Times New Roman;sans-serif"/>
          <w:b w:val="false"/>
          <w:i/>
          <w:color w:val="000000"/>
          <w:sz w:val="20"/>
        </w:rPr>
        <w:t>West Lake Landfill Superfund Site</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Our subsidiary Bridgeton Landfill, LLC is one of several currently designated Potentially Responsible Parties for the West Lake Landfill Superfund site (West Lake) in Missouri. On September 27, 2018, the United States Environmental Protection Agency (EPA) issued a Record of Decision Amendment for West Lake that includes a total undiscounted cost estimate of $229 million over a four to five year design and construction timeline. On March 11, 2019, the EPA issued special notice letters under the Comprehensive Environmental Response, Compensation and Liability Act of 1980 (CERCLA) to Bridgeton Landfill, LLC and the other currently designated Potentially Responsible Parties to initiate negotiations to implement the remedy. On January 17, 2025, the EPA issued an Explanation of Significant Differences (ESD) applying the prior Record of Decision Amendment to an increased number of acres at the site found to contain radiologically-impacted material. The ESD includes a revised undiscounted cost estimate of $392 million. At this time we are neither able to predict the final design of that remedy, nor estimate how much of the future response costs of the site our subsidiary may agree or be required to pay. During any subsequent administrative proceedings or litigation, our subsidiary will vigorously contest liability for the costs of remediating radiologically-impacted materials generated on behalf of the federal government during the Manhattan Project and delivered to the site by an Atomic Energy Commission licensee and its subcontractor. However, subsequent events related to remedy design, divisibility, or allocation may require us to modify our expected remediation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our credit facilities, finance leases and long-term debt as of December 31, 2024 and 2023 is listed in the following table, and is adjusted for unamortized discounts, deferred issuance costs and the unamortized portion of adjustments to fair value recorded in purchase accounting. Original issue discounts and adjustments to fair value recorded in purchase accounting are amortized to interest expense over the term of the applicable instrument using the effective interest method.</w:t>
      </w:r>
    </w:p>
    <w:tbl>
      <w:tblPr>
        <w:tblW w:w="10222" w:type="dxa"/>
        <w:jc w:val="left"/>
        <w:tblInd w:w="0" w:type="dxa"/>
        <w:tblLayout w:type="fixed"/>
        <w:tblCellMar>
          <w:top w:w="28" w:type="dxa"/>
          <w:left w:w="28" w:type="dxa"/>
          <w:bottom w:w="28" w:type="dxa"/>
          <w:right w:w="28" w:type="dxa"/>
        </w:tblCellMar>
      </w:tblPr>
      <w:tblGrid>
        <w:gridCol w:w="482"/>
        <w:gridCol w:w="363"/>
        <w:gridCol w:w="236"/>
        <w:gridCol w:w="109"/>
        <w:gridCol w:w="109"/>
        <w:gridCol w:w="109"/>
        <w:gridCol w:w="330"/>
        <w:gridCol w:w="330"/>
        <w:gridCol w:w="331"/>
        <w:gridCol w:w="109"/>
        <w:gridCol w:w="109"/>
        <w:gridCol w:w="109"/>
        <w:gridCol w:w="196"/>
        <w:gridCol w:w="646"/>
        <w:gridCol w:w="109"/>
        <w:gridCol w:w="109"/>
        <w:gridCol w:w="109"/>
        <w:gridCol w:w="109"/>
        <w:gridCol w:w="266"/>
        <w:gridCol w:w="591"/>
        <w:gridCol w:w="149"/>
        <w:gridCol w:w="109"/>
        <w:gridCol w:w="109"/>
        <w:gridCol w:w="109"/>
        <w:gridCol w:w="196"/>
        <w:gridCol w:w="646"/>
        <w:gridCol w:w="109"/>
        <w:gridCol w:w="109"/>
        <w:gridCol w:w="109"/>
        <w:gridCol w:w="109"/>
        <w:gridCol w:w="196"/>
        <w:gridCol w:w="646"/>
        <w:gridCol w:w="109"/>
        <w:gridCol w:w="109"/>
        <w:gridCol w:w="109"/>
        <w:gridCol w:w="109"/>
        <w:gridCol w:w="266"/>
        <w:gridCol w:w="591"/>
        <w:gridCol w:w="149"/>
        <w:gridCol w:w="109"/>
        <w:gridCol w:w="109"/>
        <w:gridCol w:w="109"/>
        <w:gridCol w:w="196"/>
        <w:gridCol w:w="646"/>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Carrying  Value</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Uncommitted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Tax-exempt: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2026 - 2053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3.375 - 4.375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Finance leases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2025 - 2063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1.726 - 9.750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Future Maturities of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principal maturities of notes payable, finance leases and other long-term debt as of December 31, 2024 follow: </w:t>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Uncommitted Credit Facility</w:t>
      </w:r>
    </w:p>
    <w:p>
      <w:pPr>
        <w:pStyle w:val="TextBody"/>
        <w:bidi w:val="0"/>
        <w:spacing w:lineRule="auto" w:line="288" w:before="100" w:after="283"/>
        <w:jc w:val="left"/>
        <w:rPr/>
      </w:pPr>
      <w:r>
        <w:rPr>
          <w:rFonts w:ascii="Times New Roman;sans-serif" w:hAnsi="Times New Roman;sans-serif"/>
          <w:b w:val="false"/>
          <w:color w:val="000000"/>
          <w:sz w:val="20"/>
        </w:rPr>
        <w:t xml:space="preserve">In January 2022, we entered into a $200 million unsecured uncommitted revolving credit facility (the Uncommitted Credit Facility). The Uncommitted Credit Facility bears interest at an annual percentage rate to be agreed upon by both parties.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 xml:space="preserve">December 31, 2024 and 2023, </w:t>
      </w:r>
      <w:r>
        <w:rPr>
          <w:rFonts w:ascii="Times New Roman;sans-serif" w:hAnsi="Times New Roman;sans-serif"/>
          <w:b w:val="false"/>
          <w:color w:val="000000"/>
          <w:sz w:val="20"/>
          <w:shd w:fill="FFFFFF" w:val="clear"/>
        </w:rPr>
        <w:t xml:space="preserve">we had no borrowings outstanding under our Uncommitted Credit Facility.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Credit Facility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2024, we and our subsidiary, USE Canada Holdings, Inc. (the Canadian Borrower) entered into the Second Amended and Restated Credit Agreement (the Credit Facility) which amends and restates the unsecured revolving credit facility we entered into in August 2021. The total outstanding principal amount that we may borrow under the Credit Facility may not exceed the current aggregate lenders' commitments of $3.5 billion, and borrowings under the Credit Facility mature in July 2029. As permitted by the Credit Facility, we have the right to request two one-year extensions of the maturity date, but none of the lenders are committed to participate in such extensions. The Credit Facility also includes a feature that allows us to increase availability, at our option, by an aggregate amount of up to $1.0 billion through increased commitments from existing lenders or the addition of new lenders.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loans to the Canadian Borrower and all loans denominated in Canadian dollars cannot exceed $1.0 billion (the Canadian Sublimit). The Canadian Sublimit is part of, and not in addition to, the aggregate commitments under the Credit Facility.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Facility in United States dollars bear interest at a Base Rate, a daily floating SOFR or a term SOFR plus a current applicable margin of 0.920% based on our Debt Ratings (all as defined in the Credit Facility agreement). The Canadian dollar-denominated loans bear interest based on the Canadian Prime Rate or the Canadian Dollar Offered Rate plus a current applicable margin of 0.920% based on our Debt Ratings. As of December 31, 2024, C$232 million was outstanding against the Canadian Sublimit, with a weighted average interest rate of 5.309%.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is subject to facility fees based on applicable rates defined in the Credit Facility agreement and the aggregate commitment, regardless of usage.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$514 million and $297 million outstanding under our Credit Facility as of December 31, 2024 and 2023, respectively. We had $317 million and $337 million of letters of credit outstanding under our Credit Facility as of December 31, 2024 and 2023, respectively. We also had $477 million and $495 million of principal borrowings outstanding (net of related discount on issuance) under our commercial paper program as of December 31, 2024 and 2023, respectively. As a result, availability under our Credit Facility was $2,192 million and $2,371 million as of December 31, 2024 and 2023, respectively.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Term Loan Facility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we entered into a $1 billion Term Loan Facility, which bore interest at a base rate or a forward-looking SOFR, plus an applicable margin based on our debt ratings. We had $500 million of borrowings outstanding under the Term Loan Facility as of December 31, 2023. During the year ended December 31, 2024, we repaid the remaining balance of the Term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Commercial Paper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entered into a commercial paper program for the issuance and sale of unsecured commercial paper in an aggregate principal amount not to exceed $500 million outstanding at any one time (the Commercial Paper Cap). In August 2022, the Commercial Paper Cap was increased to $1.0 billion, and in October 2023, was increased to $1.5 billion. The weighted average interest rate for borrowings outstanding as of December 31, 2024 is 4.646% with a weighted average maturity of approximately 18 days.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$477 million and $496 million principal value of commercial paper issued and outstanding under the program as of December 31, 2024 and 2023, respectively. In the event of a failed re-borrowing, we currently have availability under our Credit Facility to fund amounts currently borrowed under the commercial paper program until they are re-borrowed successfully. Accordingly, we have classified these borrowings as long-term in our consolidated balance sheet as of December 31, 2024 and 2023, respectively.</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Senior Notes and Debentures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we issued $400 million of 4.875% senior notes due 2029 (the Existing 2029 Notes) and $800 million of 5.000% senior notes due 2034 (the 2034 Notes, and together with the Existing 2029 Notes, the Notes). The Notes are unsecured and unsubordinated and rank equally with our other unsecured obligations. We used the proceeds from the Notes for general corporate purposes, including the repayment of a portion of amounts outstanding under the Uncommitted Credit Facility, the Commercial Paper Program, the Credit Facility, and the Term Loan Facility. As a result of the Term Loan Facility repayment, we incurred a non-cash loss on the early extinguishment of debt related to the ratable portion of unamortized deferred issuance costs of less than $1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we issued an additional $350 million of 4.875% senior notes due 2029 (the New 2029 Notes, and together with the Existing 2029 Notes, the 2029 Notes). After giving effect to the issuance of the New 2029 Notes, $750 million in aggregate principal amount of the 2029 Notes is outstanding. The New 2029 Notes are fungible with the Existing 2029 Notes, and taken together, the 2029 Notes are treated as a single series.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we also issued $650 million of 5.000% senior notes due 2033 (the 2033 Notes). The proceeds of the 2033 Notes were used for general corporate purposes, including the repayment of a portion of amounts outstanding under the Uncommitted Credit Facility, the Commercial Paper Program, the Credit Facility, and the Term Loan Facility.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we issued $400 million of 5.000% senior notes due 2029 and $500 million of 5.200% senior notes due 2034. We used the proceeds from the June 2024 notes issuance for general corporate purposes, including the repayment of a portion of amounts outstanding under the Commercial Paper Program and the Credit Facility; and repayment of the remaining amount outstanding under the Term Loan Facility and the Uncommitted Credit Facility.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senior notes and debentures are general unsecured and unsubordinated obligations and rank equally with our other unsecured obligations.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Tax-Exempt Financings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$1,409 million of fixed and variable rate tax-exempt financings outstanding, with maturities ranging from 2026 to 2053. As of December 31, 2023, we had $1,281 million of fixed and variable rate tax-exempt financings outstanding, with maturities ranging from 2024 to 2053.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the Mission Economic Development Corporation issued, for our benefit, $50 million in principal amount of Solid Waste Disposal Revenue Bonds. The proceeds from the issuance, after deferred issuance costs, were used to fund the acquisition, construction, improvement, installation, and/or equipping of certain solid waste disposal facilities located within Texas.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both March 2024 and September 2023, the California Municipal Finance Authority issued, for our benefit, $100 million in principal amount of Solid Waste Disposal Revenue Bonds. The proceeds from the issuances, after deferred issuance costs, were used to fund the acquisition, construction, improvement, installation, and/or equipping of certain solid waste disposal facilities located within California.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remarketing period for the above Mission Economic Development Corporation and California Municipal Finance Authority tax-exempt financings is 10 years. Our remaining tax-exempt financings are remarketed either quarterly or semiannually by remarketing agents to effectively maintain a variable yield. The holders of the bonds can put them back to the remarketing agents at the end of each interest period. If the remarketing agents are unable to remarket our bonds, the remarketing agents can put the bonds to us. In the event of a failed remarketing, we currently have availability under our Credit Facility to fund these bonds until they are remarketed successfully. Accordingly, we classified these borrowings as long-term in our consolidated balance sheets as of December 31,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Finance Leases and Other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finance lease liabilities of $315 million with maturities ranging from 2025 to 2063. As of December 31, 2023, we had finance lease liabilities of $251 million with maturities ranging from 2024 to 2063.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finance leases and other included $53 million related to the construction of an office building located in Phoenix, Arizona, which has been accounted for as a financing obligation. The amount is recorded within long-term debt, net of current maturities.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Interest Paid</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Interest paid, excluding net swap settlements for our fair value hedges, was </w:t>
      </w:r>
      <w:r>
        <w:rPr>
          <w:rFonts w:ascii="Times New Roman;sans-serif" w:hAnsi="Times New Roman;sans-serif"/>
          <w:b w:val="false"/>
          <w:color w:val="000000"/>
          <w:sz w:val="20"/>
        </w:rPr>
        <w:t>$487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$423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$312 million</w:t>
      </w:r>
      <w:r>
        <w:rPr>
          <w:color w:val="000000"/>
          <w:shd w:fill="FFFFFF" w:val="clear"/>
        </w:rPr>
        <w:t xml:space="preserve"> </w:t>
      </w:r>
      <w:r>
        <w:rPr>
          <w:rFonts w:ascii="Times New Roman;sans-serif" w:hAnsi="Times New Roman;sans-serif"/>
          <w:b w:val="false"/>
          <w:color w:val="000000"/>
          <w:sz w:val="20"/>
          <w:shd w:fill="FFFFFF" w:val="clear"/>
        </w:rPr>
        <w:t xml:space="preserve">for the years ended December 31, 2024, </w:t>
      </w:r>
      <w:r>
        <w:rPr>
          <w:rFonts w:ascii="Times New Roman;sans-serif" w:hAnsi="Times New Roman;sans-serif"/>
          <w:b w:val="false"/>
          <w:color w:val="000000"/>
          <w:sz w:val="20"/>
        </w:rPr>
        <w:t>2023 and 2022</w:t>
      </w:r>
      <w:r>
        <w:rPr>
          <w:rFonts w:ascii="Times New Roman;sans-serif" w:hAnsi="Times New Roman;sans-serif"/>
          <w:b w:val="false"/>
          <w:color w:val="000000"/>
          <w:sz w:val="20"/>
          <w:shd w:fill="FFFFFF" w:val="clear"/>
        </w:rPr>
        <w:t xml:space="preserv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10.LEASES</w:t>
      </w:r>
    </w:p>
    <w:p>
      <w:pPr>
        <w:pStyle w:val="TextBody"/>
        <w:bidi w:val="0"/>
        <w:spacing w:lineRule="auto" w:line="288" w:before="100" w:after="283"/>
        <w:jc w:val="left"/>
        <w:rPr/>
      </w:pPr>
      <w:r>
        <w:rPr>
          <w:rFonts w:ascii="Times New Roman;sans-serif" w:hAnsi="Times New Roman;sans-serif"/>
          <w:b w:val="false"/>
          <w:color w:val="000000"/>
          <w:sz w:val="20"/>
        </w:rPr>
        <w:t xml:space="preserve">A summary of the lease classification on our consolidated balance sheet as of </w:t>
      </w:r>
      <w:r>
        <w:rPr>
          <w:rFonts w:ascii="Times New Roman;sans-serif" w:hAnsi="Times New Roman;sans-serif"/>
          <w:b w:val="false"/>
          <w:color w:val="000000"/>
          <w:sz w:val="20"/>
          <w:shd w:fill="FFFFFF" w:val="clear"/>
        </w:rPr>
        <w:t xml:space="preserve">December 31, 2024 and </w:t>
      </w:r>
      <w:r>
        <w:rPr>
          <w:rFonts w:ascii="Times New Roman;sans-serif" w:hAnsi="Times New Roman;sans-serif"/>
          <w:b w:val="false"/>
          <w:color w:val="000000"/>
          <w:sz w:val="20"/>
        </w:rPr>
        <w:t>2023 follows:</w:t>
      </w:r>
    </w:p>
    <w:tbl>
      <w:tblPr>
        <w:tblW w:w="9899" w:type="dxa"/>
        <w:jc w:val="left"/>
        <w:tblInd w:w="0" w:type="dxa"/>
        <w:tblLayout w:type="fixed"/>
        <w:tblCellMar>
          <w:top w:w="28" w:type="dxa"/>
          <w:left w:w="28" w:type="dxa"/>
          <w:bottom w:w="28" w:type="dxa"/>
          <w:right w:w="28" w:type="dxa"/>
        </w:tblCellMar>
      </w:tblPr>
      <w:tblGrid>
        <w:gridCol w:w="1040"/>
        <w:gridCol w:w="916"/>
        <w:gridCol w:w="924"/>
        <w:gridCol w:w="1507"/>
        <w:gridCol w:w="1507"/>
        <w:gridCol w:w="1516"/>
        <w:gridCol w:w="211"/>
        <w:gridCol w:w="466"/>
        <w:gridCol w:w="109"/>
        <w:gridCol w:w="109"/>
        <w:gridCol w:w="109"/>
        <w:gridCol w:w="109"/>
        <w:gridCol w:w="211"/>
        <w:gridCol w:w="466"/>
        <w:gridCol w:w="109"/>
        <w:gridCol w:w="109"/>
        <w:gridCol w:w="109"/>
        <w:gridCol w:w="109"/>
        <w:gridCol w:w="109"/>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lease assets</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leased assets</w:t>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and current maturities of long-term debt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20"/>
        </w:rPr>
        <w:t xml:space="preserve">A summary of the lease cost reflected in our consolidated statements of income for the years ended </w:t>
      </w:r>
      <w:r>
        <w:rPr>
          <w:rFonts w:ascii="Times New Roman;sans-serif" w:hAnsi="Times New Roman;sans-serif"/>
          <w:b w:val="false"/>
          <w:color w:val="000000"/>
          <w:sz w:val="20"/>
          <w:shd w:fill="FFFFFF" w:val="clear"/>
        </w:rPr>
        <w:t xml:space="preserve">December 31, 2024 and </w:t>
      </w:r>
      <w:r>
        <w:rPr>
          <w:rFonts w:ascii="Times New Roman;sans-serif" w:hAnsi="Times New Roman;sans-serif"/>
          <w:b w:val="false"/>
          <w:color w:val="000000"/>
          <w:sz w:val="20"/>
        </w:rPr>
        <w:t>2023 follows:</w:t>
      </w:r>
    </w:p>
    <w:tbl>
      <w:tblPr>
        <w:tblW w:w="7867" w:type="dxa"/>
        <w:jc w:val="left"/>
        <w:tblInd w:w="0" w:type="dxa"/>
        <w:tblLayout w:type="fixed"/>
        <w:tblCellMar>
          <w:top w:w="28" w:type="dxa"/>
          <w:left w:w="28" w:type="dxa"/>
          <w:bottom w:w="28" w:type="dxa"/>
          <w:right w:w="28" w:type="dxa"/>
        </w:tblCellMar>
      </w:tblPr>
      <w:tblGrid>
        <w:gridCol w:w="895"/>
        <w:gridCol w:w="787"/>
        <w:gridCol w:w="792"/>
        <w:gridCol w:w="1148"/>
        <w:gridCol w:w="1148"/>
        <w:gridCol w:w="1153"/>
        <w:gridCol w:w="211"/>
        <w:gridCol w:w="466"/>
        <w:gridCol w:w="109"/>
        <w:gridCol w:w="109"/>
        <w:gridCol w:w="109"/>
        <w:gridCol w:w="109"/>
        <w:gridCol w:w="211"/>
        <w:gridCol w:w="46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cost</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and amortization</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20"/>
        </w:rPr>
        <w:t xml:space="preserve">During the years ended December 31, 2024 and 2023, we recognized changes in our operating right-of-use lease liabilities and assets, resulting from the recognition of non-cash lease expense </w:t>
      </w:r>
      <w:r>
        <w:rPr>
          <w:rFonts w:ascii="Times New Roman;sans-serif" w:hAnsi="Times New Roman;sans-serif"/>
          <w:b w:val="false"/>
          <w:color w:val="000000"/>
          <w:sz w:val="20"/>
          <w:shd w:fill="FFFFFF" w:val="clear"/>
        </w:rPr>
        <w:t xml:space="preserve">of $46 million </w:t>
      </w:r>
      <w:r>
        <w:rPr>
          <w:rFonts w:ascii="Times New Roman;sans-serif" w:hAnsi="Times New Roman;sans-serif"/>
          <w:b w:val="false"/>
          <w:color w:val="000000"/>
          <w:sz w:val="20"/>
        </w:rPr>
        <w:t>and $48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maturities for operating and finance lease liabilities were as follows:</w:t>
      </w:r>
    </w:p>
    <w:tbl>
      <w:tblPr>
        <w:tblW w:w="6688" w:type="dxa"/>
        <w:jc w:val="left"/>
        <w:tblInd w:w="0" w:type="dxa"/>
        <w:tblLayout w:type="fixed"/>
        <w:tblCellMar>
          <w:top w:w="28" w:type="dxa"/>
          <w:left w:w="28" w:type="dxa"/>
          <w:bottom w:w="28" w:type="dxa"/>
          <w:right w:w="28" w:type="dxa"/>
        </w:tblCellMar>
      </w:tblPr>
      <w:tblGrid>
        <w:gridCol w:w="970"/>
        <w:gridCol w:w="851"/>
        <w:gridCol w:w="863"/>
        <w:gridCol w:w="357"/>
        <w:gridCol w:w="790"/>
        <w:gridCol w:w="187"/>
        <w:gridCol w:w="109"/>
        <w:gridCol w:w="109"/>
        <w:gridCol w:w="109"/>
        <w:gridCol w:w="318"/>
        <w:gridCol w:w="703"/>
        <w:gridCol w:w="164"/>
        <w:gridCol w:w="109"/>
        <w:gridCol w:w="109"/>
        <w:gridCol w:w="109"/>
        <w:gridCol w:w="211"/>
        <w:gridCol w:w="46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weighted-average remaining lease term and weighted-average discount rate as of December 31, 2024 and 2023 follows:</w:t>
      </w:r>
    </w:p>
    <w:tbl>
      <w:tblPr>
        <w:tblW w:w="6012" w:type="dxa"/>
        <w:jc w:val="left"/>
        <w:tblInd w:w="0" w:type="dxa"/>
        <w:tblLayout w:type="fixed"/>
        <w:tblCellMar>
          <w:top w:w="28" w:type="dxa"/>
          <w:left w:w="28" w:type="dxa"/>
          <w:bottom w:w="28" w:type="dxa"/>
          <w:right w:w="28" w:type="dxa"/>
        </w:tblCellMar>
      </w:tblPr>
      <w:tblGrid>
        <w:gridCol w:w="1419"/>
        <w:gridCol w:w="1246"/>
        <w:gridCol w:w="1250"/>
        <w:gridCol w:w="109"/>
        <w:gridCol w:w="109"/>
        <w:gridCol w:w="109"/>
        <w:gridCol w:w="203"/>
        <w:gridCol w:w="203"/>
        <w:gridCol w:w="292"/>
        <w:gridCol w:w="109"/>
        <w:gridCol w:w="109"/>
        <w:gridCol w:w="109"/>
        <w:gridCol w:w="203"/>
        <w:gridCol w:w="203"/>
        <w:gridCol w:w="339"/>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pPr>
      <w:r>
        <w:rPr>
          <w:rFonts w:ascii="Times New Roman;sans-serif" w:hAnsi="Times New Roman;sans-serif"/>
          <w:b w:val="false"/>
          <w:color w:val="000000"/>
          <w:sz w:val="20"/>
        </w:rPr>
        <w:t xml:space="preserve">Supplemental cash flow and other non-cash information for the years ended </w:t>
      </w:r>
      <w:r>
        <w:rPr>
          <w:rFonts w:ascii="Times New Roman;sans-serif" w:hAnsi="Times New Roman;sans-serif"/>
          <w:b w:val="false"/>
          <w:color w:val="000000"/>
          <w:sz w:val="20"/>
          <w:shd w:fill="FFFFFF" w:val="clear"/>
        </w:rPr>
        <w:t xml:space="preserve">December 31, 2024 and </w:t>
      </w:r>
      <w:r>
        <w:rPr>
          <w:rFonts w:ascii="Times New Roman;sans-serif" w:hAnsi="Times New Roman;sans-serif"/>
          <w:b w:val="false"/>
          <w:color w:val="000000"/>
          <w:sz w:val="20"/>
        </w:rPr>
        <w:t>2023 follow:</w:t>
      </w:r>
    </w:p>
    <w:tbl>
      <w:tblPr>
        <w:tblW w:w="8076" w:type="dxa"/>
        <w:jc w:val="left"/>
        <w:tblInd w:w="0" w:type="dxa"/>
        <w:tblLayout w:type="fixed"/>
        <w:tblCellMar>
          <w:top w:w="28" w:type="dxa"/>
          <w:left w:w="28" w:type="dxa"/>
          <w:bottom w:w="28" w:type="dxa"/>
          <w:right w:w="28" w:type="dxa"/>
        </w:tblCellMar>
      </w:tblPr>
      <w:tblGrid>
        <w:gridCol w:w="2105"/>
        <w:gridCol w:w="1845"/>
        <w:gridCol w:w="1855"/>
        <w:gridCol w:w="109"/>
        <w:gridCol w:w="109"/>
        <w:gridCol w:w="109"/>
        <w:gridCol w:w="211"/>
        <w:gridCol w:w="466"/>
        <w:gridCol w:w="109"/>
        <w:gridCol w:w="109"/>
        <w:gridCol w:w="109"/>
        <w:gridCol w:w="109"/>
        <w:gridCol w:w="211"/>
        <w:gridCol w:w="466"/>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2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for the years ended December 31 follow:</w:t>
      </w:r>
    </w:p>
    <w:tbl>
      <w:tblPr>
        <w:tblW w:w="6866" w:type="dxa"/>
        <w:jc w:val="left"/>
        <w:tblInd w:w="0" w:type="dxa"/>
        <w:tblLayout w:type="fixed"/>
        <w:tblCellMar>
          <w:top w:w="28" w:type="dxa"/>
          <w:left w:w="28" w:type="dxa"/>
          <w:bottom w:w="28" w:type="dxa"/>
          <w:right w:w="28" w:type="dxa"/>
        </w:tblCellMar>
      </w:tblPr>
      <w:tblGrid>
        <w:gridCol w:w="1372"/>
        <w:gridCol w:w="1206"/>
        <w:gridCol w:w="1231"/>
        <w:gridCol w:w="211"/>
        <w:gridCol w:w="466"/>
        <w:gridCol w:w="109"/>
        <w:gridCol w:w="109"/>
        <w:gridCol w:w="109"/>
        <w:gridCol w:w="109"/>
        <w:gridCol w:w="211"/>
        <w:gridCol w:w="466"/>
        <w:gridCol w:w="109"/>
        <w:gridCol w:w="109"/>
        <w:gridCol w:w="109"/>
        <w:gridCol w:w="109"/>
        <w:gridCol w:w="211"/>
        <w:gridCol w:w="46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 and interest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reconciliations of the statutory federal income tax rate to our effective tax rate for the years ended December 31 follow:</w:t>
      </w:r>
    </w:p>
    <w:tbl>
      <w:tblPr>
        <w:tblW w:w="6514" w:type="dxa"/>
        <w:jc w:val="left"/>
        <w:tblInd w:w="0" w:type="dxa"/>
        <w:tblLayout w:type="fixed"/>
        <w:tblCellMar>
          <w:top w:w="28" w:type="dxa"/>
          <w:left w:w="28" w:type="dxa"/>
          <w:bottom w:w="28" w:type="dxa"/>
          <w:right w:w="28" w:type="dxa"/>
        </w:tblCellMar>
      </w:tblPr>
      <w:tblGrid>
        <w:gridCol w:w="1230"/>
        <w:gridCol w:w="1085"/>
        <w:gridCol w:w="1089"/>
        <w:gridCol w:w="255"/>
        <w:gridCol w:w="256"/>
        <w:gridCol w:w="292"/>
        <w:gridCol w:w="109"/>
        <w:gridCol w:w="109"/>
        <w:gridCol w:w="109"/>
        <w:gridCol w:w="255"/>
        <w:gridCol w:w="256"/>
        <w:gridCol w:w="292"/>
        <w:gridCol w:w="109"/>
        <w:gridCol w:w="109"/>
        <w:gridCol w:w="109"/>
        <w:gridCol w:w="255"/>
        <w:gridCol w:w="256"/>
        <w:gridCol w:w="339"/>
      </w:tblGrid>
      <w:tr>
        <w:trPr/>
        <w:tc>
          <w:tcPr>
            <w:tcW w:w="123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 taxes and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tax credits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pPr>
      <w:r>
        <w:rPr>
          <w:rFonts w:ascii="Times New Roman;sans-serif" w:hAnsi="Times New Roman;sans-serif"/>
          <w:b w:val="false"/>
          <w:color w:val="000000"/>
          <w:sz w:val="20"/>
          <w:shd w:fill="FFFFFF" w:val="clear"/>
        </w:rPr>
        <w:t xml:space="preserve">During 2024, we acquired non-controlling interests in limited liability companies established to own renewable energy assets that qualified for investment tax credits under Section 48 of the Internal Revenue Code. We account for these investments under the equity method of accounting utilizing the HLBV method and recognize our share of income or loss and other reductions in the value of our investment in loss from unconsolidated equity method investments within our consolidated statements of income. For further discussion regarding our equity method accounting, see Note 3, </w:t>
      </w:r>
      <w:r>
        <w:rPr>
          <w:rFonts w:ascii="Times New Roman;sans-serif" w:hAnsi="Times New Roman;sans-serif"/>
          <w:b w:val="false"/>
          <w:i/>
          <w:color w:val="000000"/>
          <w:sz w:val="20"/>
        </w:rPr>
        <w:t>Business Acquisitions, Investments and Restructuring Charges</w:t>
      </w:r>
      <w:r>
        <w:rPr>
          <w:rFonts w:ascii="Times New Roman;sans-serif" w:hAnsi="Times New Roman;sans-serif"/>
          <w:b w:val="false"/>
          <w:color w:val="000000"/>
          <w:sz w:val="20"/>
          <w:shd w:fill="FFFFFF" w:val="clear"/>
        </w:rPr>
        <w:t>. Our 2024 tax provision reflects a benefit of $222 million due to the tax credits related to these investments.</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We also made qualified investments in renewable natural gas projects and commercial electric vehicles during 2024 which, due to tax credits, reduced our tax provision by approximately </w:t>
      </w:r>
      <w:r>
        <w:rPr>
          <w:rFonts w:ascii="Times New Roman;sans-serif" w:hAnsi="Times New Roman;sans-serif"/>
          <w:b w:val="false"/>
          <w:color w:val="000000"/>
          <w:sz w:val="20"/>
        </w:rPr>
        <w:t>$18 million.</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Our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tax provision was reduced by </w:t>
      </w:r>
      <w:r>
        <w:rPr>
          <w:rFonts w:ascii="Times New Roman;sans-serif" w:hAnsi="Times New Roman;sans-serif"/>
          <w:b w:val="false"/>
          <w:color w:val="000000"/>
          <w:sz w:val="20"/>
        </w:rPr>
        <w:t>$87 million</w:t>
      </w:r>
      <w:r>
        <w:rPr>
          <w:color w:val="000000"/>
          <w:shd w:fill="FFFFFF" w:val="clear"/>
        </w:rPr>
        <w:t xml:space="preserve"> </w:t>
      </w:r>
      <w:r>
        <w:rPr>
          <w:rFonts w:ascii="Times New Roman;sans-serif" w:hAnsi="Times New Roman;sans-serif"/>
          <w:b w:val="false"/>
          <w:color w:val="000000"/>
          <w:sz w:val="20"/>
          <w:shd w:fill="FFFFFF" w:val="clear"/>
        </w:rPr>
        <w:t xml:space="preserve">related to the tax credits from our non-controlling interests in limited liability companies established to own renewable energy assets. </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In addition, during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we resolved IRS examinations for our 2014 to 2018 tax years, that in the aggregate, reduced our tax provision by approximately $21 million.</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Our</w:t>
      </w:r>
      <w:r>
        <w:rPr>
          <w:color w:val="000000"/>
        </w:rPr>
        <w:t xml:space="preserve">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 xml:space="preserve">tax provision was reduced by $139 million related to the tax credits from our non-controlling interests in limited liability companies established to own renewable energy assets. </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During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the Inflation Reduction Act (IRA) was signed into law. We continue to evaluate the IRA and additional regulations as they are released by the U.S. Treasury.</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respect to various energy credits in the IRA, we expect to benefit in subsequent years for credits related to commercial electric vehicles, carbon capture and renewable natural gas. Additional benefits may be identified as subsequent guidance is released by the U.S. Treasury and/or additional climate technologies are identified or advanced in future years.</w:t>
      </w:r>
    </w:p>
    <w:p>
      <w:pPr>
        <w:pStyle w:val="TextBody"/>
        <w:bidi w:val="0"/>
        <w:spacing w:lineRule="auto" w:line="288" w:before="100" w:after="283"/>
        <w:jc w:val="left"/>
        <w:rPr/>
      </w:pPr>
      <w:r>
        <w:rPr>
          <w:rFonts w:ascii="Times New Roman;sans-serif" w:hAnsi="Times New Roman;sans-serif"/>
          <w:b w:val="false"/>
          <w:color w:val="000000"/>
          <w:sz w:val="20"/>
        </w:rPr>
        <w:t xml:space="preserve">We made income tax payments (net of refunds) of </w:t>
      </w:r>
      <w:r>
        <w:rPr>
          <w:rFonts w:ascii="Times New Roman;sans-serif" w:hAnsi="Times New Roman;sans-serif"/>
          <w:b w:val="false"/>
          <w:color w:val="000000"/>
          <w:sz w:val="20"/>
          <w:shd w:fill="FFFFFF" w:val="clear"/>
        </w:rPr>
        <w:t>$313 million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$343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$185 million</w:t>
      </w:r>
      <w:r>
        <w:rPr>
          <w:color w:val="000000"/>
        </w:rPr>
        <w:t xml:space="preserve"> </w:t>
      </w:r>
      <w:r>
        <w:rPr>
          <w:rFonts w:ascii="Times New Roman;sans-serif" w:hAnsi="Times New Roman;sans-serif"/>
          <w:b w:val="false"/>
          <w:color w:val="000000"/>
          <w:sz w:val="20"/>
        </w:rPr>
        <w:t>for 2024, 2023, and 2022, respectively. Income taxes paid in 2024, 2023, and 2022 reflect benefits from tax credits from our continuing investments in qualified renewable energy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deferred income tax asset and liability as of December 31 follow:</w:t>
      </w:r>
    </w:p>
    <w:tbl>
      <w:tblPr>
        <w:tblW w:w="7914" w:type="dxa"/>
        <w:jc w:val="left"/>
        <w:tblInd w:w="0" w:type="dxa"/>
        <w:tblLayout w:type="fixed"/>
        <w:tblCellMar>
          <w:top w:w="28" w:type="dxa"/>
          <w:left w:w="28" w:type="dxa"/>
          <w:bottom w:w="28" w:type="dxa"/>
          <w:right w:w="28" w:type="dxa"/>
        </w:tblCellMar>
      </w:tblPr>
      <w:tblGrid>
        <w:gridCol w:w="1998"/>
        <w:gridCol w:w="1758"/>
        <w:gridCol w:w="1764"/>
        <w:gridCol w:w="211"/>
        <w:gridCol w:w="691"/>
        <w:gridCol w:w="109"/>
        <w:gridCol w:w="109"/>
        <w:gridCol w:w="109"/>
        <w:gridCol w:w="109"/>
        <w:gridCol w:w="211"/>
        <w:gridCol w:w="691"/>
        <w:gridCol w:w="154"/>
      </w:tblGrid>
      <w:tr>
        <w:trPr/>
        <w:tc>
          <w:tcPr>
            <w:tcW w:w="199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relating to:</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Differences between book and tax basis of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Difference between book and tax basis of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lease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Basis difference due to redemption of partnership interests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relating to:</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Accruals not currently deductible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Difference between book and tax basis of other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lease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overall deferred tax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deferred tax valuation allowance for the years ended December 31 follow:</w:t>
      </w:r>
    </w:p>
    <w:tbl>
      <w:tblPr>
        <w:tblW w:w="6777" w:type="dxa"/>
        <w:jc w:val="left"/>
        <w:tblInd w:w="0" w:type="dxa"/>
        <w:tblLayout w:type="fixed"/>
        <w:tblCellMar>
          <w:top w:w="28" w:type="dxa"/>
          <w:left w:w="28" w:type="dxa"/>
          <w:bottom w:w="28" w:type="dxa"/>
          <w:right w:w="28" w:type="dxa"/>
        </w:tblCellMar>
      </w:tblPr>
      <w:tblGrid>
        <w:gridCol w:w="1462"/>
        <w:gridCol w:w="1282"/>
        <w:gridCol w:w="1291"/>
        <w:gridCol w:w="211"/>
        <w:gridCol w:w="361"/>
        <w:gridCol w:w="109"/>
        <w:gridCol w:w="109"/>
        <w:gridCol w:w="109"/>
        <w:gridCol w:w="109"/>
        <w:gridCol w:w="211"/>
        <w:gridCol w:w="361"/>
        <w:gridCol w:w="109"/>
        <w:gridCol w:w="109"/>
        <w:gridCol w:w="109"/>
        <w:gridCol w:w="109"/>
        <w:gridCol w:w="211"/>
        <w:gridCol w:w="361"/>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provision for income taxes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realized or written-off</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deferred tax assets related to state net operating loss carryforwards. We provide a partial valuation allowance due to uncertainty surrounding the future utilization of these carryforwards in the taxing jurisdictions where the loss carryforwards exist. When determining the need for a valuation allowance, we consider all positive and negative evidence, including recent financial results, scheduled reversals of deferred tax liabilities, projected future taxable income and tax planning strategies. The weight given to the positive and negative evidence is commensurate with the extent such evidence can be objectively verified. We adjust the valuation allowance in the period management determines it is more likely than not that deferred tax assets will or will not be realized.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valuation allowance is associated with state loss carryforwards. The realization of our deferred tax asset for state loss carryforwards ultimately depends upon the existence of sufficient taxable income in the appropriate state taxing jurisdictions in future periods. We continue to regularly monitor both positive and negative evidence in determining the ongoing need for a valuation allowance.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deferred tax assets related to state net operating loss carryforwards with an estimated tax effect of $50 million available as of December 31, 2024. These state net operating loss carryforwards expire at various times between 2025 and 2044. We believe that it is more likely than not that the benefit from some of our state net operating loss carryforwards will not be realized due to limitations on these loss carryforwards in certain states. In recognition of this risk, as of December 31, 2024, we have provided a valuation allowance of $45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 in the United States, as well as income tax in multiple state and foreign jurisdictions. Income tax in our foreign jurisdictions is not material for all years presented. Our compliance with income tax rules and regulations is periodically audited by tax authorities. These authorities may challenge the positions taken in our tax filings. Thus, to provide for certain potential tax exposures, we maintain liabilities for uncertain tax positions for our estimate of the final outcome of the examinations. Our federal statute of limitations applicable to our federal tax returns is closed through 2020. The federal statute of limitations applicable to an acquired subsidiary is closed through 2019. In addition, we are currently under state examination or administrative review in various jurisdictions for tax years 2012 through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gross unrecognized tax benefits for the years ended December 31:</w:t>
      </w:r>
    </w:p>
    <w:tbl>
      <w:tblPr>
        <w:tblW w:w="8951" w:type="dxa"/>
        <w:jc w:val="left"/>
        <w:tblInd w:w="0" w:type="dxa"/>
        <w:tblLayout w:type="fixed"/>
        <w:tblCellMar>
          <w:top w:w="28" w:type="dxa"/>
          <w:left w:w="28" w:type="dxa"/>
          <w:bottom w:w="28" w:type="dxa"/>
          <w:right w:w="28" w:type="dxa"/>
        </w:tblCellMar>
      </w:tblPr>
      <w:tblGrid>
        <w:gridCol w:w="2173"/>
        <w:gridCol w:w="1910"/>
        <w:gridCol w:w="1916"/>
        <w:gridCol w:w="211"/>
        <w:gridCol w:w="361"/>
        <w:gridCol w:w="109"/>
        <w:gridCol w:w="109"/>
        <w:gridCol w:w="109"/>
        <w:gridCol w:w="109"/>
        <w:gridCol w:w="211"/>
        <w:gridCol w:w="466"/>
        <w:gridCol w:w="109"/>
        <w:gridCol w:w="109"/>
        <w:gridCol w:w="109"/>
        <w:gridCol w:w="109"/>
        <w:gridCol w:w="211"/>
        <w:gridCol w:w="466"/>
        <w:gridCol w:w="154"/>
      </w:tblGrid>
      <w:tr>
        <w:trPr/>
        <w:tc>
          <w:tcPr>
            <w:tcW w:w="217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current year</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resulting from lapse of statute of limitations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our gross unrecognized tax benefits as of December 31, 2024, 2023 and 2022 are $22 million, $33 million and $97 million, respectively, of unrecognized tax benefits (net of the federal benefit) that, if recognized, would affect our effective income tax rate in future periods. However, we are unable to estimate the resolution of these matters over the next 12 months.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we settled our 2014-2018 tax years with the Internal Revenue Service. These settlements reduced our gross unrecognized tax benefits by $66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interest and penalties as incurred within the provision for income taxes in our consolidated statements of income. Related to the unrecognized tax benefits previously noted, we recorded a reduction to interest expense of $6 million during 2024 and, in total as of December 31, 2024, have recognized a liability for penalties of $1 million and interest of $5 million. During 2023, we recorded interest expense of $1 million and, in total as of December 31, 2023, had recognized a liability for interest of $14 million. During 2022, we recorded interest expense of $1 million and, in total as of December 31, 2022, had recognized a liability for interest of $15 million.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recorded liabilities for uncertain tax positions are adequate. However, a significant assessment against us in excess of the liabilities recorded could have a material adverse effect on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12.EMPLOYEE BENEFIT PLANS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our Board of Directors amended and restated the Republic Services, Inc. Executive Incentive Plan (the 2021 Plan) to remove references to the performance-based compensation exception that was previously permitted but is no longer applicable under Section 162(m) of the Internal Revenue Code. The purposes of the 2021 Plan are to promote the success of the Company; to provide designated Executive Officers with an opportunity to receive incentive compensation dependent upon that success; and to attract, retain and motivate such individuals. We currently have approximately 11 million shares of common stock reserved for future grants under the 2021 Plan.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2007, our Board of Directors approved the 2007 Stock Incentive Plan (the 2007 Plan); in May 2007 our shareholders approved the 2007 Plan. In March 2011, our Board of Directors approved the Amended and Restated 2007 Stock Incentive Plan (the Amended and Restated 2007 SIP); in May 2011 our shareholders approved the Amended and Restated 2007 SIP. In March 2013, our Board of Directors approved the Republic Services, Inc. Amended and Restated 2007 Stock Incentive Plan (the Republic Amended and Restated 2007 SIP); in May 2013 our shareholders approved the Republic Amended and Restated 2007 SIP (the 2007 Plan, the Amended and Restated 2007 SIP and the Republic Amended and Restated 2007 SIP are collectively referred to as the Amended and Restated 2007 Stock Incentive Plan). No further awards will be made under the Amended and Restated 2007 Stock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(RSU) activity for the years ended December 31, 2024, 2023 and 2022:</w:t>
      </w:r>
    </w:p>
    <w:tbl>
      <w:tblPr>
        <w:tblW w:w="10205" w:type="dxa"/>
        <w:jc w:val="left"/>
        <w:tblInd w:w="0" w:type="dxa"/>
        <w:tblLayout w:type="fixed"/>
        <w:tblCellMar>
          <w:top w:w="28" w:type="dxa"/>
          <w:left w:w="28" w:type="dxa"/>
          <w:bottom w:w="28" w:type="dxa"/>
          <w:right w:w="28" w:type="dxa"/>
        </w:tblCellMar>
      </w:tblPr>
      <w:tblGrid>
        <w:gridCol w:w="1293"/>
        <w:gridCol w:w="1136"/>
        <w:gridCol w:w="1143"/>
        <w:gridCol w:w="409"/>
        <w:gridCol w:w="409"/>
        <w:gridCol w:w="411"/>
        <w:gridCol w:w="109"/>
        <w:gridCol w:w="109"/>
        <w:gridCol w:w="109"/>
        <w:gridCol w:w="331"/>
        <w:gridCol w:w="1133"/>
        <w:gridCol w:w="172"/>
        <w:gridCol w:w="109"/>
        <w:gridCol w:w="109"/>
        <w:gridCol w:w="109"/>
        <w:gridCol w:w="545"/>
        <w:gridCol w:w="545"/>
        <w:gridCol w:w="546"/>
        <w:gridCol w:w="109"/>
        <w:gridCol w:w="109"/>
        <w:gridCol w:w="109"/>
        <w:gridCol w:w="222"/>
        <w:gridCol w:w="763"/>
        <w:gridCol w:w="166"/>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RSUs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w:t>
              <w:br/>
              <w:t>Intrinsic</w:t>
              <w:br/>
              <w:t>Value</w:t>
              <w:br/>
              <w:t>(in millions)</w:t>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Unissued as of December 31, 2021</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issued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Unissued as of December 31, 2022</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issued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Unissued as of December 31, 2023</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issued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Unissued as of December 31, 2024</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unissued as of December 31, 2024</w:t>
            </w:r>
          </w:p>
        </w:tc>
        <w:tc>
          <w:tcPr>
            <w:tcW w:w="818"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4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70.32 </w:t>
            </w:r>
          </w:p>
        </w:tc>
        <w:tc>
          <w:tcPr>
            <w:tcW w:w="17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years ended December 31, 2024, 2023 and 2022</w:t>
      </w:r>
      <w:r>
        <w:rPr>
          <w:rFonts w:ascii="Times New Roman;sans-serif" w:hAnsi="Times New Roman;sans-serif"/>
          <w:b w:val="false"/>
          <w:color w:val="000000"/>
          <w:sz w:val="20"/>
          <w:shd w:fill="FFFFFF" w:val="clear"/>
        </w:rPr>
        <w:t xml:space="preserve">, we awarded our non-employee directors 16,540, 20,324 and 18,689 RSUs, respectively, which vested upon issuance. </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years ended December 31, 2024, 2023 and 2022</w:t>
      </w:r>
      <w:r>
        <w:rPr>
          <w:rFonts w:ascii="Times New Roman;sans-serif" w:hAnsi="Times New Roman;sans-serif"/>
          <w:b w:val="false"/>
          <w:color w:val="000000"/>
          <w:sz w:val="20"/>
          <w:shd w:fill="FFFFFF" w:val="clear"/>
        </w:rPr>
        <w:t xml:space="preserve">, we awarded 158,789, 216,610 and 226,108 RSUs, respectively, to executives and employees that vest in four equal annual installments beginning on the anniversary date of the original grant or cliff vest after three or four years. </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years ended December 31, 2024, 2023 and 2022</w:t>
      </w:r>
      <w:r>
        <w:rPr>
          <w:rFonts w:ascii="Times New Roman;sans-serif" w:hAnsi="Times New Roman;sans-serif"/>
          <w:b w:val="false"/>
          <w:color w:val="000000"/>
          <w:sz w:val="20"/>
          <w:shd w:fill="FFFFFF" w:val="clear"/>
        </w:rPr>
        <w:t xml:space="preserve">, we granted an additional 8,868, 12,751 and 13,969 RSUs, respectively, as dividend equivalents. </w:t>
      </w:r>
    </w:p>
    <w:p>
      <w:pPr>
        <w:pStyle w:val="TextBody"/>
        <w:bidi w:val="0"/>
        <w:spacing w:lineRule="auto" w:line="288" w:before="1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RSUs do not carry any voting or dividend rights, except the right to receive additional RSUs in lieu of dividends.</w:t>
      </w:r>
    </w:p>
    <w:p>
      <w:pPr>
        <w:pStyle w:val="TextBody"/>
        <w:bidi w:val="0"/>
        <w:spacing w:lineRule="auto" w:line="28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Compensation Expense</w:t>
      </w:r>
    </w:p>
    <w:p>
      <w:pPr>
        <w:pStyle w:val="TextBody"/>
        <w:bidi w:val="0"/>
        <w:spacing w:lineRule="auto" w:line="288" w:before="1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RSUs is based on the closing market price on the date of the grant. The compensation expense related to RSUs is amortized ratably over the vesting period, or to the employee's retirement eligible date, if earlier.</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years ended December 31, 2024, 2023 and 2022</w:t>
      </w:r>
      <w:r>
        <w:rPr>
          <w:rFonts w:ascii="Times New Roman;sans-serif" w:hAnsi="Times New Roman;sans-serif"/>
          <w:b w:val="false"/>
          <w:color w:val="000000"/>
          <w:sz w:val="20"/>
          <w:shd w:fill="FFFFFF" w:val="clear"/>
        </w:rPr>
        <w:t>, compensation expense related to RSUs tota</w:t>
      </w:r>
      <w:r>
        <w:rPr>
          <w:rFonts w:ascii="Times New Roman;sans-serif" w:hAnsi="Times New Roman;sans-serif"/>
          <w:b w:val="false"/>
          <w:color w:val="000000"/>
          <w:sz w:val="20"/>
        </w:rPr>
        <w:t>led $25 million, $24 million and $23 million, respectively</w:t>
      </w:r>
      <w:r>
        <w:rPr>
          <w:rFonts w:ascii="Times New Roman;sans-serif" w:hAnsi="Times New Roman;sans-serif"/>
          <w:b w:val="false"/>
          <w:color w:val="000000"/>
          <w:sz w:val="20"/>
          <w:shd w:fill="FFFFFF" w:val="clear"/>
        </w:rPr>
        <w:t>. As of December 31, 2024, total unrecognized compensation expense related to outstanding RSUs was $41 million, which will be recognized over a weighted average period of approximately two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Performance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performance stock unit (PSU) activity for the years ended December 31, 2024, 2023 and 2022:</w:t>
      </w:r>
    </w:p>
    <w:tbl>
      <w:tblPr>
        <w:tblW w:w="7751" w:type="dxa"/>
        <w:jc w:val="left"/>
        <w:tblInd w:w="0" w:type="dxa"/>
        <w:tblLayout w:type="fixed"/>
        <w:tblCellMar>
          <w:top w:w="28" w:type="dxa"/>
          <w:left w:w="28" w:type="dxa"/>
          <w:bottom w:w="28" w:type="dxa"/>
          <w:right w:w="28" w:type="dxa"/>
        </w:tblCellMar>
      </w:tblPr>
      <w:tblGrid>
        <w:gridCol w:w="1631"/>
        <w:gridCol w:w="1430"/>
        <w:gridCol w:w="1439"/>
        <w:gridCol w:w="419"/>
        <w:gridCol w:w="419"/>
        <w:gridCol w:w="421"/>
        <w:gridCol w:w="109"/>
        <w:gridCol w:w="109"/>
        <w:gridCol w:w="109"/>
        <w:gridCol w:w="323"/>
        <w:gridCol w:w="1106"/>
        <w:gridCol w:w="236"/>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PSUs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w:t>
              <w:br/>
              <w:t>Grant Date Fair</w:t>
              <w:br/>
              <w:t>Value per Share</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2021</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issued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issued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issued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as of December 31, 2024</w:t>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125.70 </w:t>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years ended December 31, 2024, 2023 and 2022, we awarded </w:t>
      </w:r>
      <w:r>
        <w:rPr>
          <w:rFonts w:ascii="Times New Roman;sans-serif" w:hAnsi="Times New Roman;sans-serif"/>
          <w:b w:val="false"/>
          <w:color w:val="000000"/>
          <w:sz w:val="20"/>
          <w:shd w:fill="FFFFFF" w:val="clear"/>
        </w:rPr>
        <w:t>153,883</w:t>
      </w:r>
      <w:r>
        <w:rPr>
          <w:rFonts w:ascii="Times New Roman;sans-serif" w:hAnsi="Times New Roman;sans-serif"/>
          <w:b w:val="false"/>
          <w:color w:val="000000"/>
          <w:sz w:val="20"/>
        </w:rPr>
        <w:t>, 80,452 and 79,043 PSUs to our executive officers, respectively. These awards are performance-based as the number of shares ultimately earned depends on performance against pre-determined targets for return on invested capital (ROIC), cash flow value creation (CFVC) and total shareholder return relative to the S&amp;P 500 index (RTSR). The PSUs are payable 50% in shares of common stock and 50% in cash after the end o</w:t>
      </w:r>
      <w:r>
        <w:rPr>
          <w:rFonts w:ascii="Times New Roman;sans-serif" w:hAnsi="Times New Roman;sans-serif"/>
          <w:b w:val="false"/>
          <w:color w:val="000000"/>
          <w:sz w:val="20"/>
          <w:shd w:fill="FFFFFF" w:val="clear"/>
        </w:rPr>
        <w:t xml:space="preserve">f a three-year </w:t>
      </w:r>
      <w:r>
        <w:rPr>
          <w:rFonts w:ascii="Times New Roman;sans-serif" w:hAnsi="Times New Roman;sans-serif"/>
          <w:b w:val="false"/>
          <w:color w:val="000000"/>
          <w:sz w:val="20"/>
        </w:rPr>
        <w:t>performance period, when our financial performance for the entire performance period is reported, typically in February of the succeeding year. At the end of the performance period, the number of PSUs awarded can range from 0% to 150% of the targeted amount, depending on the performance against the pre-determined targets.</w:t>
      </w:r>
    </w:p>
    <w:p>
      <w:pPr>
        <w:pStyle w:val="TextBody"/>
        <w:bidi w:val="0"/>
        <w:spacing w:lineRule="auto" w:line="288" w:before="100" w:after="283"/>
        <w:jc w:val="left"/>
        <w:rPr/>
      </w:pPr>
      <w:r>
        <w:rPr>
          <w:rFonts w:ascii="Times New Roman;sans-serif" w:hAnsi="Times New Roman;sans-serif"/>
          <w:b w:val="false"/>
          <w:color w:val="000000"/>
          <w:sz w:val="20"/>
        </w:rPr>
        <w:t xml:space="preserve">During the years ended December 31, 2024, 2023 and 2022, we awarded 120,433, </w:t>
      </w:r>
      <w:r>
        <w:rPr>
          <w:rFonts w:ascii="Times New Roman;sans-serif" w:hAnsi="Times New Roman;sans-serif"/>
          <w:b w:val="false"/>
          <w:color w:val="000000"/>
          <w:sz w:val="20"/>
          <w:shd w:fill="FFFFFF" w:val="clear"/>
        </w:rPr>
        <w:t>108,560 and 66,296 PSUs to our</w:t>
      </w:r>
      <w:r>
        <w:rPr>
          <w:color w:val="000000"/>
        </w:rPr>
        <w:t xml:space="preserve"> </w:t>
      </w:r>
      <w:r>
        <w:rPr>
          <w:rFonts w:ascii="Times New Roman;sans-serif" w:hAnsi="Times New Roman;sans-serif"/>
          <w:b w:val="false"/>
          <w:color w:val="000000"/>
          <w:sz w:val="20"/>
        </w:rPr>
        <w:t>employees other than our executive officers, respectively. The PSUs are payable 100% in shares of common stock after the end of a three-year performance period, when our financial performance for the entire performance period is reported, typically in February of the succeeding year. At the end of the performance period, the number of PSUs awarded can range from 0% to 150% of the targeted amount, depending on the performance against the pre-determined targets.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PSUs do not carry any voting or dividend rights, except the right to accumulate additional PSUs in lieu of dividends.</w:t>
      </w:r>
    </w:p>
    <w:p>
      <w:pPr>
        <w:pStyle w:val="TextBody"/>
        <w:bidi w:val="0"/>
        <w:spacing w:lineRule="auto" w:line="288" w:before="100" w:after="283"/>
        <w:jc w:val="left"/>
        <w:rPr/>
      </w:pPr>
      <w:r>
        <w:rPr>
          <w:rFonts w:ascii="Times New Roman;sans-serif" w:hAnsi="Times New Roman;sans-serif"/>
          <w:b w:val="false"/>
          <w:color w:val="000000"/>
          <w:sz w:val="20"/>
        </w:rPr>
        <w:t>D</w:t>
      </w:r>
      <w:r>
        <w:rPr>
          <w:rFonts w:ascii="Times New Roman;sans-serif" w:hAnsi="Times New Roman;sans-serif"/>
          <w:b w:val="false"/>
          <w:color w:val="000000"/>
          <w:sz w:val="20"/>
          <w:shd w:fill="FFFFFF" w:val="clear"/>
        </w:rPr>
        <w:t xml:space="preserve">uring the </w:t>
      </w:r>
      <w:r>
        <w:rPr>
          <w:rFonts w:ascii="Times New Roman;sans-serif" w:hAnsi="Times New Roman;sans-serif"/>
          <w:b w:val="false"/>
          <w:color w:val="000000"/>
          <w:sz w:val="20"/>
        </w:rPr>
        <w:t>years ended December 31, 2024, 2023 and 2022, we granted an additi</w:t>
      </w:r>
      <w:r>
        <w:rPr>
          <w:rFonts w:ascii="Times New Roman;sans-serif" w:hAnsi="Times New Roman;sans-serif"/>
          <w:b w:val="false"/>
          <w:color w:val="000000"/>
          <w:sz w:val="20"/>
          <w:shd w:fill="FFFFFF" w:val="clear"/>
        </w:rPr>
        <w:t>onal 6,795, 10,511 and 11,304 PSU</w:t>
      </w:r>
      <w:r>
        <w:rPr>
          <w:rFonts w:ascii="Times New Roman;sans-serif" w:hAnsi="Times New Roman;sans-serif"/>
          <w:b w:val="false"/>
          <w:color w:val="000000"/>
          <w:sz w:val="20"/>
        </w:rPr>
        <w:t xml:space="preserve">s to our executive officers, respectively, as dividend equivalents.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Compensation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stock-settled portion of the award that vests based on future ROIC and CFVC performance, compensation expense is measured using the fair value of our common stock at the grant date. For the cash-settled portion of the award that vests based on future ROIC and CFVC performance, compensation expense is recorded based on the fair value of our common stock at the end of each reporting period. Compensation expense is recognized ratably over the performance period based on our estimated achievement of the established performance criteria. Compensation expense is only recognized for the portion of the award that we expect to vest, which we estimate based on an assessment of the probability that the performance criteria will be achieved.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stock-settled portion of the award that vests based on RTSR, the grant date fair value is based on a Monte Carlo valuation and compensation expense is recognized on a straight-line basis over the vesting period. For the cash-settled portion of the award that vests based on RTSR, compensation expense also incorporates the fair value of our PSUs at the end of each reporting period. Compensation expense is recognized for the RTSR portion of the award whether or not the market conditions are achieved.</w:t>
      </w:r>
    </w:p>
    <w:p>
      <w:pPr>
        <w:pStyle w:val="TextBody"/>
        <w:bidi w:val="0"/>
        <w:spacing w:lineRule="auto" w:line="288" w:before="100" w:after="283"/>
        <w:jc w:val="left"/>
        <w:rPr/>
      </w:pPr>
      <w:r>
        <w:rPr>
          <w:rFonts w:ascii="Times New Roman;sans-serif" w:hAnsi="Times New Roman;sans-serif"/>
          <w:b w:val="false"/>
          <w:color w:val="000000"/>
          <w:sz w:val="20"/>
        </w:rPr>
        <w:t>D</w:t>
      </w:r>
      <w:r>
        <w:rPr>
          <w:rFonts w:ascii="Times New Roman;sans-serif" w:hAnsi="Times New Roman;sans-serif"/>
          <w:b w:val="false"/>
          <w:color w:val="000000"/>
          <w:sz w:val="20"/>
          <w:shd w:fill="FFFFFF" w:val="clear"/>
        </w:rPr>
        <w:t xml:space="preserve">uring the </w:t>
      </w:r>
      <w:r>
        <w:rPr>
          <w:rFonts w:ascii="Times New Roman;sans-serif" w:hAnsi="Times New Roman;sans-serif"/>
          <w:b w:val="false"/>
          <w:color w:val="000000"/>
          <w:sz w:val="20"/>
        </w:rPr>
        <w:t>years ended December 31, 2024, 2023 and 2022</w:t>
      </w:r>
      <w:r>
        <w:rPr>
          <w:rFonts w:ascii="Times New Roman;sans-serif" w:hAnsi="Times New Roman;sans-serif"/>
          <w:b w:val="false"/>
          <w:color w:val="000000"/>
          <w:sz w:val="20"/>
          <w:shd w:fill="FFFFFF" w:val="clear"/>
        </w:rPr>
        <w:t>, compensation expense related to PSUs tot</w:t>
      </w:r>
      <w:r>
        <w:rPr>
          <w:rFonts w:ascii="Times New Roman;sans-serif" w:hAnsi="Times New Roman;sans-serif"/>
          <w:b w:val="false"/>
          <w:color w:val="000000"/>
          <w:sz w:val="20"/>
        </w:rPr>
        <w:t>aled $30 million, $29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$22 million</w:t>
      </w:r>
      <w:r>
        <w:rPr>
          <w:rFonts w:ascii="Times New Roman;sans-serif" w:hAnsi="Times New Roman;sans-serif"/>
          <w:b w:val="false"/>
          <w:color w:val="000000"/>
          <w:sz w:val="20"/>
          <w:shd w:fill="FFFFFF" w:val="clear"/>
        </w:rPr>
        <w:t>, respectively. As of December 31, 2024, total unrecognized compensation expense related to outstanding PSUs was $25 million, which will be recognized over a weighted average period of approximately 1.5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605" cy="14605"/>
                <wp:effectExtent l="0" t="0" r="0" b="0"/>
                <wp:wrapNone/>
                <wp:docPr id="99" name="Frame9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Collective Bargaining Agreements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approximately 22% of our workforce was covered by collective bargaining agreements (CBAs), and approximately 4% of our workforce was covered by CBAs that will expire during 2025.</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Multiemployer Pension Plans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participate in multiemployer pension plans that generally provide retirement benefits to participants of contributing employers. We do not administer these plans. In general, these plans are managed by a board of trustees with the unions appointing certain trustees and other contributing employers of the plan appointing certain members. We generally are not represented on the board of trustees.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information available to us, we believe that some of the multiemployer plans to which we contribute are either critical or endangered as those terms are defined in the Pension Protection Act (PPA). The PPA requires underfunded pension plans to improve their funding ratios within prescribed intervals based on the level of their underfunding. Until the plan trustees develop the funding improvement plans or rehabilitation plans as required by the PPA, we cannot determine the amount of any additional contribution or other financial obligations that we may be subject to, if any. Accordingly, we cannot presently determine the effect that the PPA may have on our consolidated financial position, results of operations or cash flows.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under current law regarding multiemployer benefit plans, a plan’s termination, our voluntary withdrawal (which we consider from time to time), or the mass withdrawal from any under-funded multiemployer pension plan would require us to make payments to the plan for our proportionate share of the multiemployer plan’s unfunded vested liabilities. During the course of operating our business, we may incur withdrawal events regarding certain of the multiemployer pension plans in which we participate. We accrue for such events when losses become probable and reasonably estimable.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Republic’s participation in individually significant multiemployer pension plans for the year ended December 31, 2024 is outlined in the table below. Only with respect to multiemployer pension plans, we considered contributions in excess of $10 million in any period disclosed to be individually significant. The most recent PPA zone status available in 2024 and 2023 is for the plans’ year ended September 30, or December 31, 2023 and 2022, respectively. The status is based on information that Republic received from the plans and is certified by the plans’ actuary. Among other factors, plans in the critical red zone are generally less than 65% funded, plans in the endangered yellow zone are less than 80% funded and plans in the safe green zone are at least 80% funded. Plans in the critical and declining zone are classified as critical and projected to be insolvent in the current year or any of the 14 following plan years. The last column lists the expiration dates of the CBAs to which the plans are subject.</w:t>
      </w:r>
    </w:p>
    <w:tbl>
      <w:tblPr>
        <w:tblW w:w="10546" w:type="dxa"/>
        <w:jc w:val="left"/>
        <w:tblInd w:w="0" w:type="dxa"/>
        <w:tblLayout w:type="fixed"/>
        <w:tblCellMar>
          <w:top w:w="28" w:type="dxa"/>
          <w:left w:w="28" w:type="dxa"/>
          <w:bottom w:w="28" w:type="dxa"/>
          <w:right w:w="28" w:type="dxa"/>
        </w:tblCellMar>
      </w:tblPr>
      <w:tblGrid>
        <w:gridCol w:w="473"/>
        <w:gridCol w:w="416"/>
        <w:gridCol w:w="417"/>
        <w:gridCol w:w="244"/>
        <w:gridCol w:w="244"/>
        <w:gridCol w:w="248"/>
        <w:gridCol w:w="109"/>
        <w:gridCol w:w="109"/>
        <w:gridCol w:w="109"/>
        <w:gridCol w:w="155"/>
        <w:gridCol w:w="155"/>
        <w:gridCol w:w="156"/>
        <w:gridCol w:w="109"/>
        <w:gridCol w:w="109"/>
        <w:gridCol w:w="109"/>
        <w:gridCol w:w="155"/>
        <w:gridCol w:w="155"/>
        <w:gridCol w:w="156"/>
        <w:gridCol w:w="109"/>
        <w:gridCol w:w="109"/>
        <w:gridCol w:w="109"/>
        <w:gridCol w:w="420"/>
        <w:gridCol w:w="420"/>
        <w:gridCol w:w="421"/>
        <w:gridCol w:w="109"/>
        <w:gridCol w:w="109"/>
        <w:gridCol w:w="109"/>
        <w:gridCol w:w="196"/>
        <w:gridCol w:w="421"/>
        <w:gridCol w:w="109"/>
        <w:gridCol w:w="109"/>
        <w:gridCol w:w="109"/>
        <w:gridCol w:w="109"/>
        <w:gridCol w:w="196"/>
        <w:gridCol w:w="331"/>
        <w:gridCol w:w="109"/>
        <w:gridCol w:w="109"/>
        <w:gridCol w:w="109"/>
        <w:gridCol w:w="109"/>
        <w:gridCol w:w="196"/>
        <w:gridCol w:w="331"/>
        <w:gridCol w:w="109"/>
        <w:gridCol w:w="109"/>
        <w:gridCol w:w="109"/>
        <w:gridCol w:w="109"/>
        <w:gridCol w:w="270"/>
        <w:gridCol w:w="270"/>
        <w:gridCol w:w="271"/>
        <w:gridCol w:w="109"/>
        <w:gridCol w:w="109"/>
        <w:gridCol w:w="109"/>
        <w:gridCol w:w="259"/>
        <w:gridCol w:w="259"/>
        <w:gridCol w:w="368"/>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Pension Protection</w:t>
              <w:br/>
              <w:t>Act Zone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Funding</w:t>
              <w:br/>
              <w:t>Improvement</w:t>
              <w:br/>
              <w:t>or Rehabilitation</w:t>
              <w:br/>
              <w:t>Plan Status</w:t>
              <w:br/>
              <w:t>Pending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Republic</w:t>
              <w:br/>
              <w:t>Contributions to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Surcharge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Expiration Dates</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Legal Plan Name</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Implemented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Imposed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of CBAs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Western Conference of </w:t>
              <w:br/>
              <w:t>  Teamsters Pension Plan</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91-6145047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Safe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Safe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Various dates through 9/30/2029</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 other plans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Defined Contribution Plan</w:t>
      </w:r>
    </w:p>
    <w:p>
      <w:pPr>
        <w:pStyle w:val="TextBody"/>
        <w:bidi w:val="0"/>
        <w:spacing w:lineRule="auto" w:line="288" w:before="1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the Republic Services 401(k) Plan (the 401(k) Plan), which is a defined contribution plan covering all eligible employees. Under the 401(k) Plan, participants may direct us to defer a portion of their compensation to the 401(k) Plan, subject to Internal Revenue Code limitations. We provide for an employer matching contribution equal to 100% of the first 3% of eligible compensation and 50% of the next 2% of eligible compensation contributed by each employee, which is funded in cash. All contributions vest immediately.</w:t>
      </w:r>
    </w:p>
    <w:p>
      <w:pPr>
        <w:pStyle w:val="TextBody"/>
        <w:bidi w:val="0"/>
        <w:spacing w:lineRule="auto" w:line="288" w:before="100" w:after="283"/>
        <w:jc w:val="left"/>
        <w:rPr/>
      </w:pPr>
      <w:r>
        <w:rPr>
          <w:rFonts w:ascii="Times New Roman;sans-serif" w:hAnsi="Times New Roman;sans-serif"/>
          <w:b w:val="false"/>
          <w:color w:val="000000"/>
          <w:sz w:val="20"/>
          <w:shd w:fill="FFFFFF" w:val="clear"/>
        </w:rPr>
        <w:t xml:space="preserve">Total expense recorded for matching 401(k) contributions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2023 and 2022 was $95 million, $82 million and $74 million, respectively.</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Deferred Compensation Plan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eligible Republic employees, officers and directors with the opportunity to voluntarily defer base salary, bonus payments, long-term incentive awards and other compensation, as applicable, on a pre-tax basis through the Republic Services, Inc. Deferred Compensation Plan (the DCP). The DCP is a nonqualified deferred compensation plan that conforms to Section 409A of the Internal Revenue Code. Eligible participants can defer up to 80% of base salary and up to 100% of bonus,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compensation and directors’ fees. Under the DCP, some participants also are eligible for matching contributions. The matching contribution under the DCP is equal to the lesser of 2% of the participant’s compensation over established 401(k) limits or 50% of the amount the participant has deferred. The DCP participants have no ownership or security interest in any of the amounts deferred or the measurement funds under the DCP. The right of each participant in the DCP is solely that of a general, unsecured creditor of Republic with respect to his or her own interest under the DCP. Deferred amounts may be subject to forfeiture and are deemed invested among investment funds offered under the DCP, as directed by each participant. Payments of deferred amounts are payable following separation from service or at a date or dates elected by the participant when the deferral is elected. Payments of deferred amounts are made in either a lump sum or in annual installments over a period not exceeding 15 years.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invested in corporate-owned life insurance policies to satisfy future obligations under the DCP. These corporate-owned life insurance policies are held in a Rabbi Trust and are recorded at the amount that can be realized under insurance contracts at the balance sheet date, which is the cash surrender value adjusted for other charges or other amounts due that are probable at settlement. The aggregate cash surrender value of these life insurance policies was $125 million and $113 million as of December 31, 2024 and 2023, respectively, and is classified in other assets in our consolidated balance sheets. The DCP liability was $120 million and $115 million as of December 31, 2024 and 2023, respectively, and is classified in other long-term liabilities in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13.SHARE REPURCHASES AND DIVIDENDS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Available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approximately 11 million shares of common stock reserved for future grants under the Republic Services, Inc. 2021 Stock Incentive Plan.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Share Repurchases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our Board of Directors approved a $2.0 billion share repurchase authorization effective starting January 1, 2021 and extending through December 31, 2023. In October 2023, our Board of Directors approved a $3.0 billion share repurchase authorization effective starting January 1, 2024 and extending through December 31, 2026.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On a quarterly basis, our Board of Directors reviews the intrinsic value of our stock and the parameters around which we repurchase our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activity during the years ended December 31, 2024, 2023 and 2022 follows (in millions except per share amounts):</w:t>
      </w:r>
    </w:p>
    <w:tbl>
      <w:tblPr>
        <w:tblW w:w="6551" w:type="dxa"/>
        <w:jc w:val="left"/>
        <w:tblInd w:w="0" w:type="dxa"/>
        <w:tblLayout w:type="fixed"/>
        <w:tblCellMar>
          <w:top w:w="28" w:type="dxa"/>
          <w:left w:w="28" w:type="dxa"/>
          <w:bottom w:w="28" w:type="dxa"/>
          <w:right w:w="28" w:type="dxa"/>
        </w:tblCellMar>
      </w:tblPr>
      <w:tblGrid>
        <w:gridCol w:w="989"/>
        <w:gridCol w:w="869"/>
        <w:gridCol w:w="871"/>
        <w:gridCol w:w="211"/>
        <w:gridCol w:w="721"/>
        <w:gridCol w:w="109"/>
        <w:gridCol w:w="109"/>
        <w:gridCol w:w="109"/>
        <w:gridCol w:w="109"/>
        <w:gridCol w:w="211"/>
        <w:gridCol w:w="721"/>
        <w:gridCol w:w="109"/>
        <w:gridCol w:w="109"/>
        <w:gridCol w:w="109"/>
        <w:gridCol w:w="109"/>
        <w:gridCol w:w="211"/>
        <w:gridCol w:w="721"/>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repurchased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cost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average price paid per share, total repurchase costs and approximate maximum dollar value of the shares that may yet be         purchased under the plans or programs exclude a 1% excise tax.</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there were less than 1 million repurchased shares pending settlement, resulting in an associated $10 million of share repurchases unpaid and included within other accrued liabilities. As of December 31, 2023 and 2022, there were no repurchased shares pending settlement. As of December 31, 2024, the remaining authorized purchase capacity under our October 2023 repurchase program was $2.5 billion.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2024, our board of directors changed the status of 8 million treasury shares to authorized and unissued. In doing so, the number of our issued shares was reduced by the stated amount. Our accounting policy is to deduct the par value from common stock and to reflect the excess of cost over par value as a deduction from additional paid-in capital. The reduction in issued shares resulted in a change of $1,195 million in treasury stock which was reclassified as less than 1 million in common stock, and $1,195 million in additional paid-in capital. There was no effect on our total stockholders' equity position as a result of the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100" w:after="283"/>
        <w:jc w:val="left"/>
        <w:rPr/>
      </w:pPr>
      <w:r>
        <w:rPr>
          <w:rFonts w:ascii="Times New Roman;sans-serif" w:hAnsi="Times New Roman;sans-serif"/>
          <w:b w:val="false"/>
          <w:color w:val="000000"/>
          <w:sz w:val="20"/>
        </w:rPr>
        <w:t>In October 2024, our Board of Directors approved a quarterly dividend of $0.580 per share. Aggregate cash dividends declared were $699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$650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$603 million</w:t>
      </w:r>
      <w:r>
        <w:rPr>
          <w:color w:val="000000"/>
          <w:shd w:fill="FFFFFF" w:val="clear"/>
        </w:rPr>
        <w:t xml:space="preserve"> </w:t>
      </w:r>
      <w:r>
        <w:rPr>
          <w:rFonts w:ascii="Times New Roman;sans-serif" w:hAnsi="Times New Roman;sans-serif"/>
          <w:b w:val="false"/>
          <w:color w:val="000000"/>
          <w:sz w:val="20"/>
          <w:shd w:fill="FFFFFF" w:val="clear"/>
        </w:rPr>
        <w:t xml:space="preserve">for the years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and 2022, respectively. As of December 31, 2024, we recorded a quarterly dividend payable of $181 million to shareholders of record at the close of business on January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14.EARNINGS PER SHARE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attributable to Republic Services, Inc. by the weighted average number of common shares (including vested but unissued RSUs and PSUs) outstanding during the period. Diluted earnings per share is based on the combined weighted average number of common shares and common share equivalents outstanding, which include, where appropriate, the assumed exercise of employee stock options, unvested RSUs and unvested PSUs at the expected attainment levels. We use the treasury stock method in computing diluted earnings per share.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Earnings per share for the years ended December 31, 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and 2022</w:t>
      </w:r>
      <w:r>
        <w:rPr>
          <w:color w:val="000000"/>
        </w:rPr>
        <w:t xml:space="preserve"> </w:t>
      </w:r>
      <w:r>
        <w:rPr>
          <w:rFonts w:ascii="Times New Roman;sans-serif" w:hAnsi="Times New Roman;sans-serif"/>
          <w:b w:val="false"/>
          <w:color w:val="000000"/>
          <w:sz w:val="20"/>
        </w:rPr>
        <w:t>are calculated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2048"/>
        <w:gridCol w:w="1780"/>
        <w:gridCol w:w="1788"/>
        <w:gridCol w:w="211"/>
        <w:gridCol w:w="976"/>
        <w:gridCol w:w="109"/>
        <w:gridCol w:w="109"/>
        <w:gridCol w:w="109"/>
        <w:gridCol w:w="109"/>
        <w:gridCol w:w="211"/>
        <w:gridCol w:w="976"/>
        <w:gridCol w:w="109"/>
        <w:gridCol w:w="109"/>
        <w:gridCol w:w="109"/>
        <w:gridCol w:w="109"/>
        <w:gridCol w:w="211"/>
        <w:gridCol w:w="976"/>
        <w:gridCol w:w="156"/>
      </w:tblGrid>
      <w:tr>
        <w:trPr/>
        <w:tc>
          <w:tcPr>
            <w:tcW w:w="204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Republic Services,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316,530 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Republic Services,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316,530 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PSU awards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and common equivalent shares outstanding</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20"/>
        </w:rPr>
        <w:t xml:space="preserve">During the year ended December 31, 2024, there were no antidilutive securities outstanding. During each of the years ended December 31, 2023 and </w:t>
      </w:r>
      <w:r>
        <w:rPr>
          <w:rFonts w:ascii="Times New Roman;sans-serif" w:hAnsi="Times New Roman;sans-serif"/>
          <w:b w:val="false"/>
          <w:color w:val="000000"/>
          <w:sz w:val="20"/>
          <w:shd w:fill="FFFFFF" w:val="clear"/>
        </w:rPr>
        <w:t xml:space="preserve">2022, </w:t>
      </w:r>
      <w:r>
        <w:rPr>
          <w:rFonts w:ascii="Times New Roman;sans-serif" w:hAnsi="Times New Roman;sans-serif"/>
          <w:b w:val="false"/>
          <w:color w:val="000000"/>
          <w:sz w:val="20"/>
        </w:rPr>
        <w:t xml:space="preserve">there were less than 1 million antidilutive securities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 SEGMENT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are presented below as our reportable segments, which each provide integrated environmental services, including but not limited to collection, transfer, recycling and disposal.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generated $182 million, $170 million and $90 million of revenue in Canada for the years ended December 31, 2024, 2023 and 2022, respectively. As of December 31, 2024 and 2023, we had $129 million and $137 million, respectively, of long-lived assets in Canada. The remainder of our revenue and assets were related to our United States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(CODM) is Jon Vander Ark, President and Chief Executive Officer of Republic Services, Inc. Adjusted EBITDA is the single financial measure our CODM uses to evaluate segment profitability and returns, which informs resource allocation. For all segments, the CODM uses adjusted EBITDA to evaluate income generated from segment assets (return on invested capital). The CODM considers budget-to-actual variances and year-over-year growth on a monthly basis to assess the performance of each segment. Cost of operations and selling, general and administrative are significant segment expenses used in the evaluation.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pPr>
      <w:r>
        <w:rPr>
          <w:rFonts w:ascii="Times New Roman;sans-serif" w:hAnsi="Times New Roman;sans-serif"/>
          <w:b w:val="false"/>
          <w:color w:val="000000"/>
          <w:sz w:val="20"/>
        </w:rPr>
        <w:t xml:space="preserve">Summarized financial information concerning our reportable segments for the years ended December 31, 2024, 2023 and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follows:</w:t>
      </w:r>
    </w:p>
    <w:tbl>
      <w:tblPr>
        <w:tblW w:w="10205" w:type="dxa"/>
        <w:jc w:val="left"/>
        <w:tblInd w:w="0" w:type="dxa"/>
        <w:tblLayout w:type="fixed"/>
        <w:tblCellMar>
          <w:top w:w="28" w:type="dxa"/>
          <w:left w:w="28" w:type="dxa"/>
          <w:bottom w:w="28" w:type="dxa"/>
          <w:right w:w="28" w:type="dxa"/>
        </w:tblCellMar>
      </w:tblPr>
      <w:tblGrid>
        <w:gridCol w:w="516"/>
        <w:gridCol w:w="454"/>
        <w:gridCol w:w="386"/>
        <w:gridCol w:w="196"/>
        <w:gridCol w:w="646"/>
        <w:gridCol w:w="109"/>
        <w:gridCol w:w="109"/>
        <w:gridCol w:w="109"/>
        <w:gridCol w:w="109"/>
        <w:gridCol w:w="196"/>
        <w:gridCol w:w="646"/>
        <w:gridCol w:w="109"/>
        <w:gridCol w:w="109"/>
        <w:gridCol w:w="109"/>
        <w:gridCol w:w="109"/>
        <w:gridCol w:w="302"/>
        <w:gridCol w:w="997"/>
        <w:gridCol w:w="168"/>
        <w:gridCol w:w="109"/>
        <w:gridCol w:w="109"/>
        <w:gridCol w:w="109"/>
        <w:gridCol w:w="343"/>
        <w:gridCol w:w="975"/>
        <w:gridCol w:w="192"/>
        <w:gridCol w:w="109"/>
        <w:gridCol w:w="109"/>
        <w:gridCol w:w="109"/>
        <w:gridCol w:w="304"/>
        <w:gridCol w:w="862"/>
        <w:gridCol w:w="169"/>
        <w:gridCol w:w="109"/>
        <w:gridCol w:w="109"/>
        <w:gridCol w:w="109"/>
        <w:gridCol w:w="196"/>
        <w:gridCol w:w="646"/>
        <w:gridCol w:w="158"/>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Recycling &amp; Waste Subtotal</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SG&amp;A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
        <w:gridCol w:w="453"/>
        <w:gridCol w:w="385"/>
        <w:gridCol w:w="196"/>
        <w:gridCol w:w="646"/>
        <w:gridCol w:w="109"/>
        <w:gridCol w:w="109"/>
        <w:gridCol w:w="109"/>
        <w:gridCol w:w="109"/>
        <w:gridCol w:w="196"/>
        <w:gridCol w:w="646"/>
        <w:gridCol w:w="109"/>
        <w:gridCol w:w="109"/>
        <w:gridCol w:w="109"/>
        <w:gridCol w:w="109"/>
        <w:gridCol w:w="305"/>
        <w:gridCol w:w="1007"/>
        <w:gridCol w:w="169"/>
        <w:gridCol w:w="109"/>
        <w:gridCol w:w="109"/>
        <w:gridCol w:w="109"/>
        <w:gridCol w:w="342"/>
        <w:gridCol w:w="972"/>
        <w:gridCol w:w="191"/>
        <w:gridCol w:w="109"/>
        <w:gridCol w:w="109"/>
        <w:gridCol w:w="109"/>
        <w:gridCol w:w="302"/>
        <w:gridCol w:w="858"/>
        <w:gridCol w:w="168"/>
        <w:gridCol w:w="109"/>
        <w:gridCol w:w="109"/>
        <w:gridCol w:w="109"/>
        <w:gridCol w:w="196"/>
        <w:gridCol w:w="646"/>
        <w:gridCol w:w="159"/>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Recycling &amp; Waste Subtotal(1)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SG&amp;A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
        <w:gridCol w:w="453"/>
        <w:gridCol w:w="385"/>
        <w:gridCol w:w="196"/>
        <w:gridCol w:w="646"/>
        <w:gridCol w:w="109"/>
        <w:gridCol w:w="109"/>
        <w:gridCol w:w="109"/>
        <w:gridCol w:w="109"/>
        <w:gridCol w:w="196"/>
        <w:gridCol w:w="646"/>
        <w:gridCol w:w="109"/>
        <w:gridCol w:w="109"/>
        <w:gridCol w:w="109"/>
        <w:gridCol w:w="109"/>
        <w:gridCol w:w="305"/>
        <w:gridCol w:w="1007"/>
        <w:gridCol w:w="169"/>
        <w:gridCol w:w="109"/>
        <w:gridCol w:w="109"/>
        <w:gridCol w:w="109"/>
        <w:gridCol w:w="342"/>
        <w:gridCol w:w="972"/>
        <w:gridCol w:w="191"/>
        <w:gridCol w:w="109"/>
        <w:gridCol w:w="109"/>
        <w:gridCol w:w="109"/>
        <w:gridCol w:w="302"/>
        <w:gridCol w:w="858"/>
        <w:gridCol w:w="168"/>
        <w:gridCol w:w="109"/>
        <w:gridCol w:w="109"/>
        <w:gridCol w:w="109"/>
        <w:gridCol w:w="196"/>
        <w:gridCol w:w="646"/>
        <w:gridCol w:w="159"/>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Recycling &amp; Waste Subtotal(1)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SG&amp;A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Segment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3"/>
        </w:rPr>
      </w:pPr>
      <w:r>
        <w:rPr>
          <w:rFonts w:ascii="Times New Roman;sans-serif" w:hAnsi="Times New Roman;sans-serif"/>
          <w:b w:val="false"/>
          <w:color w:val="000000"/>
          <w:sz w:val="13"/>
        </w:rPr>
        <w:t>(1) The Recycling &amp; Waste Subtotal represents the combined results of our Group 1 and Group 2 reportable segments.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functions include marketing, operations support, business development, legal, tax, treasury, information technology, risk management, human resources and other administrative functions. National Accounts revenue included in Corporate entities and other represents the portion of revenue generated from nationwide and regional contracts in markets outside our operating areas where the associated material handling is subcontracted to local operators. Revenue and overhead costs of Corporate entities and other are either specifically assigned or allocated on a rational and consistent basis among our reportable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segments to calculate adjusted EBITDA.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presented in the tables above, adjusted EBITDA reflects certain adjustments for US Ecology, Inc., acquisition integration and deal costs, (income) losses from unconsolidated equity method investments, losses on extinguishment of debt, adjustments to withdrawal liabilities for a multiemployer pension fund, restructuring expenses, and gain on certain divestitures and impairments, net. This presentation is consistent with how our CODM reviews results of operations to make resource allocation decisions.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revenue reflects transactions within and between segments that generally are made on a basis intended to reflect the market value of such services. Capital expenditures for Corporate entities and other primarily include vehicle inventory acquired but not yet assigned to operating locations and facilities.</w:t>
      </w:r>
    </w:p>
    <w:p>
      <w:pPr>
        <w:pStyle w:val="TextBody"/>
        <w:bidi w:val="0"/>
        <w:spacing w:lineRule="auto" w:line="288" w:before="100" w:after="283"/>
        <w:jc w:val="left"/>
        <w:rPr/>
      </w:pPr>
      <w:r>
        <w:rPr>
          <w:rFonts w:ascii="Times New Roman;sans-serif" w:hAnsi="Times New Roman;sans-serif"/>
          <w:b w:val="false"/>
          <w:color w:val="000000"/>
          <w:sz w:val="20"/>
        </w:rPr>
        <w:t xml:space="preserve">A reconciliation of the Company's single measure of segment profitability (segment adjusted EBITDA) to Income before income tax provision in the Consolidated Statements of Net Income is as follows for the years ended December 31, 2024, 2023 and </w:t>
      </w:r>
      <w:r>
        <w:rPr>
          <w:rFonts w:ascii="Times New Roman;sans-serif" w:hAnsi="Times New Roman;sans-serif"/>
          <w:b w:val="false"/>
          <w:color w:val="000000"/>
          <w:sz w:val="20"/>
          <w:shd w:fill="FFFFFF" w:val="clear"/>
        </w:rPr>
        <w:t>2022 (in millions of dollars):</w:t>
      </w:r>
    </w:p>
    <w:tbl>
      <w:tblPr>
        <w:tblW w:w="8514" w:type="dxa"/>
        <w:jc w:val="left"/>
        <w:tblInd w:w="0" w:type="dxa"/>
        <w:tblLayout w:type="fixed"/>
        <w:tblCellMar>
          <w:top w:w="28" w:type="dxa"/>
          <w:left w:w="28" w:type="dxa"/>
          <w:bottom w:w="28" w:type="dxa"/>
          <w:right w:w="28" w:type="dxa"/>
        </w:tblCellMar>
      </w:tblPr>
      <w:tblGrid>
        <w:gridCol w:w="1777"/>
        <w:gridCol w:w="1557"/>
        <w:gridCol w:w="1571"/>
        <w:gridCol w:w="196"/>
        <w:gridCol w:w="556"/>
        <w:gridCol w:w="109"/>
        <w:gridCol w:w="109"/>
        <w:gridCol w:w="109"/>
        <w:gridCol w:w="109"/>
        <w:gridCol w:w="196"/>
        <w:gridCol w:w="556"/>
        <w:gridCol w:w="109"/>
        <w:gridCol w:w="109"/>
        <w:gridCol w:w="109"/>
        <w:gridCol w:w="109"/>
        <w:gridCol w:w="196"/>
        <w:gridCol w:w="556"/>
        <w:gridCol w:w="109"/>
        <w:gridCol w:w="109"/>
        <w:gridCol w:w="109"/>
        <w:gridCol w:w="154"/>
      </w:tblGrid>
      <w:tr>
        <w:trPr/>
        <w:tc>
          <w:tcPr>
            <w:tcW w:w="177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Group 1 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Group 2 Adjusted EBITDA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Group 3 Adjusted EBITDA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Adjusted EBITDA</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unconsolidated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withdrawal liability for multiemployer pension funds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certain divestitures and impairments,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Ecology, Inc. acquisition integration and deal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 and other related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16.REVENUE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primarily consist of providing environmental services. The following table disaggregates our revenue by service line for the years ended December 31 (in millions of dollars and as a percentage of revenue):</w:t>
      </w:r>
    </w:p>
    <w:tbl>
      <w:tblPr>
        <w:tblW w:w="10205" w:type="dxa"/>
        <w:jc w:val="left"/>
        <w:tblInd w:w="0" w:type="dxa"/>
        <w:tblLayout w:type="fixed"/>
        <w:tblCellMar>
          <w:top w:w="28" w:type="dxa"/>
          <w:left w:w="28" w:type="dxa"/>
          <w:bottom w:w="28" w:type="dxa"/>
          <w:right w:w="28" w:type="dxa"/>
        </w:tblCellMar>
      </w:tblPr>
      <w:tblGrid>
        <w:gridCol w:w="991"/>
        <w:gridCol w:w="869"/>
        <w:gridCol w:w="880"/>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317"/>
      </w:tblGrid>
      <w:tr>
        <w:trPr/>
        <w:tc>
          <w:tcPr>
            <w:tcW w:w="99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Small-container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Large-container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collection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intercompany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intercompany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Landfill,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intercompany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solutions,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Recycling processing and commodity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non-core revenue consists primarily of 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 </w:t>
      </w:r>
    </w:p>
    <w:p>
      <w:pPr>
        <w:pStyle w:val="TextBody"/>
        <w:bidi w:val="0"/>
        <w:spacing w:lineRule="auto" w:line="288" w:before="100" w:after="283"/>
        <w:jc w:val="left"/>
        <w:rPr/>
      </w:pPr>
      <w:r>
        <w:rPr>
          <w:rFonts w:ascii="Times New Roman;sans-serif" w:hAnsi="Times New Roman;sans-serif"/>
          <w:b w:val="false"/>
          <w:color w:val="000000"/>
          <w:sz w:val="20"/>
        </w:rPr>
        <w:t xml:space="preserve">See Note 15,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xml:space="preserve">, for additional information regarding revenue by reportable segment.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Revenue by Service Line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Collection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collection business involves the collection of material for transport to transfer stations, or directly to landfills or recycling centers. Our collection services business includes both recurring and temporary customer relationships. Our standard contract duration is three years, although some of our exclusive franchises are for significantly longer periods. The fees received for collection services are based primarily on the market, collection frequency, type of service, type and volume or weight of the material collected, the distance to the disposal facility and the cost of disposal.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small-container and residential collection fees are billed monthly or quarterly in advance. Our large-container customers are typically billed on a monthly basis based on the nature of the services provided during the period.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under these agreements is variable in nature based on the number of residential homes or businesses serviced during the period, the frequency of collection and the volume of material collected. In addition, certain of our contracts have annual price escalation clauses that are tied to changes in an underlying base index such as a consumer price index which are unknown at contract inception.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Transfer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at our transfer stations is primarily generated by charging tipping or disposal fees. The fees received for transfer services are based primarily on the market, type and volume or weight of the material accepted, the distance to the disposal facility and the cost of disposal. In general, fees are billed and revenue is recognized at the time the service is performed.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under these agreements is variable in nature based on the volume and nature of the material accepted at the transfer station.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Landfill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at our landfills is primarily generated by charging tipping fees to third parties based on the volume disposed and the nature of the waste. In general, fees are variable in nature and revenue is recognized at the time the waste is disposed at the facility.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Environmental Solutions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solutions revenue is primarily generated from the fees we charge for the collection, treatment, consolidation, disposal and recycling of hazardous and non-hazardous waste, field and industrial services, equipment rental, emergency response and standby services and in-plant services, such as transportation and logistics, including at our transfer, storage and disposal facilities (TSDF). Activity for this service line varies across markets and reflects the regulatory environment, pricing and disposal alternatives available in any given market. Revenue recognized under these agreements is variable in nature and primarily based on the volume and type of waste accepted or processed during the period. For certain field and industrial services contracts, we have a right to consideration from our customers in an amount that corresponds directly with the value to the customer of the Company's performance completed to date. Therefore, we have applied the practical expedient to recognize revenue in the amount to which we have the right to invoice.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Recycling Processing and Commodity Sales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recycling centers generate revenue through the processing and sale of old corrugated cardboard (OCC), old newsprint (ONP), aluminum, glass, plastic and other materials at market prices. In certain instances, we issue recycling rebates to our municipal or large-container customers, which can be based on the price we receive upon the final sale of recycled commodities, a fixed contractual rate or other measures. We also receive rebates when we dispose of recycled commodities at third-party facilities. The fees received are based primarily on the market, type and volume or weight of the materials sold. In general, fees are billed and revenue is recognized at the time title is transferred. Revenue recognized under these agreements is variable in nature based on the volume and type of materials sold. In addition, the amount of revenue recognized is based on commodity prices at the time of sale, which are unknown at contract inception.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service obligations of a long-term nature, e.g., certain collection service contracts, are satisfied over time, and we recognize revenue based on the value provided to the customer during the period. The amount billed to the customer is based on variable elements such as the number of residential homes or businesses for which collection services are provided, the volume of material collected, treated, transported and disposed, and the nature of the material accepted.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certain elements of our long-term customer contracts are unknown upon entering into the contract, including the amount that will be billed in accordance with annual price escalation clauses, our fuel recovery fee program and commodity prices. The amount to be billed is often tied to changes in an underlying base index such as a consumer price index or a fuel or commodity index, and revenue can be recognized once the index is established for the period.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Deferred Revenue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factors that impact the timing and amount of revenue recognized for each service line may vary based on the nature of the service performed. Generally, we recognize revenue at the time we perform a service. In the event that we bill for services in advance of performance, we recognize deferred revenue for the amount billed and subsequently recognize revenue at the time the service is provided. Depending on the nature of the contract, we may also generate revenue through the collection of fuel recovery fees and environmental fees which are designed to recover our internal costs of providing services to our customers.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deferred revenue recognized as of December 31, 2023 was recognized as revenue during 2024 when the service was performed.</w:t>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Deferred Contract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certain upfront payments to acquire customer contracts which are recognized as other assets in our consolidated balance sheet, and we amortize the asset over the respective contract life. In addition, we recognize sales commissions that represent an incremental cost of the contract as other assets in our consolidated balance sheet, and we amortize the asset over the average life of the customer relationship. As of December 31, 2024 and 2023, we recognized $82 million and $83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respectively, of deferred contract costs and capitalized sales commissions. During the years ended December 31, 2024, 2023 and 2022, we amortized $15 million, $14 million and $13 million, respectively, of capitalized sales commissions to selling, general and administrative expenses, and $4 million, $5 million and $6 million, respectively, of other deferred contract costs as a reduction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17.CHANGES IN ACCUMULATED OTHER COMPREHENSIVE LOSS BY COMPONENT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changes in accumulated other comprehensive loss, net of tax, by component, for the years ended December 31, 2024, 2023 and 2022 follows:</w:t>
      </w:r>
    </w:p>
    <w:tbl>
      <w:tblPr>
        <w:tblW w:w="10205" w:type="dxa"/>
        <w:jc w:val="left"/>
        <w:tblInd w:w="0" w:type="dxa"/>
        <w:tblLayout w:type="fixed"/>
        <w:tblCellMar>
          <w:top w:w="28" w:type="dxa"/>
          <w:left w:w="28" w:type="dxa"/>
          <w:bottom w:w="28" w:type="dxa"/>
          <w:right w:w="28" w:type="dxa"/>
        </w:tblCellMar>
      </w:tblPr>
      <w:tblGrid>
        <w:gridCol w:w="1480"/>
        <w:gridCol w:w="1215"/>
        <w:gridCol w:w="1220"/>
        <w:gridCol w:w="240"/>
        <w:gridCol w:w="484"/>
        <w:gridCol w:w="133"/>
        <w:gridCol w:w="109"/>
        <w:gridCol w:w="109"/>
        <w:gridCol w:w="109"/>
        <w:gridCol w:w="504"/>
        <w:gridCol w:w="1044"/>
        <w:gridCol w:w="280"/>
        <w:gridCol w:w="109"/>
        <w:gridCol w:w="109"/>
        <w:gridCol w:w="109"/>
        <w:gridCol w:w="516"/>
        <w:gridCol w:w="1071"/>
        <w:gridCol w:w="289"/>
        <w:gridCol w:w="109"/>
        <w:gridCol w:w="109"/>
        <w:gridCol w:w="109"/>
        <w:gridCol w:w="196"/>
        <w:gridCol w:w="390"/>
        <w:gridCol w:w="162"/>
      </w:tblGrid>
      <w:tr>
        <w:trPr/>
        <w:tc>
          <w:tcPr>
            <w:tcW w:w="148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Cash Flow </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Defined Benefit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before reclassifications</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loss</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current-period other comprehensive income (loss)</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loss</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current-period other comprehensive income (loss)</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Amounts reclassified from accumulated other comprehensive loss </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current-period other comprehensive income (loss)</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2024</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reclassifications out of accumulated other comprehensive loss for the years ended December 31, 2024, 2023 and 2022 follows:</w:t>
      </w:r>
    </w:p>
    <w:tbl>
      <w:tblPr>
        <w:tblW w:w="10205" w:type="dxa"/>
        <w:jc w:val="left"/>
        <w:tblInd w:w="0" w:type="dxa"/>
        <w:tblLayout w:type="fixed"/>
        <w:tblCellMar>
          <w:top w:w="28" w:type="dxa"/>
          <w:left w:w="28" w:type="dxa"/>
          <w:bottom w:w="28" w:type="dxa"/>
          <w:right w:w="28" w:type="dxa"/>
        </w:tblCellMar>
      </w:tblPr>
      <w:tblGrid>
        <w:gridCol w:w="1101"/>
        <w:gridCol w:w="967"/>
        <w:gridCol w:w="970"/>
        <w:gridCol w:w="109"/>
        <w:gridCol w:w="109"/>
        <w:gridCol w:w="109"/>
        <w:gridCol w:w="278"/>
        <w:gridCol w:w="471"/>
        <w:gridCol w:w="154"/>
        <w:gridCol w:w="154"/>
        <w:gridCol w:w="154"/>
        <w:gridCol w:w="154"/>
        <w:gridCol w:w="278"/>
        <w:gridCol w:w="471"/>
        <w:gridCol w:w="154"/>
        <w:gridCol w:w="154"/>
        <w:gridCol w:w="154"/>
        <w:gridCol w:w="154"/>
        <w:gridCol w:w="278"/>
        <w:gridCol w:w="578"/>
        <w:gridCol w:w="154"/>
        <w:gridCol w:w="109"/>
        <w:gridCol w:w="109"/>
        <w:gridCol w:w="109"/>
        <w:gridCol w:w="439"/>
        <w:gridCol w:w="428"/>
        <w:gridCol w:w="428"/>
        <w:gridCol w:w="428"/>
        <w:gridCol w:w="428"/>
        <w:gridCol w:w="622"/>
      </w:tblGrid>
      <w:tr>
        <w:trPr/>
        <w:tc>
          <w:tcPr>
            <w:tcW w:w="11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 Reclassified from 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Details about Accumulated Other Comprehensive Loss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Affected Line Item in the Statement Where Net Income is Presented</w:t>
            </w:r>
          </w:p>
        </w:tc>
      </w:tr>
      <w:tr>
        <w:trPr/>
        <w:tc>
          <w:tcPr>
            <w:tcW w:w="3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Terminated interest rate locks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(loss) reclassified into earnings,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2024, we terminated our qualified defined benefit pension plan, the BFI Retirement Plan (the Plan). The Plan covered certain employees in the United States, including some employees subject to collective bargaining agreements. Plan participants were provided the opportunity to receive their full accrued benefits from plan assets by either electing immediate lump sum distributions or annuity contracts with a qualifying third-party annuity provider. The purchase of the annuity contracts was funded directly by assets of the defined benefit pension plan. As a result, the plan was settled resulting in the recognition of a non-cash gain of $8 million related to the accelerated recognition of the proportional share of unamortized net actuarial gains previously recorded in accumulated other comprehensive loss. This gain was recorded to other income, net in our consolidated statements of income. All remaining obligations were settled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18.FINANCIAL INSTRUMENTS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measuring fair values of assets and liabilities, we use valuation techniques that maximize the use of observable inputs (Level 1) and minimize the use of unobservable inputs (Level 3). We also use market data or assumptions that we believe market participants would use in pricing an asset or liability, including assumptions about risk when appropriate.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for certain of our financial instruments, including cash, accounts receivable, accounts payable and certain other accrued liabilities, approximates fair value because of their short-term nature.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our assets and liabilities that are measured at fair value on a recurring basis include the following:</w:t>
      </w:r>
    </w:p>
    <w:tbl>
      <w:tblPr>
        <w:tblW w:w="10205" w:type="dxa"/>
        <w:jc w:val="left"/>
        <w:tblInd w:w="0" w:type="dxa"/>
        <w:tblLayout w:type="fixed"/>
        <w:tblCellMar>
          <w:top w:w="28" w:type="dxa"/>
          <w:left w:w="28" w:type="dxa"/>
          <w:bottom w:w="28" w:type="dxa"/>
          <w:right w:w="28" w:type="dxa"/>
        </w:tblCellMar>
      </w:tblPr>
      <w:tblGrid>
        <w:gridCol w:w="1578"/>
        <w:gridCol w:w="1327"/>
        <w:gridCol w:w="1352"/>
        <w:gridCol w:w="300"/>
        <w:gridCol w:w="646"/>
        <w:gridCol w:w="169"/>
        <w:gridCol w:w="109"/>
        <w:gridCol w:w="109"/>
        <w:gridCol w:w="109"/>
        <w:gridCol w:w="196"/>
        <w:gridCol w:w="421"/>
        <w:gridCol w:w="109"/>
        <w:gridCol w:w="109"/>
        <w:gridCol w:w="109"/>
        <w:gridCol w:w="109"/>
        <w:gridCol w:w="202"/>
        <w:gridCol w:w="421"/>
        <w:gridCol w:w="114"/>
        <w:gridCol w:w="109"/>
        <w:gridCol w:w="109"/>
        <w:gridCol w:w="109"/>
        <w:gridCol w:w="247"/>
        <w:gridCol w:w="531"/>
        <w:gridCol w:w="138"/>
        <w:gridCol w:w="109"/>
        <w:gridCol w:w="109"/>
        <w:gridCol w:w="109"/>
        <w:gridCol w:w="295"/>
        <w:gridCol w:w="612"/>
        <w:gridCol w:w="239"/>
      </w:tblGrid>
      <w:tr>
        <w:trPr/>
        <w:tc>
          <w:tcPr>
            <w:tcW w:w="157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Fair Value</w:t>
            </w:r>
          </w:p>
        </w:tc>
      </w:tr>
      <w:tr>
        <w:trPr/>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Quoted</w:t>
              <w:br/>
              <w:t>Prices in</w:t>
              <w:br/>
              <w:t>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Significant</w:t>
              <w:br/>
              <w:t>Unobservable</w:t>
              <w:br/>
              <w:t>Inputs</w:t>
              <w:br/>
              <w:t>(Level 3)</w:t>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mutual funds - restricted cash and marketable securities and other assets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Bonds and fixed income - restricted cash and marketable securities and other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and hedging assets - other assets, prepaid expenses and other current assets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and hedging liabilities - other accrued liabilities and other long-term liabilities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 other accrued liabilities and other long-term liabilities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78"/>
        <w:gridCol w:w="1327"/>
        <w:gridCol w:w="1352"/>
        <w:gridCol w:w="300"/>
        <w:gridCol w:w="646"/>
        <w:gridCol w:w="169"/>
        <w:gridCol w:w="109"/>
        <w:gridCol w:w="109"/>
        <w:gridCol w:w="109"/>
        <w:gridCol w:w="196"/>
        <w:gridCol w:w="421"/>
        <w:gridCol w:w="109"/>
        <w:gridCol w:w="109"/>
        <w:gridCol w:w="109"/>
        <w:gridCol w:w="109"/>
        <w:gridCol w:w="202"/>
        <w:gridCol w:w="421"/>
        <w:gridCol w:w="114"/>
        <w:gridCol w:w="109"/>
        <w:gridCol w:w="109"/>
        <w:gridCol w:w="109"/>
        <w:gridCol w:w="247"/>
        <w:gridCol w:w="531"/>
        <w:gridCol w:w="138"/>
        <w:gridCol w:w="109"/>
        <w:gridCol w:w="109"/>
        <w:gridCol w:w="109"/>
        <w:gridCol w:w="295"/>
        <w:gridCol w:w="612"/>
        <w:gridCol w:w="239"/>
      </w:tblGrid>
      <w:tr>
        <w:trPr/>
        <w:tc>
          <w:tcPr>
            <w:tcW w:w="157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42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Fair Value</w:t>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Quoted</w:t>
              <w:br/>
              <w:t>Prices in</w:t>
              <w:br/>
              <w:t>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Significant</w:t>
              <w:br/>
              <w:t>Unobservable</w:t>
              <w:br/>
              <w:t>Inputs</w:t>
              <w:br/>
              <w:t>(Level 3)</w:t>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mutual funds - restricted cash and marketable securities and other assets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Bonds - restricted cash and marketable securities and other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and hedging assets - other assets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and hedging liabilities - other accrued liabilities and other long-term liabilities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 other accrued liabilities and other long-term liabilities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Total Debt</w:t>
      </w:r>
    </w:p>
    <w:p>
      <w:pPr>
        <w:pStyle w:val="TextBody"/>
        <w:bidi w:val="0"/>
        <w:spacing w:lineRule="auto" w:line="288" w:before="100" w:after="283"/>
        <w:jc w:val="left"/>
        <w:rPr/>
      </w:pPr>
      <w:r>
        <w:rPr>
          <w:rFonts w:ascii="Times New Roman;sans-serif" w:hAnsi="Times New Roman;sans-serif"/>
          <w:b w:val="false"/>
          <w:color w:val="000000"/>
          <w:sz w:val="20"/>
        </w:rPr>
        <w:t xml:space="preserve">As of December 31, 2024 and 2023, the carrying value of our total debt was $12.7 billion and $12.8 billion, respectively, and the fair value of our total debt was $12.2 billion and $12.5 billion, respectively. The estimated fair value of our fixed rate senior notes and debentures is based on quoted market prices. The fair value of our remaining notes payable, tax-exempt financings and borrowings under our credit facilities approximates the carrying value because the interest rates are variable. The fair value estimates are based on Level 2 inputs of the fair value hierarchy as of December 31, 2024 and 2023. See Note 9, </w:t>
      </w:r>
      <w:r>
        <w:rPr>
          <w:rFonts w:ascii="Times New Roman;sans-serif" w:hAnsi="Times New Roman;sans-serif"/>
          <w:b w:val="false"/>
          <w:i/>
          <w:color w:val="000000"/>
          <w:sz w:val="20"/>
        </w:rPr>
        <w:t>Debt</w:t>
      </w:r>
      <w:r>
        <w:rPr>
          <w:rFonts w:ascii="Times New Roman;sans-serif" w:hAnsi="Times New Roman;sans-serif"/>
          <w:b w:val="false"/>
          <w:color w:val="000000"/>
          <w:sz w:val="20"/>
        </w:rPr>
        <w:t>, for further information related to our debt.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Contingent Consideration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2015, we entered into a waste management contract with the County of Sonoma, California to operate the county's waste management facilities. As of December 31, 2024, the Sonoma contingent consideration represents the fair value of $57 million payable to the County of Sonoma based on the achievement of future annual tonnage targets through the expected remaining capacity of the landfill. The potential undiscounted amount of all future contingent payments that we could be required to make under the waste management contract is estimated to be between approximately $77 million and $105 million. During 2024, the activity in the contingent consideration liability included accretion, which was offset by concession payments made in the ordinary course of business. There were no changes to the estimate of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19. COMMITMENTS AND CONTINGENCIES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pStyle w:val="TextBody"/>
        <w:bidi w:val="0"/>
        <w:spacing w:lineRule="auto" w:line="288" w:before="100" w:after="283"/>
        <w:jc w:val="left"/>
        <w:rPr/>
      </w:pPr>
      <w:r>
        <w:rPr>
          <w:rFonts w:ascii="Times New Roman;sans-serif" w:hAnsi="Times New Roman;sans-serif"/>
          <w:b w:val="false"/>
          <w:color w:val="000000"/>
          <w:sz w:val="20"/>
        </w:rPr>
        <w:t xml:space="preserve">As used herein, the term </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 xml:space="preserve">refers to litigation and similar claims against us and our subsidiaries, excluding: (1) ordinary course accidents, general commercial liability and workers' compensation claims, which are covered by insurance programs, subject to customary deductibles, and which, together with insured employee health care costs, are discussed in Note 7, </w:t>
      </w:r>
      <w:r>
        <w:rPr>
          <w:rFonts w:ascii="Times New Roman;sans-serif" w:hAnsi="Times New Roman;sans-serif"/>
          <w:b w:val="false"/>
          <w:i/>
          <w:color w:val="000000"/>
          <w:sz w:val="20"/>
        </w:rPr>
        <w:t>Other Liabilities</w:t>
      </w:r>
      <w:r>
        <w:rPr>
          <w:rFonts w:ascii="Times New Roman;sans-serif" w:hAnsi="Times New Roman;sans-serif"/>
          <w:b w:val="false"/>
          <w:color w:val="000000"/>
          <w:sz w:val="20"/>
        </w:rPr>
        <w:t xml:space="preserve">; and (2) environmental remediation liabilities, which are discussed in Note 8, </w:t>
      </w:r>
      <w:r>
        <w:rPr>
          <w:rFonts w:ascii="Times New Roman;sans-serif" w:hAnsi="Times New Roman;sans-serif"/>
          <w:b w:val="false"/>
          <w:i/>
          <w:color w:val="000000"/>
          <w:sz w:val="20"/>
        </w:rPr>
        <w:t>Landfill and Environmental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accrue for legal proceedings when losses become probable and reasonably estimable. We have recorded an aggregate accrual of approximately $13 million relating to our outstanding legal proceedings as of December 31, 2024. As of the end of each applicable reporting period, we review each of our legal proceedings and, where it is probable that a liability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If we had used the high ends of such ranges, our aggregate potential liability would be approximately $6 million higher than the amount recorded as of December 31, 2024.</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Multiemployer Pension Plans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participate in multiemployer pension plans that generally provide retirement benefits to participants of contributing employers. We do not administer these plans.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current law regarding multiemployer pension plans, our withdrawal (which we consider from time to time) or the mass withdrawal from any under-funded multiemployer pension plan (each, a Withdrawal Event) could require us to make payments to the plan for our proportionate share of the plan’s unfunded vested liabilities. During the course of operating our business, we incur Withdrawal Events regarding certain of the multiemployer pension plans in which we participate. We accrue for such events when losses become probable and reasonably estimable.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Unconditional Purchase Commitments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Royalties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to pay royalties to prior landowners or host communities, based on, among other things, revenue received and waste tonnage disposed at specified landfills. These royalties are generally payable quarterly and amounts incurred, but not paid, are accrued in our consolidated balance sheets. Royalties are accrued as revenue is received or tonnage is disposed of, as applicable, in the landfills.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Disposal Agreements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several agreements that require us to dispose of a minimum number of tons at third-party disposal facilities. Under these put-or-pay agreements, we must pay for agreed-upon minimum volumes regardless of the actual number of tons placed at the facilities.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Our unconditional purchase commitments have varying expiration dates, with some extending through the remaining life of the respective landfill. Future minimum payments under unconditional purchase commitments, consisting primarily of (1) disposal related agreements, which include fixed or minimum royalty payments, host agreements and take-or-pay and put-or-pay agreements, and (2) other obligations including committed capital expenditures and consulting service agreements, as of December 31, 2024 are as follows:</w:t>
      </w:r>
    </w:p>
    <w:tbl>
      <w:tblPr>
        <w:tblW w:w="1777" w:type="dxa"/>
        <w:jc w:val="left"/>
        <w:tblInd w:w="0" w:type="dxa"/>
        <w:tblLayout w:type="fixed"/>
        <w:tblCellMar>
          <w:top w:w="28" w:type="dxa"/>
          <w:left w:w="28" w:type="dxa"/>
          <w:bottom w:w="28" w:type="dxa"/>
          <w:right w:w="28" w:type="dxa"/>
        </w:tblCellMar>
      </w:tblPr>
      <w:tblGrid>
        <w:gridCol w:w="342"/>
        <w:gridCol w:w="300"/>
        <w:gridCol w:w="304"/>
        <w:gridCol w:w="211"/>
        <w:gridCol w:w="4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 and Restricted Cash and Marketable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restricted cash equivalents are included with cash and cash equivalents when reconciling the beginning-of-period and end-of-period total amounts shown on the statements of cash flows. Beginning-of-period and end-of-period cash, cash equivalents, restricted cash and restricted cash equivalents as presented in the statements of cash flows are reconciled as follows:</w:t>
      </w:r>
    </w:p>
    <w:tbl>
      <w:tblPr>
        <w:tblW w:w="10205" w:type="dxa"/>
        <w:jc w:val="left"/>
        <w:tblInd w:w="0" w:type="dxa"/>
        <w:tblLayout w:type="fixed"/>
        <w:tblCellMar>
          <w:top w:w="28" w:type="dxa"/>
          <w:left w:w="28" w:type="dxa"/>
          <w:bottom w:w="28" w:type="dxa"/>
          <w:right w:w="28" w:type="dxa"/>
        </w:tblCellMar>
      </w:tblPr>
      <w:tblGrid>
        <w:gridCol w:w="1698"/>
        <w:gridCol w:w="1482"/>
        <w:gridCol w:w="1490"/>
        <w:gridCol w:w="109"/>
        <w:gridCol w:w="109"/>
        <w:gridCol w:w="109"/>
        <w:gridCol w:w="401"/>
        <w:gridCol w:w="891"/>
        <w:gridCol w:w="209"/>
        <w:gridCol w:w="109"/>
        <w:gridCol w:w="109"/>
        <w:gridCol w:w="109"/>
        <w:gridCol w:w="401"/>
        <w:gridCol w:w="891"/>
        <w:gridCol w:w="209"/>
        <w:gridCol w:w="109"/>
        <w:gridCol w:w="109"/>
        <w:gridCol w:w="109"/>
        <w:gridCol w:w="393"/>
        <w:gridCol w:w="866"/>
        <w:gridCol w:w="293"/>
      </w:tblGrid>
      <w:tr>
        <w:trPr/>
        <w:tc>
          <w:tcPr>
            <w:tcW w:w="169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restricted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and restricted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restricted cash and marketable securities includes amounts pledged to regulatory agencies and governmental entities as financial guarantees of our performance under certain collection, landfill and transfer station contracts and permits and relating to our final capping, closure and post-closure obligations at our landfills and restricted cash and marketable securities related to our insurance obligations.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restricted cash and marketable securities as of December 31:</w:t>
      </w:r>
    </w:p>
    <w:tbl>
      <w:tblPr>
        <w:tblW w:w="5799" w:type="dxa"/>
        <w:jc w:val="left"/>
        <w:tblInd w:w="0" w:type="dxa"/>
        <w:tblLayout w:type="fixed"/>
        <w:tblCellMar>
          <w:top w:w="28" w:type="dxa"/>
          <w:left w:w="28" w:type="dxa"/>
          <w:bottom w:w="28" w:type="dxa"/>
          <w:right w:w="28" w:type="dxa"/>
        </w:tblCellMar>
      </w:tblPr>
      <w:tblGrid>
        <w:gridCol w:w="1395"/>
        <w:gridCol w:w="1228"/>
        <w:gridCol w:w="1232"/>
        <w:gridCol w:w="211"/>
        <w:gridCol w:w="466"/>
        <w:gridCol w:w="109"/>
        <w:gridCol w:w="109"/>
        <w:gridCol w:w="109"/>
        <w:gridCol w:w="109"/>
        <w:gridCol w:w="211"/>
        <w:gridCol w:w="46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Capping, closure and post-closure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restricted cash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must provide financial assurance to governmental agencies and a variety of other entities under applicable environmental regulations relating to our landfill operations for capping, closure and post-closure costs and our performance under certain collection, landfill and transfer station contracts. We satisfy our financial assurance requirements by providing surety bonds, letters of credit, insurance policies or trust deposits. The amount of the financial assurance requirements for capping, closure and post-closure costs is determined by applicable state environmental regulations, which vary by state. The financial assurance requirements for capping, closure and post-closure costs can either be for costs associated with a portion of the landfill or the entire landfill. Generally, states will require a third-party engineering specialist to determine the estimated capping, closure and post-closure costs that are used to determine the required amount of financial assurance for a landfill. The amount of financial assurance required can, and generally will, differ from the obligation determined and recorded under U.S. GAAP. The amount of the financial assurance requirements related to contract performance varies by contract. Additionally, we are required to provide financial assurance for our insurance program and collateral for certain performance obligations.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the following financial instruments and collateral in place to secure our financial assurances as of December 31:</w:t>
      </w:r>
    </w:p>
    <w:tbl>
      <w:tblPr>
        <w:tblW w:w="3638" w:type="dxa"/>
        <w:jc w:val="left"/>
        <w:tblInd w:w="0" w:type="dxa"/>
        <w:tblLayout w:type="fixed"/>
        <w:tblCellMar>
          <w:top w:w="28" w:type="dxa"/>
          <w:left w:w="28" w:type="dxa"/>
          <w:bottom w:w="28" w:type="dxa"/>
          <w:right w:w="28" w:type="dxa"/>
        </w:tblCellMar>
      </w:tblPr>
      <w:tblGrid>
        <w:gridCol w:w="505"/>
        <w:gridCol w:w="443"/>
        <w:gridCol w:w="446"/>
        <w:gridCol w:w="211"/>
        <w:gridCol w:w="616"/>
        <w:gridCol w:w="109"/>
        <w:gridCol w:w="109"/>
        <w:gridCol w:w="109"/>
        <w:gridCol w:w="109"/>
        <w:gridCol w:w="211"/>
        <w:gridCol w:w="61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 bonds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$317 million and $337 million of letters of credit outstanding under our Credit Facility as of December 31, 2024 and 2023, respectively. Surety bonds subject to expiration will expire on various dates through 2032.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instruments are issued in the normal course of business and are not classified as debt. Because we currently have no liability for this financial assurance, it is not reflected in our consolidated balance sheets. However, we have recorded capping, closure and post-closure obligations and insurance reserves as they are incurred.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own a 19.9% interest in a company that, among other activities, issues financial surety bonds to secure capping, closure and post-closure obligations for companies operating in the environmental services industry. We account for this investment using an alternative measurement approach. There have been no identified events or changes in circumstances that may have a significant adverse effect on the recoverability of this investment. This investee company and the parent company of the investee had written surety bonds for us relating primarily to our landfill operations for capping, closure and post-closure, of which $1,812 million were outstanding as of December 31, 2024. Our reimbursement obligations under these bonds are secured by an indemnity agreement with the investee and a surety bond.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Guarantees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contracts in the normal course of business that include indemnification clauses. Indemnifications relating to known liabilities are recorded in the consolidated financial statements based on our best estimate of required future payments. Certain of these indemnifications relate to contingent events or occurrences, such as the imposition of additional taxes due to a change in the tax law or adverse interpretation of the tax law and indemnifications made in divestiture agreements where we indemnify the buyer for liabilities that relate to our activities prior to the divestiture and that may become known in the future. We do not believe that these contingent obligations will have a material effect on our consolidated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STATEMENTS—(Continued)</w:t>
      </w:r>
    </w:p>
    <w:p>
      <w:pPr>
        <w:pStyle w:val="TextBody"/>
        <w:bidi w:val="0"/>
        <w:spacing w:before="100" w:after="283"/>
        <w:jc w:val="center"/>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property owners to guarantee the value of property that is adjacent to certain of our landfills. These agreements have varying terms. We do not believe that these contingent obligations will have a material effect on our consolidated financial position, results of operations or cash flows.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activities are conducted in the context of a developing and changing statutory and regulatory framework. Governmental regulation of the environmental services industry requires us to obtain and retain numerous governmental permits to conduct various aspects of our operations. These permits are subject to revocation, modification or denial. The costs and other capital expenditures that may be required to obtain or retain the applicable permits or comply with applicable regulations could be significant. Any revocation, modification or denial of permits could have a material adverse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9.CHANGES IN AND DISAGREEMENTS WITH ACCOUNTANTS ON ACCOUNTING AND FINANCIAL DISCLOSURE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ans-serif" w:hAnsi="Times New Roman;sans-serif"/>
          <w:b/>
          <w:color w:val="000000"/>
          <w:sz w:val="20"/>
        </w:rPr>
        <w:t>ITEM 9A.</w:t>
      </w:r>
      <w:r>
        <w:rPr>
          <w:color w:val="000000"/>
        </w:rPr>
        <w:t xml:space="preserve"> </w:t>
      </w:r>
      <w:r>
        <w:rPr>
          <w:rFonts w:ascii="Times New Roman;sans-serif" w:hAnsi="Times New Roman;sans-serif"/>
          <w:b/>
          <w:color w:val="000000"/>
          <w:sz w:val="20"/>
        </w:rPr>
        <w:t>CONTROLS AND PROCEDURES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REPORT OF MANAGEMENT ON REPUBLIC SERVICES, INC.’S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as members of management of Republic Services, Inc., are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(1) pertain to the maintenance of records that, in reasonable detail, accurately and fairly reflect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conditions, or that the degree of compliance with the policies and procedures may deteriorate.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under the supervision of and with the participation of our management, including the Chief Executive Officer, Chief Financial Officer and Chief Accounting Officer, assessed the effectiveness of our internal control over financial reporting as of December 31, 2024, based on criteria for effective internal control over financial reporting described in Internal Control — Integrated Framework (2013) issued by the Committee of Sponsoring Organizations of the Treadway Commission. Based on this assessment, we concluded that we maintained effective internal control over financial reporting as of December 31, 2024, based on the specified criteria.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has been audited by Ernst &amp; Young LLP, an independent registered public accounting firm, as stated in their attestation report which is included herein.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management, including our Chief Executive Officer and Chief Financial Officer, of the effectiveness of our disclosure controls and procedures (as defined in Exchange Act Rules 13a-15(e) and 15d-15(e)) as of the end of the period covered by this Annual Report. Based upon that evaluation, our Chief Executive Officer and Chief Financial Officer concluded that our disclosure controls and procedures were effective as of the end of the period covered by this Annual Report.</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an evaluation, under the supervision and with the participation of our management, including our Chief Executive Officer and Chief Financial Officer, there has been no change in our internal control over financial reporting during the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ended December 31, 2024 identified in connection with that evaluation,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ans-serif" w:hAnsi="Times New Roman;sans-serif"/>
          <w:b/>
          <w:color w:val="000000"/>
          <w:sz w:val="20"/>
        </w:rPr>
        <w:t>ITEM 9B.</w:t>
      </w:r>
      <w:r>
        <w:rPr>
          <w:color w:val="000000"/>
        </w:rPr>
        <w:t xml:space="preserve"> </w:t>
      </w:r>
      <w:r>
        <w:rPr>
          <w:rFonts w:ascii="Times New Roman;sans-serif" w:hAnsi="Times New Roman;sans-serif"/>
          <w:b/>
          <w:color w:val="000000"/>
          <w:sz w:val="20"/>
        </w:rPr>
        <w:t>OTHER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2024, no director or officer adopted or terminated any contract, instrument or written plan for the purchase or sale of Republic securities intended to satisfy the affirmative defense conditions of Rule 10b5-1(c) under the Exchange Act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10.DIRECTORS, EXECUTIVE OFFICERS AND CORPORATE GOVERNANCE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material appearing under the headings Proposal 1 - Election of Directors, Biographical Information Regarding Director Nominees, Board of Directors and Corporate Governance Matters, Delinquent Section 16(a) Reports and Executive Officers in the Proxy Statement for the 2025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11.EXECUTIVE COMPENSATION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material appearing under the headings Executive Compensation and Director Compensation in the Proxy Statement for the 2025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12.SECURITY OWNERSHIP OF CERTAIN BENEFICIAL OWNERS AND MANAGEMENT AND RELATED STOCKHOLDER MATTERS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material appearing under the headings Security Ownership of Five Percent Shareholders and Security Ownership of the Board of Directors and Management in the Proxy Statement for the 2025 Annual Meeting of Shareholders.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equity compensation plans as of December 31, 2024 (number of securities in millions):</w:t>
      </w:r>
    </w:p>
    <w:tbl>
      <w:tblPr>
        <w:tblW w:w="9070" w:type="dxa"/>
        <w:jc w:val="left"/>
        <w:tblInd w:w="0" w:type="dxa"/>
        <w:tblLayout w:type="fixed"/>
        <w:tblCellMar>
          <w:top w:w="28" w:type="dxa"/>
          <w:left w:w="28" w:type="dxa"/>
          <w:bottom w:w="28" w:type="dxa"/>
          <w:right w:w="28" w:type="dxa"/>
        </w:tblCellMar>
      </w:tblPr>
      <w:tblGrid>
        <w:gridCol w:w="1590"/>
        <w:gridCol w:w="1399"/>
        <w:gridCol w:w="1406"/>
        <w:gridCol w:w="354"/>
        <w:gridCol w:w="354"/>
        <w:gridCol w:w="356"/>
        <w:gridCol w:w="109"/>
        <w:gridCol w:w="109"/>
        <w:gridCol w:w="109"/>
        <w:gridCol w:w="293"/>
        <w:gridCol w:w="968"/>
        <w:gridCol w:w="165"/>
        <w:gridCol w:w="109"/>
        <w:gridCol w:w="109"/>
        <w:gridCol w:w="109"/>
        <w:gridCol w:w="448"/>
        <w:gridCol w:w="448"/>
        <w:gridCol w:w="635"/>
      </w:tblGrid>
      <w:tr>
        <w:trPr/>
        <w:tc>
          <w:tcPr>
            <w:tcW w:w="159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 Category</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Number of</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to be</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Issued Upon</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Exercise of</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Outstanding </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Options</w:t>
            </w:r>
          </w:p>
          <w:p>
            <w:pPr>
              <w:pStyle w:val="TableContents"/>
              <w:bidi w:val="0"/>
              <w:spacing w:lineRule="auto" w:line="240" w:before="0" w:after="0"/>
              <w:jc w:val="center"/>
              <w:rPr/>
            </w:pPr>
            <w:r>
              <w:rPr>
                <w:rFonts w:ascii="Times New Roman;sans-serif" w:hAnsi="Times New Roman;sans-serif"/>
                <w:b w:val="false"/>
                <w:color w:val="000000"/>
                <w:sz w:val="18"/>
              </w:rPr>
              <w:t xml:space="preserve">and Rights </w:t>
            </w:r>
            <w:r>
              <w:rPr>
                <w:rFonts w:ascii="Times New Roman;sans-serif" w:hAnsi="Times New Roman;sans-serif"/>
                <w:b w:val="false"/>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Weighted Average</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Exercise Price of</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Outstanding</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Options</w:t>
            </w:r>
          </w:p>
          <w:p>
            <w:pPr>
              <w:pStyle w:val="TableContents"/>
              <w:bidi w:val="0"/>
              <w:spacing w:lineRule="auto" w:line="240" w:before="0" w:after="0"/>
              <w:jc w:val="center"/>
              <w:rPr/>
            </w:pPr>
            <w:r>
              <w:rPr>
                <w:rFonts w:ascii="Times New Roman;sans-serif" w:hAnsi="Times New Roman;sans-serif"/>
                <w:b w:val="false"/>
                <w:color w:val="000000"/>
                <w:sz w:val="18"/>
              </w:rPr>
              <w:t>and Rights</w:t>
            </w:r>
            <w:r>
              <w:rPr>
                <w:color w:val="000000"/>
              </w:rPr>
              <w:t xml:space="preserve"> </w:t>
            </w:r>
            <w:r>
              <w:rPr>
                <w:rFonts w:ascii="Times New Roman;sans-serif" w:hAnsi="Times New Roman;sans-serif"/>
                <w:b w:val="false"/>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Number of</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Remaining</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Available</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Future Issuance</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Under Equity</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Compensation</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Plans (excluding</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reflected in</w:t>
            </w:r>
          </w:p>
          <w:p>
            <w:pPr>
              <w:pStyle w:val="TableContents"/>
              <w:bidi w:val="0"/>
              <w:spacing w:lineRule="auto" w:line="240" w:before="0" w:after="0"/>
              <w:jc w:val="center"/>
              <w:rPr/>
            </w:pPr>
            <w:r>
              <w:rPr>
                <w:rFonts w:ascii="Times New Roman;sans-serif" w:hAnsi="Times New Roman;sans-serif"/>
                <w:b w:val="false"/>
                <w:color w:val="000000"/>
                <w:sz w:val="18"/>
              </w:rPr>
              <w:t>the first column) </w:t>
            </w:r>
            <w:r>
              <w:rPr>
                <w:rFonts w:ascii="Times New Roman;sans-serif" w:hAnsi="Times New Roman;sans-serif"/>
                <w:b w:val="false"/>
                <w:color w:val="000000"/>
                <w:sz w:val="12"/>
              </w:rPr>
              <w:t>(d)</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Equity compensation plans approved by security holders </w:t>
            </w:r>
            <w:r>
              <w:rPr>
                <w:rFonts w:ascii="Times New Roman;sans-serif" w:hAnsi="Times New Roman;sans-serif"/>
                <w:b w:val="false"/>
                <w:color w:val="000000"/>
                <w:sz w:val="12"/>
              </w:rPr>
              <w:t>(a)</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not approved by security holders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r>
        <w:rPr>
          <w:rFonts w:ascii="Times New Roman;sans-serif" w:hAnsi="Times New Roman;sans-serif"/>
          <w:b w:val="false"/>
          <w:color w:val="000000"/>
          <w:sz w:val="20"/>
        </w:rPr>
        <w:t>____________</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(a)Includes our 2006 Plan, Amended and Restated 2007 Stock Incentive Plan, our 2018 Employee Stock Purchase Plan (ESPP) and our 2021 Stock Incentive Plan.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(b)Includes no stock options as all were exercised in or prior to 2020, approximately 1 million shares underlying restricted stock units, less than 1 million shares underlying performance shares and less than 1 million shares underlying purchase rights that accrue under the ESPP.</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(c)Excludes restricted stock units and performance shares as these awards do not have exercise prices.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(d)The shares remaining available for future issuances include approximately 11 million shares under our 2021 Stock Incentive Plan and approximately 2 million shares under our ESPP. No further awards will be granted under the Amended and Restated 2007 Stock Incentive Plan after December 31,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13.CERTAIN RELATIONSHIPS AND RELATED TRANSACTIONS, AND DIRECTOR INDEPENDENCE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material appearing under the headings Board of Directors and Corporate Governance Matters and Certain Relationships and Related Party Transactions in the Proxy Statement for the 2025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14.PRINCIPAL ACCOUNTANT FEES AND SERVICES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material appearing under the heading Audit and Related Fees in the Proxy Statement for the 2025 Annual Meeting of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ITEM 15.</w:t>
      </w:r>
      <w:r>
        <w:rPr>
          <w:rFonts w:ascii="Times New Roman;sans-serif" w:hAnsi="Times New Roman;sans-serif"/>
          <w:b/>
          <w:color w:val="000000"/>
          <w:sz w:val="20"/>
        </w:rPr>
        <w:t>EXHIBITS AND FINANCIAL STATEMENT SCHEDULES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1.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set forth under Part II, Item 8 of this Annual Report on Form 10-K.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 Financial Statement Schedules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as the required information is not applicable or the information is presented in the consolidated financial statements and notes thereto in Part II, Item 8 of this Annual Report on Form 10-K.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Exhibits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herewith or are incorporated by reference to exhibits previously filed with the SEC, as indicated in the description of each, File No. 1-14267 in the case of Republic and File No. 1-14705 and No. 0-19285 in the case of Allied, and File No. 1-06805 in the case of Browning-Ferris Industries, Inc.</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778"/>
        <w:gridCol w:w="2620"/>
        <w:gridCol w:w="371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00"/>
                  <w:sz w:val="20"/>
                </w:rPr>
                <w:t>Amended and Restated Certificate of Incorporation (incorporated by reference to Exhibit 3.1 of the Company’s Quarterly Report on Form 10-Q for the period ended June 30, 1998).</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00"/>
                  <w:sz w:val="20"/>
                </w:rPr>
                <w:t>Certificate of Amendment of Amended and Restated Certificate of Incorporation of Republic Services, Inc. (incorporated by reference to Exhibit 4.2 of the Company’s Registration Statement on Form S-8, Registration No. 333-81801, filed with the Commission on June 29, 1999).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80"/>
                  <w:sz w:val="20"/>
                </w:rPr>
                <w:t>Amended and Restated Bylaws of Republic Services, Inc. (incorporated by reference to Exhibit 3.</w:t>
              </w:r>
            </w:hyperlink>
            <w:hyperlink r:id="rId10">
              <w:r>
                <w:rPr>
                  <w:rStyle w:val="InternetLink"/>
                  <w:rFonts w:ascii="Times New Roman;sans-serif" w:hAnsi="Times New Roman;sans-serif"/>
                  <w:b w:val="false"/>
                  <w:color w:val="000080"/>
                  <w:sz w:val="20"/>
                </w:rPr>
                <w:t>1</w:t>
              </w:r>
            </w:hyperlink>
            <w:hyperlink r:id="rId11">
              <w:r>
                <w:rPr>
                  <w:rStyle w:val="InternetLink"/>
                  <w:rFonts w:ascii="Times New Roman;sans-serif" w:hAnsi="Times New Roman;sans-serif"/>
                  <w:b w:val="false"/>
                  <w:color w:val="000080"/>
                  <w:sz w:val="20"/>
                </w:rPr>
                <w:t xml:space="preserve"> of the Company's </w:t>
              </w:r>
            </w:hyperlink>
            <w:hyperlink r:id="rId12">
              <w:r>
                <w:rPr>
                  <w:rStyle w:val="InternetLink"/>
                  <w:rFonts w:ascii="Times New Roman;sans-serif" w:hAnsi="Times New Roman;sans-serif"/>
                  <w:b w:val="false"/>
                  <w:color w:val="000080"/>
                  <w:sz w:val="20"/>
                </w:rPr>
                <w:t>Quarterly Report</w:t>
              </w:r>
            </w:hyperlink>
            <w:hyperlink r:id="rId13">
              <w:r>
                <w:rPr>
                  <w:rStyle w:val="InternetLink"/>
                  <w:rFonts w:ascii="Times New Roman;sans-serif" w:hAnsi="Times New Roman;sans-serif"/>
                  <w:b w:val="false"/>
                  <w:color w:val="000080"/>
                  <w:sz w:val="20"/>
                </w:rPr>
                <w:t xml:space="preserve"> on Form</w:t>
              </w:r>
            </w:hyperlink>
            <w:hyperlink r:id="rId14">
              <w:r>
                <w:rPr>
                  <w:rStyle w:val="InternetLink"/>
                  <w:rFonts w:ascii="Times New Roman;sans-serif" w:hAnsi="Times New Roman;sans-serif"/>
                  <w:b w:val="false"/>
                  <w:color w:val="000080"/>
                  <w:sz w:val="20"/>
                </w:rPr>
                <w:t xml:space="preserve"> 10-Q for the period ended </w:t>
              </w:r>
            </w:hyperlink>
            <w:hyperlink r:id="rId15">
              <w:r>
                <w:rPr>
                  <w:rStyle w:val="InternetLink"/>
                  <w:rFonts w:ascii="Times New Roman;sans-serif" w:hAnsi="Times New Roman;sans-serif"/>
                  <w:b w:val="false"/>
                  <w:color w:val="000080"/>
                  <w:sz w:val="20"/>
                </w:rPr>
                <w:t>September 30, 2022</w:t>
              </w:r>
            </w:hyperlink>
            <w:r>
              <w:rPr>
                <w:rFonts w:ascii="Times New Roman;sans-serif" w:hAnsi="Times New Roman;sans-serif"/>
                <w:b w:val="false"/>
                <w:color w:val="000000"/>
                <w:sz w:val="20"/>
              </w:rP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00"/>
                  <w:sz w:val="20"/>
                </w:rPr>
                <w:t>Republic Services, Inc. Common Stock Certificate (incorporated by reference to Exhibit 4.4 of the Company’s Registration Statement on Form S-8, Registration No. 333-81801, filed with the Commission on June 29, 1999).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August 15, 2001 between Republic Services, Inc. and The Bank of New York, as trustee, including the form of notes (incorporated by reference to Exhibit 4.1 of the Company’s Current Report on Form 8-K filed August 16, 2001).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00"/>
                  <w:sz w:val="20"/>
                </w:rPr>
                <w:t>Second Supplemental Indenture, dated as of March 21, 2005, to the Indenture dated as of August 15, 2001, by and between Republic Services, Inc. and The Bank of New York, as trustee, including the form of 6.086% Note due March 15, 2035 (incorporated by reference to Exhibit 4.1 of the Company’s Quarterly Report on Form 10-Q for the quarter ended March 31, 2005).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ans-serif" w:hAnsi="Times New Roman;sans-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00"/>
                  <w:sz w:val="20"/>
                </w:rPr>
                <w:t>Indenture, dated as of September 8, 2009, by and between Republic Services, Inc. and The Bank of New York Mellon Trust Company, N.A., as trustee (incorporated by reference to Exhibit 4.1 of the Company’s Current Report on Form 8-K dated September 9, 2009).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ans-serif" w:hAnsi="Times New Roman;sans-serif"/>
                  <w:b w:val="false"/>
                  <w:color w:val="000080"/>
                  <w:sz w:val="20"/>
                  <w:u w:val="single"/>
                </w:rPr>
                <w:t>4.</w:t>
              </w:r>
            </w:hyperlink>
            <w:hyperlink r:id="rId24">
              <w:r>
                <w:rPr>
                  <w:rStyle w:val="InternetLink"/>
                  <w:rFonts w:ascii="Times New Roman;sans-serif" w:hAnsi="Times New Roman;sans-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as of May 9, 2011, to the Indenture dated as of September 8, 2009, by and among Republic Services, Inc., the guarantors named therein and The Bank of New York Mellon Trust Company, N.A., as trustee, including the form of 5.700% Notes due 2041 (incorporated by reference to Exhibit 4.3 of the Company’s Current Report on Form 8-K dated May 9, 2011).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ans-serif" w:hAnsi="Times New Roman;sans-serif"/>
                  <w:b w:val="false"/>
                  <w:color w:val="000080"/>
                  <w:sz w:val="20"/>
                  <w:u w:val="single"/>
                </w:rPr>
                <w:t>4.</w:t>
              </w:r>
            </w:hyperlink>
            <w:hyperlink r:id="rId26">
              <w:r>
                <w:rPr>
                  <w:rStyle w:val="InternetLink"/>
                  <w:rFonts w:ascii="Times New Roman;sans-serif" w:hAnsi="Times New Roman;sans-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November 25, 2009, by and between Republic Services, Inc. and U.S. Bank National Association, as trustee (incorporated by reference to Exhibit 4.1 of the Company’s Current Report on Form 8-K dated November 25, 2009).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ans-serif" w:hAnsi="Times New Roman;sans-serif"/>
                  <w:b w:val="false"/>
                  <w:color w:val="000080"/>
                  <w:sz w:val="20"/>
                  <w:u w:val="single"/>
                </w:rPr>
                <w:t>4.</w:t>
              </w:r>
            </w:hyperlink>
            <w:hyperlink r:id="rId28">
              <w:r>
                <w:rPr>
                  <w:rStyle w:val="InternetLink"/>
                  <w:rFonts w:ascii="Times New Roman;sans-serif" w:hAnsi="Times New Roman;sans-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as of March 4, 2010, to the Indenture dated as of November 25, 2009, by and among Republic Services, Inc., the guarantors named therein and U.S. Bank National Association, as trustee, including the form of 6.20% Notes due 2040 (incorporated by reference to Exhibit 4.2 of the Company’s Current Report on Form 8-K dated March 4, 2010).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ans-serif" w:hAnsi="Times New Roman;sans-serif"/>
                  <w:b w:val="false"/>
                  <w:color w:val="000080"/>
                  <w:sz w:val="20"/>
                  <w:u w:val="single"/>
                </w:rPr>
                <w:t>4.</w:t>
              </w:r>
            </w:hyperlink>
            <w:hyperlink r:id="rId30">
              <w:r>
                <w:rPr>
                  <w:rStyle w:val="InternetLink"/>
                  <w:rFonts w:ascii="Times New Roman;sans-serif" w:hAnsi="Times New Roman;sans-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Restated Indenture, dated as of September 1, 1991, by and between Browning-Ferris Industries, Inc. and First City, Texas-Houston, National Association, as trustee (incorporated by reference to Exhibit 4.22 of Allied’s Registration Statement on Form S-4/A (No. 333-61744)).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ans-serif" w:hAnsi="Times New Roman;sans-serif"/>
                  <w:b w:val="false"/>
                  <w:color w:val="000080"/>
                  <w:sz w:val="20"/>
                  <w:u w:val="single"/>
                </w:rPr>
                <w:t>4.</w:t>
              </w:r>
            </w:hyperlink>
            <w:hyperlink r:id="rId32">
              <w:r>
                <w:rPr>
                  <w:rStyle w:val="InternetLink"/>
                  <w:rFonts w:ascii="Times New Roman;sans-serif" w:hAnsi="Times New Roman;sans-serif"/>
                  <w:b w:val="false"/>
                  <w:color w:val="000080"/>
                  <w:sz w:val="20"/>
                  <w:u w:val="singl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as of July 30, 1999, to the Restated Indenture dated as of September 1, 1991, by and among Allied Waste Industries, Inc., Allied Waste North America, Inc., Browning-Ferris Industries, Inc. and Chase Bank of Texas, National Association, as trustee (incorporated by reference to Exhibit 4.23 of Allied’s Registration Statement on Form S-4/A (No. 333-61744)).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63"/>
        <w:gridCol w:w="2663"/>
        <w:gridCol w:w="378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ans-serif" w:hAnsi="Times New Roman;sans-serif"/>
                  <w:b w:val="false"/>
                  <w:color w:val="000080"/>
                  <w:sz w:val="20"/>
                  <w:u w:val="single"/>
                </w:rPr>
                <w:t>4.1</w:t>
              </w:r>
            </w:hyperlink>
            <w:hyperlink r:id="rId34">
              <w:r>
                <w:rPr>
                  <w:rStyle w:val="InternetLink"/>
                  <w:rFonts w:ascii="Times New Roman;sans-serif" w:hAnsi="Times New Roman;sans-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[sic] Supplemental Indenture, dated as of December 31, 2004, to the Restated Indenture dated as of September 1, 1991, by and among Browning-Ferris Industries, Inc., BBCO, Inc. and JP Morgan Chase Bank, National Association as trustee (incorporated by reference to Exhibit 4.33 of Allied’s Annual Report on Form 10-K for the year ended December 31, 2004).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ans-serif" w:hAnsi="Times New Roman;sans-serif"/>
                  <w:b w:val="false"/>
                  <w:color w:val="000080"/>
                  <w:sz w:val="20"/>
                  <w:u w:val="single"/>
                </w:rPr>
                <w:t>4.1</w:t>
              </w:r>
            </w:hyperlink>
            <w:hyperlink r:id="rId36">
              <w:r>
                <w:rPr>
                  <w:rStyle w:val="InternetLink"/>
                  <w:rFonts w:ascii="Times New Roman;sans-serif" w:hAnsi="Times New Roman;sans-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as of December 5, 2008, to the Restated Indenture dated as of September 1, 1991, by and among Allied Waste Industries, Inc., Allied Waste North America, Inc., Browning-Ferris Industries, LLC (successor to Browning-Ferris Industries, Inc.), BBCO, Inc., Republic Services, Inc., the guarantors party thereto and The Bank of New York Mellon Trust Company, N.A., as trustee (incorporated by reference to Exhibit 4.1 of the Company’s Current Report on Form 8-K dated December 10, 2008).</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ans-serif" w:hAnsi="Times New Roman;sans-serif"/>
                  <w:b w:val="false"/>
                  <w:color w:val="000080"/>
                  <w:sz w:val="20"/>
                  <w:u w:val="single"/>
                </w:rPr>
                <w:t>4.1</w:t>
              </w:r>
            </w:hyperlink>
            <w:hyperlink r:id="rId38">
              <w:r>
                <w:rPr>
                  <w:rStyle w:val="InternetLink"/>
                  <w:rFonts w:ascii="Times New Roman;sans-serif" w:hAnsi="Times New Roman;sans-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as of March 11, 2015, to the Indenture, dated as of November 25, 2009, between Republic Services, Inc. and U.S. Bank National Association, as trustee, including the form of 3.20% Notes due 2025 (incorporated by reference to Exhibit 4.1 of the Company's Current Report on Form 8-K dated March 11, 2015).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ans-serif" w:hAnsi="Times New Roman;sans-serif"/>
                  <w:b w:val="false"/>
                  <w:color w:val="000080"/>
                  <w:sz w:val="20"/>
                  <w:u w:val="single"/>
                </w:rPr>
                <w:t>4.1</w:t>
              </w:r>
            </w:hyperlink>
            <w:hyperlink r:id="rId40">
              <w:r>
                <w:rPr>
                  <w:rStyle w:val="InternetLink"/>
                  <w:rFonts w:ascii="Times New Roman;sans-serif" w:hAnsi="Times New Roman;sans-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dated as of July 5, 2016, to the Indenture, dated as of November 25, 2009, between Republic Services, Inc. and U.S. Bank National Association, as trustee, including the form of 2.900% Notes due 2026 (incorporated by reference to Exhibit 4.1 of the Company's Current Report on Form 8-K dated July 5, 2016).</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Times New Roman;sans-serif" w:hAnsi="Times New Roman;sans-serif"/>
                  <w:b w:val="false"/>
                  <w:color w:val="000080"/>
                  <w:sz w:val="20"/>
                  <w:u w:val="single"/>
                </w:rPr>
                <w:t>4.1</w:t>
              </w:r>
            </w:hyperlink>
            <w:hyperlink r:id="rId42">
              <w:r>
                <w:rPr>
                  <w:rStyle w:val="InternetLink"/>
                  <w:rFonts w:ascii="Times New Roman;sans-serif" w:hAnsi="Times New Roman;sans-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Supplemental Indenture, dated as of November 16, 2017, between Republic Services, Inc. and U.S. Bank National Association, as trustee, including the form of 3.375% Notes due 2027 (incorporated by reference to Exhibit 4.1 of the Company’s Current Report on Form 8-K dated November 15, 2017).</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Times New Roman;sans-serif" w:hAnsi="Times New Roman;sans-serif"/>
                  <w:b w:val="false"/>
                  <w:color w:val="000080"/>
                  <w:sz w:val="20"/>
                  <w:u w:val="single"/>
                </w:rPr>
                <w:t>4.1</w:t>
              </w:r>
            </w:hyperlink>
            <w:hyperlink r:id="rId44">
              <w:r>
                <w:rPr>
                  <w:rStyle w:val="InternetLink"/>
                  <w:rFonts w:ascii="Times New Roman;sans-serif" w:hAnsi="Times New Roman;sans-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Browning-Ferris Industries, Inc. 7.4% Debentures due 2035 (incorporated by reference to Exhibit 4 of Browning-Ferris Industries, Inc.'s Current Report on Form 8-K dated September 15, 1995).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5">
              <w:r>
                <w:rPr>
                  <w:rStyle w:val="InternetLink"/>
                  <w:rFonts w:ascii="Times New Roman;sans-serif" w:hAnsi="Times New Roman;sans-serif"/>
                  <w:b w:val="false"/>
                  <w:color w:val="000080"/>
                  <w:sz w:val="20"/>
                  <w:u w:val="single"/>
                </w:rPr>
                <w:t>4.1</w:t>
              </w:r>
            </w:hyperlink>
            <w:hyperlink r:id="rId46">
              <w:r>
                <w:rPr>
                  <w:rStyle w:val="InternetLink"/>
                  <w:rFonts w:ascii="Times New Roman;sans-serif" w:hAnsi="Times New Roman;sans-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Seventh Supplemental Indenture, dated as of May 14, 2018, between Republic Services, Inc. and U.S. Bank National Association, as trustee, including the form of 3.950% Notes due 2028 (incorporated by reference to Exhibit 4.1 of the Company’s Current Report on Form 8-K dated May 3, 2018).</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ans-serif" w:hAnsi="Times New Roman;sans-serif"/>
                  <w:b w:val="false"/>
                  <w:color w:val="000080"/>
                  <w:sz w:val="20"/>
                  <w:u w:val="single"/>
                </w:rPr>
                <w:t>4.1</w:t>
              </w:r>
            </w:hyperlink>
            <w:hyperlink r:id="rId48">
              <w:r>
                <w:rPr>
                  <w:rStyle w:val="InternetLink"/>
                  <w:rFonts w:ascii="Times New Roman;sans-serif" w:hAnsi="Times New Roman;sans-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Registered Under Section 12 of the Securities Exchange Act of 1934 (incorporated by reference to Exhibit 4.23 of the Company’s Annual Report on Form 10-K for the year ended December 31, 2019).</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9">
              <w:r>
                <w:rPr>
                  <w:rStyle w:val="InternetLink"/>
                  <w:rFonts w:ascii="Times New Roman;sans-serif" w:hAnsi="Times New Roman;sans-serif"/>
                  <w:b w:val="false"/>
                  <w:color w:val="000080"/>
                  <w:sz w:val="20"/>
                  <w:u w:val="single"/>
                </w:rPr>
                <w:t>4.</w:t>
              </w:r>
            </w:hyperlink>
            <w:hyperlink r:id="rId50">
              <w:r>
                <w:rPr>
                  <w:rStyle w:val="InternetLink"/>
                  <w:rFonts w:ascii="Times New Roman;sans-serif" w:hAnsi="Times New Roman;sans-serif"/>
                  <w:b w:val="false"/>
                  <w:color w:val="000080"/>
                  <w:sz w:val="20"/>
                  <w:u w:val="single"/>
                </w:rPr>
                <w:t>1</w:t>
              </w:r>
            </w:hyperlink>
            <w:hyperlink r:id="rId51">
              <w:r>
                <w:rPr>
                  <w:rStyle w:val="InternetLink"/>
                  <w:rFonts w:ascii="Times New Roman;sans-serif" w:hAnsi="Times New Roman;sans-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Ninth Supplemental Indenture, dated as of February 27, 2020, between Republic Services, Inc. and U.S. Bank National Association, as trustee, including the form of 2.300% Notes due 2030 and the form of 3.050% Notes due 2050 (incorporated by reference to Exhibit 4.1 of the Company’s Current Report on Form 8-K dated February 21,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2">
              <w:r>
                <w:rPr>
                  <w:rStyle w:val="InternetLink"/>
                  <w:rFonts w:ascii="Times New Roman;sans-serif" w:hAnsi="Times New Roman;sans-serif"/>
                  <w:b w:val="false"/>
                  <w:color w:val="000080"/>
                  <w:sz w:val="20"/>
                  <w:u w:val="single"/>
                </w:rPr>
                <w:t>4.</w:t>
              </w:r>
            </w:hyperlink>
            <w:hyperlink r:id="rId53">
              <w:r>
                <w:rPr>
                  <w:rStyle w:val="InternetLink"/>
                  <w:rFonts w:ascii="Times New Roman;sans-serif" w:hAnsi="Times New Roman;sans-serif"/>
                  <w:b w:val="false"/>
                  <w:color w:val="000080"/>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Tenth Supplemental Indenture, dated as of August 20, 2020, between Republic Services, Inc. and U.S. Bank National Association, as trustee, including the form of 1.450% Notes due 2031 (incorporated by reference to Exhibit 4.1 of the Company’s Current Report on Form 8-K dated August 13,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ans-serif" w:hAnsi="Times New Roman;sans-serif"/>
                  <w:b w:val="false"/>
                  <w:color w:val="000080"/>
                  <w:sz w:val="20"/>
                  <w:u w:val="single"/>
                </w:rPr>
                <w:t>4.2</w:t>
              </w:r>
            </w:hyperlink>
            <w:hyperlink r:id="rId55">
              <w:r>
                <w:rPr>
                  <w:rStyle w:val="InternetLink"/>
                  <w:rFonts w:ascii="Times New Roman;sans-serif" w:hAnsi="Times New Roman;sans-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Eleventh Supplemental Indenture, dated as of November 24, 2020, between Republic Services, Inc. and U.S. Bank National Association, as trustee, including the form of 0.875% Notes due 2025 and the form of 1.750% Notes due 2032 (incorporated by reference to Exhibit 4.1 of the Company’s Current Report on Form 8-K dated November 12,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Times New Roman;sans-serif" w:hAnsi="Times New Roman;sans-serif"/>
                  <w:b w:val="false"/>
                  <w:color w:val="000080"/>
                  <w:sz w:val="20"/>
                  <w:u w:val="single"/>
                </w:rPr>
                <w:t>4.2</w:t>
              </w:r>
            </w:hyperlink>
            <w:hyperlink r:id="rId57">
              <w:r>
                <w:rPr>
                  <w:rStyle w:val="InternetLink"/>
                  <w:rFonts w:ascii="Times New Roman;sans-serif" w:hAnsi="Times New Roman;sans-serif"/>
                  <w:b w:val="false"/>
                  <w:color w:val="000080"/>
                  <w:sz w:val="20"/>
                  <w:u w:val="single"/>
                </w:rPr>
                <w:t>1</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Twelfth Supplemental Indenture, dated as of November 8, 2021, between Republic Services, Inc. and U.S. Bank National Association, as trustee, including the form of 2.375% Notes due 2033 (incorporated by reference to Exhibit 4.1 of the Company's Current Report on Form 8-K dated November 4,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Times New Roman;sans-serif" w:hAnsi="Times New Roman;sans-serif"/>
                  <w:b w:val="false"/>
                  <w:color w:val="000080"/>
                  <w:sz w:val="20"/>
                  <w:u w:val="single"/>
                </w:rPr>
                <w:t>4.2</w:t>
              </w:r>
            </w:hyperlink>
            <w:hyperlink r:id="rId59">
              <w:r>
                <w:rPr>
                  <w:rStyle w:val="InternetLink"/>
                  <w:rFonts w:ascii="Times New Roman;sans-serif" w:hAnsi="Times New Roman;sans-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Commercial Paper Dealer Agreement--4(a)(2) Program, dated as of May 25, 2022, between Republic Services, Inc. and the applicable dealer party thereto (incorporated by reference to Exhibit 10.1 of the Company's Current Report on Form 8-K filed September 1, 2022).</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0">
              <w:r>
                <w:rPr>
                  <w:rStyle w:val="InternetLink"/>
                  <w:rFonts w:ascii="Times New Roman;sans-serif" w:hAnsi="Times New Roman;sans-serif"/>
                  <w:b w:val="false"/>
                  <w:color w:val="000080"/>
                  <w:sz w:val="20"/>
                  <w:u w:val="single"/>
                </w:rPr>
                <w:t>4.2</w:t>
              </w:r>
            </w:hyperlink>
            <w:hyperlink r:id="rId61">
              <w:r>
                <w:rPr>
                  <w:rStyle w:val="InternetLink"/>
                  <w:rFonts w:ascii="Times New Roman;sans-serif" w:hAnsi="Times New Roman;sans-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Thirteenth Supplemental Indenture, dated as of March 28, 2023, between Republic Services, Inc. and U.S. Bank Trust Company, National Association (as successor in interest to U.S. Bank National Association), as trustee, including the form of 4.875% Notes due 2029 and form of 5.000% Notes due 2034 (incorporated by reference to Exhibit 4.1 of the Company’s Current Report on Form 8-K dated March 23,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Times New Roman;sans-serif" w:hAnsi="Times New Roman;sans-serif"/>
                  <w:b w:val="false"/>
                  <w:color w:val="000080"/>
                  <w:sz w:val="20"/>
                  <w:u w:val="single"/>
                </w:rPr>
                <w:t>4.2</w:t>
              </w:r>
            </w:hyperlink>
            <w:hyperlink r:id="rId63">
              <w:r>
                <w:rPr>
                  <w:rStyle w:val="InternetLink"/>
                  <w:rFonts w:ascii="Times New Roman;sans-serif" w:hAnsi="Times New Roman;sans-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Fourteenth Supplemental Indenture, dated as of December 12, 2023, between Republic Services, Inc. and U.S. Bank Trust Company, National Association (as successor in interest to U.S. Bank National Association), as trustee, including the form of 5.000% Notes due 2033 (incorporated by reference to Exhibit 4.1 of the Company’s Current Report on Form 8-K dated December 11,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858"/>
        <w:gridCol w:w="2582"/>
        <w:gridCol w:w="367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4">
              <w:r>
                <w:rPr>
                  <w:rStyle w:val="InternetLink"/>
                  <w:rFonts w:ascii="Times New Roman;sans-serif" w:hAnsi="Times New Roman;sans-serif"/>
                  <w:b w:val="false"/>
                  <w:color w:val="000080"/>
                  <w:sz w:val="20"/>
                  <w:u w:val="single"/>
                </w:rPr>
                <w:t>4.2</w:t>
              </w:r>
            </w:hyperlink>
            <w:hyperlink r:id="rId65">
              <w:r>
                <w:rPr>
                  <w:rStyle w:val="InternetLink"/>
                  <w:rFonts w:ascii="Times New Roman;sans-serif" w:hAnsi="Times New Roman;sans-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Fifteenth Supplemental Indenture, dated as of June 25, 2024, between Republic Services, Inc. and U.S. Bank Trust Company, National Association (as successor in interest to U.S. Bank National Association), as trustee, including the form of 5.000% Notes due 2029 and the form of 5.200% Notes due 2034 (incorporated by reference to Exhibit 4.1 of the Company’s Current Report on Form 8-K dated June 20,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6">
              <w:r>
                <w:rPr>
                  <w:rStyle w:val="InternetLink"/>
                  <w:rFonts w:ascii="Times New Roman;sans-serif" w:hAnsi="Times New Roman;sans-serif"/>
                  <w:b w:val="false"/>
                  <w:color w:val="000080"/>
                  <w:sz w:val="20"/>
                  <w:u w:val="single"/>
                </w:rPr>
                <w:t>4.</w:t>
              </w:r>
            </w:hyperlink>
            <w:hyperlink r:id="rId67">
              <w:r>
                <w:rPr>
                  <w:rStyle w:val="InternetLink"/>
                  <w:rFonts w:ascii="Times New Roman;sans-serif" w:hAnsi="Times New Roman;sans-serif"/>
                  <w:b w:val="false"/>
                  <w:color w:val="000080"/>
                  <w:sz w:val="20"/>
                  <w:u w:val="single"/>
                </w:rPr>
                <w:t>2</w:t>
              </w:r>
            </w:hyperlink>
            <w:hyperlink r:id="rId68">
              <w:r>
                <w:rPr>
                  <w:rStyle w:val="InternetLink"/>
                  <w:rFonts w:ascii="Times New Roman;sans-serif" w:hAnsi="Times New Roman;sans-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Credit Agreement, dated as of July 26, 2024, by and among Republic Services, Inc., USE Canada Holdings, Inc., Bank of America, N.A., as Administrative Agent, Swing Line Lender and L/C Issuer, and the other lenders party thereto (incorporated by reference to Exhibit 4.1 of the Company’s Current Report on Form 8-K dated July 31, 2024).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9">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Amended and Restated 2007 Stock Incentive Plan effective May 12, 2011 (incorporated by reference to Appendix A of the Company’s Proxy Statement on Schedule 14A filed on April 1, 2011).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0">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Executive Incentive Plan, as amended and restated effective October 26, 2020 (incorporated by reference to Exhibit 10.1 to the Company’s Quarterly Report on Form 10-Q for the quarter ended September 30,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1">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Employee Restricted Stock Unit Agreement under the Republic Services, Inc. Amended and Restated 2007 Stock Incentive Plan (for awards on or after December 27, 2011) (incorporated by reference to Exhibit 10.1 of the Company’s Current Report on Form 8-K dated December 27, 2011).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2">
              <w:r>
                <w:rPr>
                  <w:rStyle w:val="InternetLink"/>
                  <w:rFonts w:ascii="Times New Roman;sans-serif" w:hAnsi="Times New Roman;sans-serif"/>
                  <w:b w:val="false"/>
                  <w:color w:val="000080"/>
                  <w:sz w:val="20"/>
                  <w:u w:val="single"/>
                </w:rPr>
                <w:t>10.</w:t>
              </w:r>
            </w:hyperlink>
            <w:hyperlink r:id="rId73">
              <w:r>
                <w:rPr>
                  <w:rStyle w:val="InternetLink"/>
                  <w:rFonts w:ascii="Times New Roman;sans-serif" w:hAnsi="Times New Roman;sans-serif"/>
                  <w:b w:val="false"/>
                  <w:color w:val="000080"/>
                  <w:sz w:val="20"/>
                  <w:u w:val="single"/>
                </w:rPr>
                <w:t>4</w:t>
              </w:r>
            </w:hyperlink>
            <w:hyperlink r:id="rId74">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Non-Employee Director Restricted Stock Unit Agreement (annual vesting) under the Republic Services, Inc. Amended and Restated 2007 Stock Incentive Plan (for awards on or after December 27, 2011) (incorporated by reference to Exhibit 10.2 of the Company’s Current Report on Form 8-K dated December 27, 2011).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5">
              <w:r>
                <w:rPr>
                  <w:rStyle w:val="InternetLink"/>
                  <w:rFonts w:ascii="Times New Roman;sans-serif" w:hAnsi="Times New Roman;sans-serif"/>
                  <w:b w:val="false"/>
                  <w:color w:val="000080"/>
                  <w:sz w:val="20"/>
                  <w:u w:val="single"/>
                </w:rPr>
                <w:t>10.</w:t>
              </w:r>
            </w:hyperlink>
            <w:hyperlink r:id="rId76">
              <w:r>
                <w:rPr>
                  <w:rStyle w:val="InternetLink"/>
                  <w:rFonts w:ascii="Times New Roman;sans-serif" w:hAnsi="Times New Roman;sans-serif"/>
                  <w:b w:val="false"/>
                  <w:color w:val="000080"/>
                  <w:sz w:val="20"/>
                  <w:u w:val="single"/>
                </w:rPr>
                <w:t>5</w:t>
              </w:r>
            </w:hyperlink>
            <w:hyperlink r:id="rId77">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Non-Employee Director Restricted Stock Unit Agreement (3 year vesting) under the Republic Services, Inc. Amended and Restated 2007 Stock Incentive Plan (for awards on or after December 27, 2011) (incorporated by reference to Exhibit 10.3 of the Company’s Current Report on Form 8-K dated December 27, 2011).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6dcpplan.htm">
              <w:r>
                <w:rPr>
                  <w:rStyle w:val="InternetLink"/>
                  <w:rFonts w:ascii="Times New Roman;sans-serif" w:hAnsi="Times New Roman;sans-serif"/>
                  <w:b w:val="false"/>
                  <w:color w:val="000080"/>
                  <w:sz w:val="20"/>
                  <w:u w:val="single"/>
                </w:rPr>
                <w:t>10.</w:t>
              </w:r>
            </w:hyperlink>
            <w:hyperlink w:anchor="ex106dcpplan.htm">
              <w:r>
                <w:rPr>
                  <w:rStyle w:val="InternetLink"/>
                  <w:rFonts w:ascii="Times New Roman;sans-serif" w:hAnsi="Times New Roman;sans-serif"/>
                  <w:b w:val="false"/>
                  <w:color w:val="000080"/>
                  <w:sz w:val="20"/>
                  <w:u w:val="single"/>
                </w:rPr>
                <w:t>6</w:t>
              </w:r>
            </w:hyperlink>
            <w:hyperlink w:anchor="ex106dcpplan.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Deferred Compensation Plan, as amended and restated effective January 1, 2025.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8">
              <w:r>
                <w:rPr>
                  <w:rStyle w:val="InternetLink"/>
                  <w:rFonts w:ascii="Times New Roman;sans-serif" w:hAnsi="Times New Roman;sans-serif"/>
                  <w:b w:val="false"/>
                  <w:color w:val="000080"/>
                  <w:sz w:val="20"/>
                  <w:u w:val="single"/>
                </w:rPr>
                <w:t>10.</w:t>
              </w:r>
            </w:hyperlink>
            <w:hyperlink r:id="rId79">
              <w:r>
                <w:rPr>
                  <w:rStyle w:val="InternetLink"/>
                  <w:rFonts w:ascii="Times New Roman;sans-serif" w:hAnsi="Times New Roman;sans-serif"/>
                  <w:b w:val="false"/>
                  <w:color w:val="000080"/>
                  <w:sz w:val="20"/>
                  <w:u w:val="single"/>
                </w:rPr>
                <w:t>7</w:t>
              </w:r>
            </w:hyperlink>
            <w:hyperlink r:id="rId80">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Amended and Restated Executive Incentive Plan, effective February 4, 2014 (incorporated by reference to Appendix A of the Company’s Proxy Statement on Schedule 14A filed on March 26, 2014).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1">
              <w:r>
                <w:rPr>
                  <w:rStyle w:val="InternetLink"/>
                  <w:rFonts w:ascii="Times New Roman;sans-serif" w:hAnsi="Times New Roman;sans-serif"/>
                  <w:b w:val="false"/>
                  <w:color w:val="000080"/>
                  <w:sz w:val="20"/>
                  <w:u w:val="single"/>
                </w:rPr>
                <w:t>10.</w:t>
              </w:r>
            </w:hyperlink>
            <w:hyperlink r:id="rId82">
              <w:r>
                <w:rPr>
                  <w:rStyle w:val="InternetLink"/>
                  <w:rFonts w:ascii="Times New Roman;sans-serif" w:hAnsi="Times New Roman;sans-serif"/>
                  <w:b w:val="false"/>
                  <w:color w:val="000080"/>
                  <w:sz w:val="20"/>
                  <w:u w:val="single"/>
                </w:rPr>
                <w:t>8</w:t>
              </w:r>
            </w:hyperlink>
            <w:hyperlink r:id="rId83">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Executive Separation Policy, as amended as of February 8, 2023 (incorporated by reference to Exhibit 10.9 of the Company's Annual Report on Form 10-K for the year ended December 31, 2022).</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4">
              <w:r>
                <w:rPr>
                  <w:rStyle w:val="InternetLink"/>
                  <w:rFonts w:ascii="Times New Roman;sans-serif" w:hAnsi="Times New Roman;sans-serif"/>
                  <w:b w:val="false"/>
                  <w:color w:val="000080"/>
                  <w:sz w:val="20"/>
                  <w:u w:val="single"/>
                </w:rPr>
                <w:t>10.</w:t>
              </w:r>
            </w:hyperlink>
            <w:hyperlink r:id="rId85">
              <w:r>
                <w:rPr>
                  <w:rStyle w:val="InternetLink"/>
                  <w:rFonts w:ascii="Times New Roman;sans-serif" w:hAnsi="Times New Roman;sans-serif"/>
                  <w:b w:val="false"/>
                  <w:color w:val="000080"/>
                  <w:sz w:val="20"/>
                  <w:u w:val="single"/>
                </w:rPr>
                <w:t>9</w:t>
              </w:r>
            </w:hyperlink>
            <w:hyperlink r:id="rId8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Amended and Restated 2007 Stock Incentive Plan effective May 9, 2013 (incorporated by reference to Exhibit 10.1 of the Company’s Quarterly Report on Form 10-Q for the quarter ended June 30, 2013).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7">
              <w:r>
                <w:rPr>
                  <w:rStyle w:val="InternetLink"/>
                  <w:rFonts w:ascii="Times New Roman;sans-serif" w:hAnsi="Times New Roman;sans-serif"/>
                  <w:b w:val="false"/>
                  <w:color w:val="000080"/>
                  <w:sz w:val="20"/>
                  <w:u w:val="single"/>
                </w:rPr>
                <w:t>10.1</w:t>
              </w:r>
            </w:hyperlink>
            <w:hyperlink r:id="rId88">
              <w:r>
                <w:rPr>
                  <w:rStyle w:val="InternetLink"/>
                  <w:rFonts w:ascii="Times New Roman;sans-serif" w:hAnsi="Times New Roman;sans-serif"/>
                  <w:b w:val="false"/>
                  <w:color w:val="000080"/>
                  <w:sz w:val="20"/>
                  <w:u w:val="single"/>
                </w:rPr>
                <w:t>0</w:t>
              </w:r>
            </w:hyperlink>
            <w:hyperlink r:id="rId8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dated July 25, 2016, by and between Catharine D. Ellingsen and Republic Services, Inc. (incorporated by reference to Exhibit 10.37 of the Company’s Annual Report on Form 10-K dated February 16, 2017).</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0">
              <w:r>
                <w:rPr>
                  <w:rStyle w:val="InternetLink"/>
                  <w:rFonts w:ascii="Times New Roman;sans-serif" w:hAnsi="Times New Roman;sans-serif"/>
                  <w:b w:val="false"/>
                  <w:color w:val="000080"/>
                  <w:sz w:val="20"/>
                  <w:u w:val="single"/>
                </w:rPr>
                <w:t>10.1</w:t>
              </w:r>
            </w:hyperlink>
            <w:hyperlink r:id="rId91">
              <w:r>
                <w:rPr>
                  <w:rStyle w:val="InternetLink"/>
                  <w:rFonts w:ascii="Times New Roman;sans-serif" w:hAnsi="Times New Roman;sans-serif"/>
                  <w:b w:val="false"/>
                  <w:color w:val="000080"/>
                  <w:sz w:val="20"/>
                  <w:u w:val="single"/>
                </w:rPr>
                <w:t>1</w:t>
              </w:r>
            </w:hyperlink>
            <w:hyperlink r:id="rId92">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Non-Solicitation, Confidentiality and Arbitration Agreement, effective February 13, 2024, by and between Catharine D. Ellingsen and Republic Services, Inc. (incorporated by reference to Exhibit 10.15 of the Company's Annual Report on Form 10-K for the year ended December 31,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3">
              <w:r>
                <w:rPr>
                  <w:rStyle w:val="InternetLink"/>
                  <w:rFonts w:ascii="Times New Roman;sans-serif" w:hAnsi="Times New Roman;sans-serif"/>
                  <w:b w:val="false"/>
                  <w:color w:val="000080"/>
                  <w:sz w:val="20"/>
                  <w:u w:val="single"/>
                </w:rPr>
                <w:t>10.1</w:t>
              </w:r>
            </w:hyperlink>
            <w:hyperlink r:id="rId94">
              <w:r>
                <w:rPr>
                  <w:rStyle w:val="InternetLink"/>
                  <w:rFonts w:ascii="Times New Roman;sans-serif" w:hAnsi="Times New Roman;sans-serif"/>
                  <w:b w:val="false"/>
                  <w:color w:val="000080"/>
                  <w:sz w:val="20"/>
                  <w:u w:val="single"/>
                </w:rPr>
                <w:t>2</w:t>
              </w:r>
            </w:hyperlink>
            <w:hyperlink r:id="rId95">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2018 Employee Stock Purchase Plan (incorporated by reference to Annex A of the Company’s Proxy Statement on Schedule 14A filed on March 29, 2018).</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6">
              <w:r>
                <w:rPr>
                  <w:rStyle w:val="InternetLink"/>
                  <w:rFonts w:ascii="Times New Roman;sans-serif" w:hAnsi="Times New Roman;sans-serif"/>
                  <w:b w:val="false"/>
                  <w:color w:val="000080"/>
                  <w:sz w:val="20"/>
                  <w:u w:val="single"/>
                </w:rPr>
                <w:t>10.1</w:t>
              </w:r>
            </w:hyperlink>
            <w:hyperlink r:id="rId97">
              <w:r>
                <w:rPr>
                  <w:rStyle w:val="InternetLink"/>
                  <w:rFonts w:ascii="Times New Roman;sans-serif" w:hAnsi="Times New Roman;sans-serif"/>
                  <w:b w:val="false"/>
                  <w:color w:val="000080"/>
                  <w:sz w:val="20"/>
                  <w:u w:val="single"/>
                </w:rPr>
                <w:t>3</w:t>
              </w:r>
            </w:hyperlink>
            <w:hyperlink r:id="rId98">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dated May 29, 2020, by and between Brian DelGhiaccio and Republic Services, Inc. (incorporated by reference to Exhibit 10.1 of the Company’s Quarterly Report on Form 10-Q for the quarter ended June 30,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9">
              <w:r>
                <w:rPr>
                  <w:rStyle w:val="InternetLink"/>
                  <w:rFonts w:ascii="Times New Roman;sans-serif" w:hAnsi="Times New Roman;sans-serif"/>
                  <w:b w:val="false"/>
                  <w:color w:val="000080"/>
                  <w:sz w:val="20"/>
                  <w:u w:val="single"/>
                </w:rPr>
                <w:t>10.</w:t>
              </w:r>
            </w:hyperlink>
            <w:hyperlink r:id="rId100">
              <w:r>
                <w:rPr>
                  <w:rStyle w:val="InternetLink"/>
                  <w:rFonts w:ascii="Times New Roman;sans-serif" w:hAnsi="Times New Roman;sans-serif"/>
                  <w:b w:val="false"/>
                  <w:color w:val="000080"/>
                  <w:sz w:val="20"/>
                  <w:u w:val="single"/>
                </w:rPr>
                <w:t>1</w:t>
              </w:r>
            </w:hyperlink>
            <w:hyperlink r:id="rId101">
              <w:r>
                <w:rPr>
                  <w:rStyle w:val="InternetLink"/>
                  <w:rFonts w:ascii="Times New Roman;sans-serif" w:hAnsi="Times New Roman;sans-serif"/>
                  <w:b w:val="false"/>
                  <w:color w:val="000080"/>
                  <w:sz w:val="20"/>
                  <w:u w:val="single"/>
                </w:rPr>
                <w:t>4</w:t>
              </w:r>
            </w:hyperlink>
            <w:hyperlink r:id="rId102">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Non-Solicitation, Confidentiality and Arbitration Agreement, effective February 13, 2024, by and between Brian DelGhiaccio and Republic Services, Inc. (incorporated by reference to Exhibit 10.20 of the Company's Annual Report on Form 10-K for the year ended December 31,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3">
              <w:r>
                <w:rPr>
                  <w:rStyle w:val="InternetLink"/>
                  <w:rFonts w:ascii="Times New Roman;sans-serif" w:hAnsi="Times New Roman;sans-serif"/>
                  <w:b w:val="false"/>
                  <w:color w:val="000080"/>
                  <w:sz w:val="20"/>
                  <w:u w:val="single"/>
                </w:rPr>
                <w:t>10.</w:t>
              </w:r>
            </w:hyperlink>
            <w:hyperlink r:id="rId104">
              <w:r>
                <w:rPr>
                  <w:rStyle w:val="InternetLink"/>
                  <w:rFonts w:ascii="Times New Roman;sans-serif" w:hAnsi="Times New Roman;sans-serif"/>
                  <w:b w:val="false"/>
                  <w:color w:val="000080"/>
                  <w:sz w:val="20"/>
                  <w:u w:val="single"/>
                </w:rPr>
                <w:t>1</w:t>
              </w:r>
            </w:hyperlink>
            <w:hyperlink r:id="rId105">
              <w:r>
                <w:rPr>
                  <w:rStyle w:val="InternetLink"/>
                  <w:rFonts w:ascii="Times New Roman;sans-serif" w:hAnsi="Times New Roman;sans-serif"/>
                  <w:b w:val="false"/>
                  <w:color w:val="000080"/>
                  <w:sz w:val="20"/>
                  <w:u w:val="single"/>
                </w:rPr>
                <w:t>5</w:t>
              </w:r>
            </w:hyperlink>
            <w:hyperlink r:id="rId10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dated March 26, 2021, by and between Jon Vander Ark and Republic Services, Inc. (incorporated by reference to Exhibit 10.1 of the Company's Quarterly Report on Form 10-Q for the quarter ended March 31,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7">
              <w:r>
                <w:rPr>
                  <w:rStyle w:val="InternetLink"/>
                  <w:rFonts w:ascii="Times New Roman;sans-serif" w:hAnsi="Times New Roman;sans-serif"/>
                  <w:b w:val="false"/>
                  <w:color w:val="000080"/>
                  <w:sz w:val="20"/>
                  <w:u w:val="single"/>
                </w:rPr>
                <w:t>10.</w:t>
              </w:r>
            </w:hyperlink>
            <w:hyperlink r:id="rId108">
              <w:r>
                <w:rPr>
                  <w:rStyle w:val="InternetLink"/>
                  <w:rFonts w:ascii="Times New Roman;sans-serif" w:hAnsi="Times New Roman;sans-serif"/>
                  <w:b w:val="false"/>
                  <w:color w:val="000080"/>
                  <w:sz w:val="20"/>
                  <w:u w:val="single"/>
                </w:rPr>
                <w:t>16</w:t>
              </w:r>
            </w:hyperlink>
            <w:hyperlink r:id="rId109">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Non-Solicitation, Confidentiality, and Arbitration Agreement, effective February 13, 2024, by and between Jon Vander Ark and Republic Services, Inc. (incorporated by reference to Exhibit 10.22 of the Company's Annual Report on Form 10-K for the year ended December 31,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0">
              <w:r>
                <w:rPr>
                  <w:rStyle w:val="InternetLink"/>
                  <w:rFonts w:ascii="Times New Roman;sans-serif" w:hAnsi="Times New Roman;sans-serif"/>
                  <w:b w:val="false"/>
                  <w:color w:val="000080"/>
                  <w:sz w:val="20"/>
                  <w:u w:val="single"/>
                </w:rPr>
                <w:t>10.</w:t>
              </w:r>
            </w:hyperlink>
            <w:hyperlink r:id="rId111">
              <w:r>
                <w:rPr>
                  <w:rStyle w:val="InternetLink"/>
                  <w:rFonts w:ascii="Times New Roman;sans-serif" w:hAnsi="Times New Roman;sans-serif"/>
                  <w:b w:val="false"/>
                  <w:color w:val="000080"/>
                  <w:sz w:val="20"/>
                  <w:u w:val="single"/>
                </w:rPr>
                <w:t>17</w:t>
              </w:r>
            </w:hyperlink>
            <w:hyperlink r:id="rId112">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2021 Stock Incentive Plan (incorporated by reference to Exhibit 10.30 of the Company's Annual Report on Form 10-K for the year ended December 31,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1"/>
        <w:gridCol w:w="265"/>
        <w:gridCol w:w="266"/>
        <w:gridCol w:w="109"/>
        <w:gridCol w:w="109"/>
        <w:gridCol w:w="109"/>
        <w:gridCol w:w="2874"/>
        <w:gridCol w:w="2549"/>
        <w:gridCol w:w="3623"/>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18psuagreementexecutiv.htm">
              <w:r>
                <w:rPr>
                  <w:rStyle w:val="InternetLink"/>
                  <w:rFonts w:ascii="Times New Roman;sans-serif" w:hAnsi="Times New Roman;sans-serif"/>
                  <w:b w:val="false"/>
                  <w:color w:val="000080"/>
                  <w:sz w:val="20"/>
                  <w:u w:val="single"/>
                </w:rPr>
                <w:t>10.</w:t>
              </w:r>
            </w:hyperlink>
            <w:hyperlink w:anchor="ex1018psuagreementexecutiv.htm">
              <w:r>
                <w:rPr>
                  <w:rStyle w:val="InternetLink"/>
                  <w:rFonts w:ascii="Times New Roman;sans-serif" w:hAnsi="Times New Roman;sans-serif"/>
                  <w:b w:val="false"/>
                  <w:color w:val="000080"/>
                  <w:sz w:val="20"/>
                  <w:u w:val="single"/>
                </w:rPr>
                <w:t>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 Share Agreement (Executive Officer) under the Republic Services, Inc. 2021 Stock Incentive Plan.</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19psuagreementotherexe.htm">
              <w:r>
                <w:rPr>
                  <w:rStyle w:val="InternetLink"/>
                  <w:rFonts w:ascii="Times New Roman;sans-serif" w:hAnsi="Times New Roman;sans-serif"/>
                  <w:b w:val="false"/>
                  <w:color w:val="000080"/>
                  <w:sz w:val="20"/>
                  <w:u w:val="single"/>
                </w:rPr>
                <w:t>10.</w:t>
              </w:r>
            </w:hyperlink>
            <w:hyperlink w:anchor="ex1019psuagreementotherexe.htm">
              <w:r>
                <w:rPr>
                  <w:rStyle w:val="InternetLink"/>
                  <w:rFonts w:ascii="Times New Roman;sans-serif" w:hAnsi="Times New Roman;sans-serif"/>
                  <w:b w:val="false"/>
                  <w:color w:val="000080"/>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 Share Agreement (Other Executive) under the Republic Services, Inc. 2021 Stock Incentive Plan.</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0psuagreementnon-exec.htm">
              <w:r>
                <w:rPr>
                  <w:rStyle w:val="InternetLink"/>
                  <w:rFonts w:ascii="Times New Roman;sans-serif" w:hAnsi="Times New Roman;sans-serif"/>
                  <w:b w:val="false"/>
                  <w:color w:val="000080"/>
                  <w:sz w:val="20"/>
                  <w:u w:val="single"/>
                </w:rPr>
                <w:t>10.2</w:t>
              </w:r>
            </w:hyperlink>
            <w:hyperlink w:anchor="ex1020psuagreementnon-exec.htm">
              <w:r>
                <w:rPr>
                  <w:rStyle w:val="InternetLink"/>
                  <w:rFonts w:ascii="Times New Roman;sans-serif" w:hAnsi="Times New Roman;sans-serif"/>
                  <w:b w:val="false"/>
                  <w:color w:val="000080"/>
                  <w:sz w:val="20"/>
                  <w:u w:val="single"/>
                </w:rPr>
                <w:t>0</w:t>
              </w:r>
            </w:hyperlink>
            <w:hyperlink w:anchor="ex1020psuagreementnon-exec.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 Share Agreement (Non-Executive Officer EVP) under the Republic Services, Inc. 2021 Stock Incentive Plan.</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1rsuagreementseniorex.htm">
              <w:r>
                <w:rPr>
                  <w:rStyle w:val="InternetLink"/>
                  <w:rFonts w:ascii="Times New Roman;sans-serif" w:hAnsi="Times New Roman;sans-serif"/>
                  <w:b w:val="false"/>
                  <w:color w:val="000080"/>
                  <w:sz w:val="20"/>
                  <w:u w:val="single"/>
                </w:rPr>
                <w:t>10.2</w:t>
              </w:r>
            </w:hyperlink>
            <w:hyperlink w:anchor="ex1021rsuagreementseniorex.htm">
              <w:r>
                <w:rPr>
                  <w:rStyle w:val="InternetLink"/>
                  <w:rFonts w:ascii="Times New Roman;sans-serif" w:hAnsi="Times New Roman;sans-serif"/>
                  <w:b w:val="false"/>
                  <w:color w:val="000080"/>
                  <w:sz w:val="20"/>
                  <w:u w:val="single"/>
                </w:rPr>
                <w:t>1</w:t>
              </w:r>
            </w:hyperlink>
            <w:hyperlink w:anchor="ex1021rsuagreementseniorex.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Employee Restricted Stock Unit Agreement (Senior Executive) under the Republic Services, Inc. 2021 Stock Incentive Plan.</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2rsuagreementseniorex.htm">
              <w:r>
                <w:rPr>
                  <w:rStyle w:val="InternetLink"/>
                  <w:rFonts w:ascii="Times New Roman;sans-serif" w:hAnsi="Times New Roman;sans-serif"/>
                  <w:b w:val="false"/>
                  <w:color w:val="000080"/>
                  <w:sz w:val="20"/>
                  <w:u w:val="single"/>
                </w:rPr>
                <w:t>10.2</w:t>
              </w:r>
            </w:hyperlink>
            <w:hyperlink w:anchor="ex1022rsuagreementseniorex.htm">
              <w:r>
                <w:rPr>
                  <w:rStyle w:val="InternetLink"/>
                  <w:rFonts w:ascii="Times New Roman;sans-serif" w:hAnsi="Times New Roman;sans-serif"/>
                  <w:b w:val="false"/>
                  <w:color w:val="000080"/>
                  <w:sz w:val="20"/>
                  <w:u w:val="single"/>
                </w:rPr>
                <w:t>2</w:t>
              </w:r>
            </w:hyperlink>
            <w:hyperlink w:anchor="ex1022rsuagreementseniorex.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Employee Restricted Stock Unit Agreement (Senior Executive, Cliff Vesting) under the Republic Services, Inc. 2021 Stock Incentive Plan.</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3rsuagreementotheremp.htm">
              <w:r>
                <w:rPr>
                  <w:rStyle w:val="InternetLink"/>
                  <w:rFonts w:ascii="Times New Roman;sans-serif" w:hAnsi="Times New Roman;sans-serif"/>
                  <w:b w:val="false"/>
                  <w:color w:val="000080"/>
                  <w:sz w:val="20"/>
                  <w:u w:val="single"/>
                </w:rPr>
                <w:t>10.2</w:t>
              </w:r>
            </w:hyperlink>
            <w:hyperlink w:anchor="ex1023rsuagreementotheremp.htm">
              <w:r>
                <w:rPr>
                  <w:rStyle w:val="InternetLink"/>
                  <w:rFonts w:ascii="Times New Roman;sans-serif" w:hAnsi="Times New Roman;sans-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Employee Restricted Stock Unit Agreement (Other Employees) under the Republic Services, Inc. 2021 Stock Incentive Plan.</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3">
              <w:r>
                <w:rPr>
                  <w:rStyle w:val="InternetLink"/>
                  <w:rFonts w:ascii="Times New Roman;sans-serif" w:hAnsi="Times New Roman;sans-serif"/>
                  <w:b w:val="false"/>
                  <w:color w:val="000080"/>
                  <w:sz w:val="20"/>
                  <w:u w:val="single"/>
                </w:rPr>
                <w:t>10.</w:t>
              </w:r>
            </w:hyperlink>
            <w:hyperlink r:id="rId114">
              <w:r>
                <w:rPr>
                  <w:rStyle w:val="InternetLink"/>
                  <w:rFonts w:ascii="Times New Roman;sans-serif" w:hAnsi="Times New Roman;sans-serif"/>
                  <w:b w:val="false"/>
                  <w:color w:val="000080"/>
                  <w:sz w:val="20"/>
                  <w:u w:val="single"/>
                </w:rPr>
                <w:t>2</w:t>
              </w:r>
            </w:hyperlink>
            <w:hyperlink r:id="rId115">
              <w:r>
                <w:rPr>
                  <w:rStyle w:val="InternetLink"/>
                  <w:rFonts w:ascii="Times New Roman;sans-serif" w:hAnsi="Times New Roman;sans-serif"/>
                  <w:b w:val="false"/>
                  <w:color w:val="000080"/>
                  <w:sz w:val="20"/>
                  <w:u w:val="single"/>
                </w:rPr>
                <w:t>4</w:t>
              </w:r>
            </w:hyperlink>
            <w:hyperlink r:id="rId116">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Non-Solicitation, Confidentiality, and Arbitration Agreement, effective February 13, 2024, by and between Brian A. Bales and Republic Services, Inc. (incorporated by reference to Exhibit 10.30 of the Company's Annual Report on Form 10-K for the year ended December 31, 2023).</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7">
              <w:r>
                <w:rPr>
                  <w:rStyle w:val="InternetLink"/>
                  <w:rFonts w:ascii="Times New Roman;sans-serif" w:hAnsi="Times New Roman;sans-serif"/>
                  <w:b w:val="false"/>
                  <w:color w:val="000080"/>
                  <w:sz w:val="20"/>
                  <w:u w:val="single"/>
                </w:rPr>
                <w:t>10.</w:t>
              </w:r>
            </w:hyperlink>
            <w:hyperlink r:id="rId118">
              <w:r>
                <w:rPr>
                  <w:rStyle w:val="InternetLink"/>
                  <w:rFonts w:ascii="Times New Roman;sans-serif" w:hAnsi="Times New Roman;sans-serif"/>
                  <w:b w:val="false"/>
                  <w:color w:val="000080"/>
                  <w:sz w:val="20"/>
                  <w:u w:val="single"/>
                </w:rPr>
                <w:t>2</w:t>
              </w:r>
            </w:hyperlink>
            <w:hyperlink r:id="rId119">
              <w:r>
                <w:rPr>
                  <w:rStyle w:val="InternetLink"/>
                  <w:rFonts w:ascii="Times New Roman;sans-serif" w:hAnsi="Times New Roman;sans-serif"/>
                  <w:b w:val="false"/>
                  <w:color w:val="000080"/>
                  <w:sz w:val="20"/>
                  <w:u w:val="single"/>
                </w:rPr>
                <w:t>5</w:t>
              </w:r>
            </w:hyperlink>
            <w:hyperlink r:id="rId120">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dated August 18, 2023, by and between Gregg Brummer and Republic Services, Inc.(incorporated by reference to Exhibit 10.1 of the Company's Quarterly Report on Form 10-Q for the quarter ended March 31, 2024).</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1">
              <w:r>
                <w:rPr>
                  <w:rStyle w:val="InternetLink"/>
                  <w:rFonts w:ascii="Times New Roman;sans-serif" w:hAnsi="Times New Roman;sans-serif"/>
                  <w:b w:val="false"/>
                  <w:color w:val="000080"/>
                  <w:sz w:val="20"/>
                  <w:u w:val="single"/>
                </w:rPr>
                <w:t>10.</w:t>
              </w:r>
            </w:hyperlink>
            <w:hyperlink r:id="rId122">
              <w:r>
                <w:rPr>
                  <w:rStyle w:val="InternetLink"/>
                  <w:rFonts w:ascii="Times New Roman;sans-serif" w:hAnsi="Times New Roman;sans-serif"/>
                  <w:b w:val="false"/>
                  <w:color w:val="000080"/>
                  <w:sz w:val="20"/>
                  <w:u w:val="single"/>
                </w:rPr>
                <w:t>2</w:t>
              </w:r>
            </w:hyperlink>
            <w:hyperlink r:id="rId123">
              <w:r>
                <w:rPr>
                  <w:rStyle w:val="InternetLink"/>
                  <w:rFonts w:ascii="Times New Roman;sans-serif" w:hAnsi="Times New Roman;sans-serif"/>
                  <w:b w:val="false"/>
                  <w:color w:val="000080"/>
                  <w:sz w:val="20"/>
                  <w:u w:val="single"/>
                </w:rPr>
                <w:t>6</w:t>
              </w:r>
            </w:hyperlink>
            <w:hyperlink r:id="rId124">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Non-Solicitation, Confidentiality and Arbitration Agreement, effective February 13, 2024, by and between Gregg Brummer and Republic Services, Inc. (incorporated by reference to Exhibit 10.2 of the Company's Quarterly Report on Form 10-Q for the quarter ended March 31, 2024).</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7esppamendment.htm">
              <w:r>
                <w:rPr>
                  <w:rStyle w:val="InternetLink"/>
                  <w:rFonts w:ascii="Times New Roman;sans-serif" w:hAnsi="Times New Roman;sans-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Republic Services, Inc. 2018 Employee Stock Purchase Plan, effective February 4, 2025.</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8sipamendment.htm">
              <w:r>
                <w:rPr>
                  <w:rStyle w:val="InternetLink"/>
                  <w:rFonts w:ascii="Times New Roman;sans-serif" w:hAnsi="Times New Roman;sans-serif"/>
                  <w:b w:val="false"/>
                  <w:color w:val="0000FF"/>
                  <w:sz w:val="20"/>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Republic Services, Inc. 2021 Stock Incentive Plan, effective February 4, 2025.</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91insidertradingpolicy.htm">
              <w:r>
                <w:rPr>
                  <w:rStyle w:val="InternetLink"/>
                  <w:rFonts w:ascii="Times New Roman;sans-serif" w:hAnsi="Times New Roman;sans-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Insider Trading Policy.</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92insidertradingprocedu.htm">
              <w:r>
                <w:rPr>
                  <w:rStyle w:val="InternetLink"/>
                  <w:rFonts w:ascii="Times New Roman;sans-serif" w:hAnsi="Times New Roman;sans-serif"/>
                  <w:b w:val="false"/>
                  <w:color w:val="0000FF"/>
                  <w:sz w:val="20"/>
                  <w:u w:val="single"/>
                </w:rPr>
                <w:t>19.2*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Insider Trading Procedures.</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93republicservicesshare.htm">
              <w:r>
                <w:rPr>
                  <w:rStyle w:val="InternetLink"/>
                  <w:rFonts w:ascii="Times New Roman;sans-serif" w:hAnsi="Times New Roman;sans-serif"/>
                  <w:b w:val="false"/>
                  <w:color w:val="0000FF"/>
                  <w:sz w:val="20"/>
                  <w:u w:val="single"/>
                </w:rPr>
                <w:t>19.3*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Share Repurchase Policy.</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211-subsidiariesoft.htm">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Company.</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231-consentofernsty.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Ernst &amp; Young LLP.</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rule13a-14a15dx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13a-14(a)/15d-14(a) Certification of Chief Executive Officer.</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rule13a-14a15dx1.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13a-14(a)/15d-14(a) Certification of Chief Financial Officer.</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section1350certi.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section1350certi.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5">
              <w:r>
                <w:rPr>
                  <w:rStyle w:val="InternetLink"/>
                  <w:rFonts w:ascii="Times New Roman;sans-serif" w:hAnsi="Times New Roman;sans-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Clawback Policy, dated July 19, 2023 (incorporated by reference to Exhibit 10.1 of the Company's Quarterly Report on Form 10-Q for the quarter ended June 30, 2023).</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This exhibit is being furnished rather than filed and shall not be deemed incorporated by reference into any filing, in accordance with Item 601 of Regulation S-K.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a management or compensatory plan or arrangement.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Item 601(b)(4)(iii)(A) of Regulation S-K, the Company has not filed as exhibits to this Form 10-K certain long-term debt instruments under which the total amount of securities authorized does not exceed 10% of the total assets of the Company and its subsidiaries on a consolidated basis. The Company hereby agrees to furnish a copy of any such instrument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16.FORM 10-K SUMMARY</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54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267"/>
        <w:gridCol w:w="267"/>
        <w:gridCol w:w="267"/>
        <w:gridCol w:w="267"/>
        <w:gridCol w:w="267"/>
        <w:gridCol w:w="267"/>
        <w:gridCol w:w="722"/>
        <w:gridCol w:w="722"/>
        <w:gridCol w:w="10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w:t>
              <w:b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 VANDER ARK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 Vander Ark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w:t>
              <w:br/>
              <w:t>Chief Executive Officer</w:t>
              <w:br/>
              <w:t>(Principal Executive Officer)</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left"/>
        <w:rPr>
          <w:color w:val="000000"/>
        </w:rPr>
      </w:pPr>
      <w:r>
        <w:rPr>
          <w:color w:val="000000"/>
        </w:rPr>
        <w:t> </w:t>
      </w:r>
    </w:p>
    <w:tbl>
      <w:tblPr>
        <w:tblW w:w="8032" w:type="dxa"/>
        <w:jc w:val="left"/>
        <w:tblInd w:w="0" w:type="dxa"/>
        <w:tblLayout w:type="fixed"/>
        <w:tblCellMar>
          <w:top w:w="28" w:type="dxa"/>
          <w:left w:w="28" w:type="dxa"/>
          <w:bottom w:w="28" w:type="dxa"/>
          <w:right w:w="28" w:type="dxa"/>
        </w:tblCellMar>
      </w:tblPr>
      <w:tblGrid>
        <w:gridCol w:w="1014"/>
        <w:gridCol w:w="891"/>
        <w:gridCol w:w="900"/>
        <w:gridCol w:w="109"/>
        <w:gridCol w:w="109"/>
        <w:gridCol w:w="109"/>
        <w:gridCol w:w="977"/>
        <w:gridCol w:w="977"/>
        <w:gridCol w:w="985"/>
        <w:gridCol w:w="109"/>
        <w:gridCol w:w="109"/>
        <w:gridCol w:w="109"/>
        <w:gridCol w:w="478"/>
        <w:gridCol w:w="478"/>
        <w:gridCol w:w="678"/>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 VANDER 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w:t>
              <w:br/>
              <w:t>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 Vander 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BRIAN D</w:t>
            </w:r>
            <w:r>
              <w:rPr>
                <w:rFonts w:ascii="Times New Roman;sans-serif" w:hAnsi="Times New Roman;sans-serif"/>
                <w:b w:val="false"/>
                <w:color w:val="000000"/>
                <w:sz w:val="16"/>
              </w:rPr>
              <w:t>EL</w:t>
            </w:r>
            <w:r>
              <w:rPr>
                <w:rFonts w:ascii="Times New Roman;sans-serif" w:hAnsi="Times New Roman;sans-serif"/>
                <w:b w:val="false"/>
                <w:color w:val="000000"/>
                <w:sz w:val="20"/>
              </w:rPr>
              <w:t>GHIACCIO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w:t>
              <w:b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Brian D</w:t>
            </w:r>
            <w:r>
              <w:rPr>
                <w:rFonts w:ascii="Times New Roman;sans-serif" w:hAnsi="Times New Roman;sans-serif"/>
                <w:b w:val="false"/>
                <w:color w:val="000000"/>
                <w:sz w:val="18"/>
              </w:rPr>
              <w:t>el</w:t>
            </w:r>
            <w:r>
              <w:rPr>
                <w:rFonts w:ascii="Times New Roman;sans-serif" w:hAnsi="Times New Roman;sans-serif"/>
                <w:b w:val="false"/>
                <w:color w:val="000000"/>
                <w:sz w:val="20"/>
              </w:rPr>
              <w:t>Ghiaccio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ELYSE M. CARLSEN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and</w:t>
              <w:br/>
              <w:t>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Elyse M. Carlsen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MANUEL KADRE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Manuel Kadre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TOMAGO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Tomago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A. DUFFY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A. Duffy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W. HANDLEY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W. Handley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JENNIFER M. KIRK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Jennifer M. Kirk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LARSON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Larson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 THOMAS LINEBARGER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Thomas Linebarger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MEG REYNOLDS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Meg Reynolds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a741dac77d4a44c98e59804b33ecc307_7">
        <w:r>
          <w:rPr>
            <w:rStyle w:val="InternetLink"/>
            <w:rFonts w:ascii="Times New Roman;sans-serif" w:hAnsi="Times New Roman;sans-serif"/>
            <w:b/>
            <w:color w:val="0000FF"/>
            <w:sz w:val="16"/>
            <w:u w:val="single"/>
          </w:rPr>
          <w:t>Table of Contents</w:t>
        </w:r>
      </w:hyperlink>
    </w:p>
    <w:tbl>
      <w:tblPr>
        <w:tblW w:w="6069" w:type="dxa"/>
        <w:jc w:val="left"/>
        <w:tblInd w:w="0" w:type="dxa"/>
        <w:tblLayout w:type="fixed"/>
        <w:tblCellMar>
          <w:top w:w="28" w:type="dxa"/>
          <w:left w:w="28" w:type="dxa"/>
          <w:bottom w:w="28" w:type="dxa"/>
          <w:right w:w="28" w:type="dxa"/>
        </w:tblCellMar>
      </w:tblPr>
      <w:tblGrid>
        <w:gridCol w:w="1091"/>
        <w:gridCol w:w="960"/>
        <w:gridCol w:w="964"/>
        <w:gridCol w:w="109"/>
        <w:gridCol w:w="109"/>
        <w:gridCol w:w="109"/>
        <w:gridCol w:w="255"/>
        <w:gridCol w:w="255"/>
        <w:gridCol w:w="256"/>
        <w:gridCol w:w="109"/>
        <w:gridCol w:w="109"/>
        <w:gridCol w:w="109"/>
        <w:gridCol w:w="478"/>
        <w:gridCol w:w="478"/>
        <w:gridCol w:w="678"/>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P. SNEE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P. Snee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S. TYLER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S. Tyler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SANDRA M. VOLPE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Sandra M. Volpe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KATHARINE B. WEYMOUTH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13, 2025</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Katharine B. Weymouth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10.6</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tLeast" w:line="323" w:before="13"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REPUBLIC SERVICES, INC.</w:t>
      </w:r>
    </w:p>
    <w:p>
      <w:pPr>
        <w:pStyle w:val="TextBody"/>
        <w:bidi w:val="0"/>
        <w:spacing w:lineRule="atLeast" w:line="268" w:before="225"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DEFERRED COMPENSATION PLAN</w:t>
      </w:r>
    </w:p>
    <w:p>
      <w:pPr>
        <w:pStyle w:val="TextBody"/>
        <w:bidi w:val="0"/>
        <w:spacing w:lineRule="atLeast" w:line="305" w:before="2352"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As amended and restated </w:t>
        <w:br/>
        <w:t>effective January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TABLE OF CONTENTS</w:t>
      </w:r>
    </w:p>
    <w:p>
      <w:pPr>
        <w:pStyle w:val="TextBody"/>
        <w:bidi w:val="0"/>
        <w:spacing w:lineRule="auto" w:line="288" w:before="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II PARTICIPATION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7</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2.1.</w:t>
      </w:r>
      <w:r>
        <w:rPr>
          <w:color w:val="000000"/>
        </w:rPr>
        <w:t>    </w:t>
      </w:r>
      <w:r>
        <w:rPr>
          <w:rFonts w:ascii="Times New Roman;sans-serif" w:hAnsi="Times New Roman;sans-serif"/>
          <w:b w:val="false"/>
          <w:color w:val="000000"/>
          <w:sz w:val="24"/>
        </w:rPr>
        <w:t>Selection by Committee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7</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2.2.</w:t>
      </w:r>
      <w:r>
        <w:rPr>
          <w:color w:val="000000"/>
        </w:rPr>
        <w:t>    </w:t>
      </w:r>
      <w:r>
        <w:rPr>
          <w:rFonts w:ascii="Times New Roman;sans-serif" w:hAnsi="Times New Roman;sans-serif"/>
          <w:b w:val="false"/>
          <w:color w:val="000000"/>
          <w:sz w:val="24"/>
        </w:rPr>
        <w:t>Enrollment and Eligibility Requirements; Commencement of Participation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7</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III CONTRIBUTIONS AND ACCOUNT BALANCES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8</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3.1.</w:t>
      </w:r>
      <w:r>
        <w:rPr>
          <w:color w:val="000000"/>
        </w:rPr>
        <w:t>    </w:t>
      </w:r>
      <w:r>
        <w:rPr>
          <w:rFonts w:ascii="Times New Roman;sans-serif" w:hAnsi="Times New Roman;sans-serif"/>
          <w:b w:val="false"/>
          <w:color w:val="000000"/>
          <w:sz w:val="24"/>
        </w:rPr>
        <w:t>Minimum Deferrals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8</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3.2.</w:t>
      </w:r>
      <w:r>
        <w:rPr>
          <w:color w:val="000000"/>
        </w:rPr>
        <w:t>    </w:t>
      </w:r>
      <w:r>
        <w:rPr>
          <w:rFonts w:ascii="Times New Roman;sans-serif" w:hAnsi="Times New Roman;sans-serif"/>
          <w:b w:val="false"/>
          <w:color w:val="000000"/>
          <w:sz w:val="24"/>
        </w:rPr>
        <w:t>Maximum Deferral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8</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3.3.</w:t>
      </w:r>
      <w:r>
        <w:rPr>
          <w:color w:val="000000"/>
        </w:rPr>
        <w:t>    </w:t>
      </w:r>
      <w:r>
        <w:rPr>
          <w:rFonts w:ascii="Times New Roman;sans-serif" w:hAnsi="Times New Roman;sans-serif"/>
          <w:b w:val="false"/>
          <w:color w:val="000000"/>
          <w:sz w:val="24"/>
        </w:rPr>
        <w:t>Deferral Elections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3.4.</w:t>
      </w:r>
      <w:r>
        <w:rPr>
          <w:color w:val="000000"/>
        </w:rPr>
        <w:t>    </w:t>
      </w:r>
      <w:r>
        <w:rPr>
          <w:rFonts w:ascii="Times New Roman;sans-serif" w:hAnsi="Times New Roman;sans-serif"/>
          <w:b w:val="false"/>
          <w:color w:val="000000"/>
          <w:sz w:val="24"/>
        </w:rPr>
        <w:t>Withholding and Crediting of Annual Deferral Amounts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3.5.</w:t>
      </w:r>
      <w:r>
        <w:rPr>
          <w:color w:val="000000"/>
        </w:rPr>
        <w:t>    </w:t>
      </w:r>
      <w:r>
        <w:rPr>
          <w:rFonts w:ascii="Times New Roman;sans-serif" w:hAnsi="Times New Roman;sans-serif"/>
          <w:b w:val="false"/>
          <w:color w:val="000000"/>
          <w:sz w:val="24"/>
        </w:rPr>
        <w:t>Company Contribution Amount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3.6.</w:t>
      </w:r>
      <w:r>
        <w:rPr>
          <w:color w:val="000000"/>
        </w:rPr>
        <w:t>    </w:t>
      </w:r>
      <w:r>
        <w:rPr>
          <w:rFonts w:ascii="Times New Roman;sans-serif" w:hAnsi="Times New Roman;sans-serif"/>
          <w:b w:val="false"/>
          <w:color w:val="000000"/>
          <w:sz w:val="24"/>
        </w:rPr>
        <w:t>Company Restoration Matching Amount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11</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3.7.</w:t>
      </w:r>
      <w:r>
        <w:rPr>
          <w:color w:val="000000"/>
        </w:rPr>
        <w:t>    </w:t>
      </w:r>
      <w:r>
        <w:rPr>
          <w:rFonts w:ascii="Times New Roman;sans-serif" w:hAnsi="Times New Roman;sans-serif"/>
          <w:b w:val="false"/>
          <w:color w:val="000000"/>
          <w:sz w:val="24"/>
        </w:rPr>
        <w:t>Crediting of Amounts after Benefit Distribution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11</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3.8.</w:t>
      </w:r>
      <w:r>
        <w:rPr>
          <w:color w:val="000000"/>
        </w:rPr>
        <w:t>    </w:t>
      </w:r>
      <w:r>
        <w:rPr>
          <w:rFonts w:ascii="Times New Roman;sans-serif" w:hAnsi="Times New Roman;sans-serif"/>
          <w:b w:val="false"/>
          <w:color w:val="000000"/>
          <w:sz w:val="24"/>
        </w:rPr>
        <w:t>Vesting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11</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3.9.</w:t>
      </w:r>
      <w:r>
        <w:rPr>
          <w:color w:val="000000"/>
        </w:rPr>
        <w:t>    </w:t>
      </w:r>
      <w:r>
        <w:rPr>
          <w:rFonts w:ascii="Times New Roman;sans-serif" w:hAnsi="Times New Roman;sans-serif"/>
          <w:b w:val="false"/>
          <w:color w:val="000000"/>
          <w:sz w:val="24"/>
        </w:rPr>
        <w:t>Crediting/Debiting of Account Balances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12</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3.10.</w:t>
      </w:r>
      <w:r>
        <w:rPr>
          <w:color w:val="000000"/>
        </w:rPr>
        <w:t>    </w:t>
      </w:r>
      <w:r>
        <w:rPr>
          <w:rFonts w:ascii="Times New Roman;sans-serif" w:hAnsi="Times New Roman;sans-serif"/>
          <w:b w:val="false"/>
          <w:color w:val="000000"/>
          <w:sz w:val="24"/>
        </w:rPr>
        <w:t>FICA and Other Taxes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16</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IV SCHEDULED DISTRIBUTIONS; UNFORESEEABLE EMERGENCIES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17</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4.1.</w:t>
      </w:r>
      <w:r>
        <w:rPr>
          <w:color w:val="000000"/>
        </w:rPr>
        <w:t>    </w:t>
      </w:r>
      <w:r>
        <w:rPr>
          <w:rFonts w:ascii="Times New Roman;sans-serif" w:hAnsi="Times New Roman;sans-serif"/>
          <w:b w:val="false"/>
          <w:color w:val="000000"/>
          <w:sz w:val="24"/>
        </w:rPr>
        <w:t>Scheduled Distribution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17</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4.2.</w:t>
      </w:r>
      <w:r>
        <w:rPr>
          <w:color w:val="000000"/>
        </w:rPr>
        <w:t>    </w:t>
      </w:r>
      <w:r>
        <w:rPr>
          <w:rFonts w:ascii="Times New Roman;sans-serif" w:hAnsi="Times New Roman;sans-serif"/>
          <w:b w:val="false"/>
          <w:color w:val="000000"/>
          <w:sz w:val="24"/>
        </w:rPr>
        <w:t>Postponing Scheduled Distributions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18</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4.3.</w:t>
      </w:r>
      <w:r>
        <w:rPr>
          <w:color w:val="000000"/>
        </w:rPr>
        <w:t>    </w:t>
      </w:r>
      <w:r>
        <w:rPr>
          <w:rFonts w:ascii="Times New Roman;sans-serif" w:hAnsi="Times New Roman;sans-serif"/>
          <w:b w:val="false"/>
          <w:color w:val="000000"/>
          <w:sz w:val="24"/>
        </w:rPr>
        <w:t>Other Benefits Take Precedence Over Scheduled Distributions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18</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4.4.</w:t>
      </w:r>
      <w:r>
        <w:rPr>
          <w:color w:val="000000"/>
        </w:rPr>
        <w:t>    </w:t>
      </w:r>
      <w:r>
        <w:rPr>
          <w:rFonts w:ascii="Times New Roman;sans-serif" w:hAnsi="Times New Roman;sans-serif"/>
          <w:b w:val="false"/>
          <w:color w:val="000000"/>
          <w:sz w:val="24"/>
        </w:rPr>
        <w:t>Unforeseeable Emergencies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18</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V CHANGE IN CONTROL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5.1.</w:t>
      </w:r>
      <w:r>
        <w:rPr>
          <w:color w:val="000000"/>
        </w:rPr>
        <w:t>    </w:t>
      </w:r>
      <w:r>
        <w:rPr>
          <w:rFonts w:ascii="Times New Roman;sans-serif" w:hAnsi="Times New Roman;sans-serif"/>
          <w:b w:val="false"/>
          <w:color w:val="000000"/>
          <w:sz w:val="24"/>
        </w:rPr>
        <w:t>Change in Control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5.2.</w:t>
      </w:r>
      <w:r>
        <w:rPr>
          <w:color w:val="000000"/>
        </w:rPr>
        <w:t>    </w:t>
      </w:r>
      <w:r>
        <w:rPr>
          <w:rFonts w:ascii="Times New Roman;sans-serif" w:hAnsi="Times New Roman;sans-serif"/>
          <w:b w:val="false"/>
          <w:color w:val="000000"/>
          <w:sz w:val="24"/>
        </w:rPr>
        <w:t>Payment of Change in Control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19</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VI RETIREMENT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6.1.</w:t>
      </w:r>
      <w:r>
        <w:rPr>
          <w:color w:val="000000"/>
        </w:rPr>
        <w:t>    </w:t>
      </w:r>
      <w:r>
        <w:rPr>
          <w:rFonts w:ascii="Times New Roman;sans-serif" w:hAnsi="Times New Roman;sans-serif"/>
          <w:b w:val="false"/>
          <w:color w:val="000000"/>
          <w:sz w:val="24"/>
        </w:rPr>
        <w:t>Retirement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19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6.2.</w:t>
      </w:r>
      <w:r>
        <w:rPr>
          <w:color w:val="000000"/>
        </w:rPr>
        <w:t>    </w:t>
      </w:r>
      <w:r>
        <w:rPr>
          <w:rFonts w:ascii="Times New Roman;sans-serif" w:hAnsi="Times New Roman;sans-serif"/>
          <w:b w:val="false"/>
          <w:color w:val="000000"/>
          <w:sz w:val="24"/>
        </w:rPr>
        <w:t>Payment of Retirement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20</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VII TERMINATION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7.1.</w:t>
      </w:r>
      <w:r>
        <w:rPr>
          <w:color w:val="000000"/>
        </w:rPr>
        <w:t>    </w:t>
      </w:r>
      <w:r>
        <w:rPr>
          <w:rFonts w:ascii="Times New Roman;sans-serif" w:hAnsi="Times New Roman;sans-serif"/>
          <w:b w:val="false"/>
          <w:color w:val="000000"/>
          <w:sz w:val="24"/>
        </w:rPr>
        <w:t>Termination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7.2.</w:t>
      </w:r>
      <w:r>
        <w:rPr>
          <w:color w:val="000000"/>
        </w:rPr>
        <w:t>    </w:t>
      </w:r>
      <w:r>
        <w:rPr>
          <w:rFonts w:ascii="Times New Roman;sans-serif" w:hAnsi="Times New Roman;sans-serif"/>
          <w:b w:val="false"/>
          <w:color w:val="000000"/>
          <w:sz w:val="24"/>
        </w:rPr>
        <w:t>Payment of Termination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VIII DISABILITY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8.1.</w:t>
      </w:r>
      <w:r>
        <w:rPr>
          <w:color w:val="000000"/>
        </w:rPr>
        <w:t>    </w:t>
      </w:r>
      <w:r>
        <w:rPr>
          <w:rFonts w:ascii="Times New Roman;sans-serif" w:hAnsi="Times New Roman;sans-serif"/>
          <w:b w:val="false"/>
          <w:color w:val="000000"/>
          <w:sz w:val="24"/>
        </w:rPr>
        <w:t>Disability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8.2.</w:t>
      </w:r>
      <w:r>
        <w:rPr>
          <w:color w:val="000000"/>
        </w:rPr>
        <w:t>    </w:t>
      </w:r>
      <w:r>
        <w:rPr>
          <w:rFonts w:ascii="Times New Roman;sans-serif" w:hAnsi="Times New Roman;sans-serif"/>
          <w:b w:val="false"/>
          <w:color w:val="000000"/>
          <w:sz w:val="24"/>
        </w:rPr>
        <w:t>Payment of Disability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IX DEATH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9.1.</w:t>
      </w:r>
      <w:r>
        <w:rPr>
          <w:color w:val="000000"/>
        </w:rPr>
        <w:t>    </w:t>
      </w:r>
      <w:r>
        <w:rPr>
          <w:rFonts w:ascii="Times New Roman;sans-serif" w:hAnsi="Times New Roman;sans-serif"/>
          <w:b w:val="false"/>
          <w:color w:val="000000"/>
          <w:sz w:val="24"/>
        </w:rPr>
        <w:t>Death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ind w:left="0" w:right="0" w:hanging="720"/>
        <w:jc w:val="both"/>
        <w:rPr/>
      </w:pPr>
      <w:r>
        <w:rPr>
          <w:rFonts w:ascii="Times New Roman;sans-serif" w:hAnsi="Times New Roman;sans-serif"/>
          <w:b w:val="false"/>
          <w:color w:val="000000"/>
          <w:sz w:val="24"/>
        </w:rPr>
        <w:t>9.2.</w:t>
      </w:r>
      <w:r>
        <w:rPr>
          <w:color w:val="000000"/>
        </w:rPr>
        <w:t>    </w:t>
      </w:r>
      <w:r>
        <w:rPr>
          <w:rFonts w:ascii="Times New Roman;sans-serif" w:hAnsi="Times New Roman;sans-serif"/>
          <w:b w:val="false"/>
          <w:color w:val="000000"/>
          <w:sz w:val="24"/>
        </w:rPr>
        <w:t>Payment of Death Benefit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i</w:t>
                      </w:r>
                    </w:p>
                  </w:txbxContent>
                </v:textbox>
                <w10:wrap type="none"/>
              </v:rect>
            </w:pict>
          </mc:Fallback>
        </mc:AlternateContent>
      </w:r>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X USE PLAN ACCOUNTS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XI BENEFICIARY DESIGNATION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11.1.</w:t>
      </w:r>
      <w:r>
        <w:rPr>
          <w:color w:val="000000"/>
        </w:rPr>
        <w:t>    </w:t>
      </w:r>
      <w:r>
        <w:rPr>
          <w:rFonts w:ascii="Times New Roman;sans-serif" w:hAnsi="Times New Roman;sans-serif"/>
          <w:b w:val="false"/>
          <w:color w:val="000000"/>
          <w:sz w:val="24"/>
        </w:rPr>
        <w:t>Beneficiary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11.2.</w:t>
      </w:r>
      <w:r>
        <w:rPr>
          <w:color w:val="000000"/>
        </w:rPr>
        <w:t>    </w:t>
      </w:r>
      <w:r>
        <w:rPr>
          <w:rFonts w:ascii="Times New Roman;sans-serif" w:hAnsi="Times New Roman;sans-serif"/>
          <w:b w:val="false"/>
          <w:color w:val="000000"/>
          <w:sz w:val="24"/>
        </w:rPr>
        <w:t>Beneficiary Designation; Change; Spousal Consent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11.3.</w:t>
      </w:r>
      <w:r>
        <w:rPr>
          <w:color w:val="000000"/>
        </w:rPr>
        <w:t>    </w:t>
      </w:r>
      <w:r>
        <w:rPr>
          <w:rFonts w:ascii="Times New Roman;sans-serif" w:hAnsi="Times New Roman;sans-serif"/>
          <w:b w:val="false"/>
          <w:color w:val="000000"/>
          <w:sz w:val="24"/>
        </w:rPr>
        <w:t>Acknowledgment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11.4.</w:t>
      </w:r>
      <w:r>
        <w:rPr>
          <w:color w:val="000000"/>
        </w:rPr>
        <w:t>    </w:t>
      </w:r>
      <w:r>
        <w:rPr>
          <w:rFonts w:ascii="Times New Roman;sans-serif" w:hAnsi="Times New Roman;sans-serif"/>
          <w:b w:val="false"/>
          <w:color w:val="000000"/>
          <w:sz w:val="24"/>
        </w:rPr>
        <w:t>No Beneficiary Designation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11.5.</w:t>
      </w:r>
      <w:r>
        <w:rPr>
          <w:color w:val="000000"/>
        </w:rPr>
        <w:t>    </w:t>
      </w:r>
      <w:r>
        <w:rPr>
          <w:rFonts w:ascii="Times New Roman;sans-serif" w:hAnsi="Times New Roman;sans-serif"/>
          <w:b w:val="false"/>
          <w:color w:val="000000"/>
          <w:sz w:val="24"/>
        </w:rPr>
        <w:t>Doubt as to Beneficiary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XII LEAVE OF ABSENCE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12.1.</w:t>
      </w:r>
      <w:r>
        <w:rPr>
          <w:color w:val="000000"/>
        </w:rPr>
        <w:t>    </w:t>
      </w:r>
      <w:r>
        <w:rPr>
          <w:rFonts w:ascii="Times New Roman;sans-serif" w:hAnsi="Times New Roman;sans-serif"/>
          <w:b w:val="false"/>
          <w:color w:val="000000"/>
          <w:sz w:val="24"/>
        </w:rPr>
        <w:t>Paid Leave of Absence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12.2.</w:t>
      </w:r>
      <w:r>
        <w:rPr>
          <w:color w:val="000000"/>
        </w:rPr>
        <w:t>    </w:t>
      </w:r>
      <w:r>
        <w:rPr>
          <w:rFonts w:ascii="Times New Roman;sans-serif" w:hAnsi="Times New Roman;sans-serif"/>
          <w:b w:val="false"/>
          <w:color w:val="000000"/>
          <w:sz w:val="24"/>
        </w:rPr>
        <w:t>Unpaid Leave of Absence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12.3.</w:t>
      </w:r>
      <w:r>
        <w:rPr>
          <w:color w:val="000000"/>
        </w:rPr>
        <w:t>    </w:t>
      </w:r>
      <w:r>
        <w:rPr>
          <w:rFonts w:ascii="Times New Roman;sans-serif" w:hAnsi="Times New Roman;sans-serif"/>
          <w:b w:val="false"/>
          <w:color w:val="000000"/>
          <w:sz w:val="24"/>
        </w:rPr>
        <w:t>Leaves Resulting in Separation from Service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XIII AMENDMENT AND TERMINATION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13.1.</w:t>
      </w:r>
      <w:r>
        <w:rPr>
          <w:color w:val="000000"/>
        </w:rPr>
        <w:t>    </w:t>
      </w:r>
      <w:r>
        <w:rPr>
          <w:rFonts w:ascii="Times New Roman;sans-serif" w:hAnsi="Times New Roman;sans-serif"/>
          <w:b w:val="false"/>
          <w:color w:val="000000"/>
          <w:sz w:val="24"/>
        </w:rPr>
        <w:t>Termination of Plan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13.2.</w:t>
      </w:r>
      <w:r>
        <w:rPr>
          <w:color w:val="000000"/>
        </w:rPr>
        <w:t>    </w:t>
      </w:r>
      <w:r>
        <w:rPr>
          <w:rFonts w:ascii="Times New Roman;sans-serif" w:hAnsi="Times New Roman;sans-serif"/>
          <w:b w:val="false"/>
          <w:color w:val="000000"/>
          <w:sz w:val="24"/>
        </w:rPr>
        <w:t>Amendment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24</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13.3.</w:t>
      </w:r>
      <w:r>
        <w:rPr>
          <w:color w:val="000000"/>
        </w:rPr>
        <w:t>    </w:t>
      </w:r>
      <w:r>
        <w:rPr>
          <w:rFonts w:ascii="Times New Roman;sans-serif" w:hAnsi="Times New Roman;sans-serif"/>
          <w:b w:val="false"/>
          <w:color w:val="000000"/>
          <w:sz w:val="24"/>
        </w:rPr>
        <w:t>Plan Agreement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24</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13.4.</w:t>
      </w:r>
      <w:r>
        <w:rPr>
          <w:color w:val="000000"/>
        </w:rPr>
        <w:t>    </w:t>
      </w:r>
      <w:r>
        <w:rPr>
          <w:rFonts w:ascii="Times New Roman;sans-serif" w:hAnsi="Times New Roman;sans-serif"/>
          <w:b w:val="false"/>
          <w:color w:val="000000"/>
          <w:sz w:val="24"/>
        </w:rPr>
        <w:t>Effect of Payment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24</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XIV</w:t>
      </w:r>
      <w:r>
        <w:rPr>
          <w:color w:val="000000"/>
          <w:u w:val="single"/>
        </w:rPr>
        <w:t xml:space="preserve"> </w:t>
      </w:r>
      <w:r>
        <w:rPr>
          <w:rFonts w:ascii="Times New Roman;sans-serif" w:hAnsi="Times New Roman;sans-serif"/>
          <w:b w:val="false"/>
          <w:color w:val="000000"/>
          <w:sz w:val="24"/>
          <w:u w:val="single"/>
        </w:rPr>
        <w:t>ADMINISTRATION</w:t>
      </w:r>
      <w:r>
        <w:rPr>
          <w:color w:val="000000"/>
        </w:rPr>
        <w: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24</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14.1.</w:t>
      </w:r>
      <w:r>
        <w:rPr>
          <w:color w:val="000000"/>
        </w:rPr>
        <w:t>    </w:t>
      </w:r>
      <w:r>
        <w:rPr>
          <w:rFonts w:ascii="Times New Roman;sans-serif" w:hAnsi="Times New Roman;sans-serif"/>
          <w:b w:val="false"/>
          <w:color w:val="000000"/>
          <w:sz w:val="24"/>
        </w:rPr>
        <w:t>Committee Duties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24</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14.2.</w:t>
      </w:r>
      <w:r>
        <w:rPr>
          <w:color w:val="000000"/>
        </w:rPr>
        <w:t>    </w:t>
      </w:r>
      <w:r>
        <w:rPr>
          <w:rFonts w:ascii="Times New Roman;sans-serif" w:hAnsi="Times New Roman;sans-serif"/>
          <w:b w:val="false"/>
          <w:color w:val="000000"/>
          <w:sz w:val="24"/>
        </w:rPr>
        <w:t>Administration Upon Change In Control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24</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14.3.</w:t>
      </w:r>
      <w:r>
        <w:rPr>
          <w:color w:val="000000"/>
        </w:rPr>
        <w:t>    </w:t>
      </w:r>
      <w:r>
        <w:rPr>
          <w:rFonts w:ascii="Times New Roman;sans-serif" w:hAnsi="Times New Roman;sans-serif"/>
          <w:b w:val="false"/>
          <w:color w:val="000000"/>
          <w:sz w:val="24"/>
        </w:rPr>
        <w:t>Agents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25</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14.4.</w:t>
      </w:r>
      <w:r>
        <w:rPr>
          <w:color w:val="000000"/>
        </w:rPr>
        <w:t>    </w:t>
      </w:r>
      <w:r>
        <w:rPr>
          <w:rFonts w:ascii="Times New Roman;sans-serif" w:hAnsi="Times New Roman;sans-serif"/>
          <w:b w:val="false"/>
          <w:color w:val="000000"/>
          <w:sz w:val="24"/>
        </w:rPr>
        <w:t>Binding Effect of Decisions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25</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14.5.</w:t>
      </w:r>
      <w:r>
        <w:rPr>
          <w:color w:val="000000"/>
        </w:rPr>
        <w:t>    </w:t>
      </w:r>
      <w:r>
        <w:rPr>
          <w:rFonts w:ascii="Times New Roman;sans-serif" w:hAnsi="Times New Roman;sans-serif"/>
          <w:b w:val="false"/>
          <w:color w:val="000000"/>
          <w:sz w:val="24"/>
        </w:rPr>
        <w:t>Indemnity of Committee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25</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14.6.</w:t>
      </w:r>
      <w:r>
        <w:rPr>
          <w:color w:val="000000"/>
        </w:rPr>
        <w:t>    </w:t>
      </w:r>
      <w:r>
        <w:rPr>
          <w:rFonts w:ascii="Times New Roman;sans-serif" w:hAnsi="Times New Roman;sans-serif"/>
          <w:b w:val="false"/>
          <w:color w:val="000000"/>
          <w:sz w:val="24"/>
        </w:rPr>
        <w:t>Employer Information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25</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XV CLAIMS PROCEDURES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25</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15.1.</w:t>
      </w:r>
      <w:r>
        <w:rPr>
          <w:color w:val="000000"/>
        </w:rPr>
        <w:t>    </w:t>
      </w:r>
      <w:r>
        <w:rPr>
          <w:rFonts w:ascii="Times New Roman;sans-serif" w:hAnsi="Times New Roman;sans-serif"/>
          <w:b w:val="false"/>
          <w:color w:val="000000"/>
          <w:sz w:val="24"/>
        </w:rPr>
        <w:t>Presentation of Claim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25</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15.2.</w:t>
      </w:r>
      <w:r>
        <w:rPr>
          <w:color w:val="000000"/>
        </w:rPr>
        <w:t>    </w:t>
      </w:r>
      <w:r>
        <w:rPr>
          <w:rFonts w:ascii="Times New Roman;sans-serif" w:hAnsi="Times New Roman;sans-serif"/>
          <w:b w:val="false"/>
          <w:color w:val="000000"/>
          <w:sz w:val="24"/>
        </w:rPr>
        <w:t>Notification of Decision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25</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15.3.</w:t>
      </w:r>
      <w:r>
        <w:rPr>
          <w:color w:val="000000"/>
        </w:rPr>
        <w:t>    </w:t>
      </w:r>
      <w:r>
        <w:rPr>
          <w:rFonts w:ascii="Times New Roman;sans-serif" w:hAnsi="Times New Roman;sans-serif"/>
          <w:b w:val="false"/>
          <w:color w:val="000000"/>
          <w:sz w:val="24"/>
        </w:rPr>
        <w:t>Review of a Denied Claim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26</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15.4.</w:t>
      </w:r>
      <w:r>
        <w:rPr>
          <w:color w:val="000000"/>
        </w:rPr>
        <w:t>    </w:t>
      </w:r>
      <w:r>
        <w:rPr>
          <w:rFonts w:ascii="Times New Roman;sans-serif" w:hAnsi="Times New Roman;sans-serif"/>
          <w:b w:val="false"/>
          <w:color w:val="000000"/>
          <w:sz w:val="24"/>
        </w:rPr>
        <w:t>Decision on Review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26</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15.5.</w:t>
      </w:r>
      <w:r>
        <w:rPr>
          <w:color w:val="000000"/>
        </w:rPr>
        <w:t>    </w:t>
      </w:r>
      <w:r>
        <w:rPr>
          <w:rFonts w:ascii="Times New Roman;sans-serif" w:hAnsi="Times New Roman;sans-serif"/>
          <w:b w:val="false"/>
          <w:color w:val="000000"/>
          <w:sz w:val="24"/>
        </w:rPr>
        <w:t>Legal Action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27</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XVI TRUST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27</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16.1.</w:t>
      </w:r>
      <w:r>
        <w:rPr>
          <w:color w:val="000000"/>
        </w:rPr>
        <w:t>    </w:t>
      </w:r>
      <w:r>
        <w:rPr>
          <w:rFonts w:ascii="Times New Roman;sans-serif" w:hAnsi="Times New Roman;sans-serif"/>
          <w:b w:val="false"/>
          <w:color w:val="000000"/>
          <w:sz w:val="24"/>
        </w:rPr>
        <w:t>Establishment of the Trust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27</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16.2.</w:t>
      </w:r>
      <w:r>
        <w:rPr>
          <w:color w:val="000000"/>
        </w:rPr>
        <w:t>    </w:t>
      </w:r>
      <w:r>
        <w:rPr>
          <w:rFonts w:ascii="Times New Roman;sans-serif" w:hAnsi="Times New Roman;sans-serif"/>
          <w:b w:val="false"/>
          <w:color w:val="000000"/>
          <w:sz w:val="24"/>
        </w:rPr>
        <w:t>Interrelationship of the Plan and the Trust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27</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16.3.</w:t>
      </w:r>
      <w:r>
        <w:rPr>
          <w:color w:val="000000"/>
        </w:rPr>
        <w:t>    </w:t>
      </w:r>
      <w:r>
        <w:rPr>
          <w:rFonts w:ascii="Times New Roman;sans-serif" w:hAnsi="Times New Roman;sans-serif"/>
          <w:b w:val="false"/>
          <w:color w:val="000000"/>
          <w:sz w:val="24"/>
        </w:rPr>
        <w:t>Distributions From the Trust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27</w:t>
        </w:r>
      </w:hyperlink>
    </w:p>
    <w:p>
      <w:pPr>
        <w:pStyle w:val="TextBody"/>
        <w:bidi w:val="0"/>
        <w:spacing w:lineRule="auto" w:line="288" w:before="120" w:after="120"/>
        <w:ind w:left="0" w:right="0" w:hanging="720"/>
        <w:jc w:val="both"/>
        <w:rPr/>
      </w:pPr>
      <w:r>
        <w:rPr>
          <w:rFonts w:ascii="Times New Roman;sans-serif" w:hAnsi="Times New Roman;sans-serif"/>
          <w:b w:val="false"/>
          <w:color w:val="000000"/>
          <w:sz w:val="24"/>
        </w:rPr>
        <w:t>ARTICLE XVII MISCELLANEOUS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27</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17.1.</w:t>
      </w:r>
      <w:r>
        <w:rPr>
          <w:color w:val="000000"/>
        </w:rPr>
        <w:t>    </w:t>
      </w:r>
      <w:r>
        <w:rPr>
          <w:rFonts w:ascii="Times New Roman;sans-serif" w:hAnsi="Times New Roman;sans-serif"/>
          <w:b w:val="false"/>
          <w:color w:val="000000"/>
          <w:sz w:val="24"/>
        </w:rPr>
        <w:t>Status of Plan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27</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17.2.</w:t>
      </w:r>
      <w:r>
        <w:rPr>
          <w:color w:val="000000"/>
        </w:rPr>
        <w:t>    </w:t>
      </w:r>
      <w:r>
        <w:rPr>
          <w:rFonts w:ascii="Times New Roman;sans-serif" w:hAnsi="Times New Roman;sans-serif"/>
          <w:b w:val="false"/>
          <w:color w:val="000000"/>
          <w:sz w:val="24"/>
        </w:rPr>
        <w:t>Unsecured General Creditor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28</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17.3.</w:t>
      </w:r>
      <w:r>
        <w:rPr>
          <w:color w:val="000000"/>
        </w:rPr>
        <w:t>    </w:t>
      </w:r>
      <w:r>
        <w:rPr>
          <w:rFonts w:ascii="Times New Roman;sans-serif" w:hAnsi="Times New Roman;sans-serif"/>
          <w:b w:val="false"/>
          <w:color w:val="000000"/>
          <w:sz w:val="24"/>
        </w:rPr>
        <w:t>Company’s Liability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28</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17.4.</w:t>
      </w:r>
      <w:r>
        <w:rPr>
          <w:color w:val="000000"/>
        </w:rPr>
        <w:t>    </w:t>
      </w:r>
      <w:r>
        <w:rPr>
          <w:rFonts w:ascii="Times New Roman;sans-serif" w:hAnsi="Times New Roman;sans-serif"/>
          <w:b w:val="false"/>
          <w:color w:val="000000"/>
          <w:sz w:val="24"/>
        </w:rPr>
        <w:t>Nonassignability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28</w:t>
        </w:r>
      </w:hyperlink>
    </w:p>
    <w:p>
      <w:pPr>
        <w:pStyle w:val="TextBody"/>
        <w:bidi w:val="0"/>
        <w:spacing w:lineRule="auto" w:line="288"/>
        <w:ind w:left="0" w:right="0" w:hanging="720"/>
        <w:jc w:val="both"/>
        <w:rPr/>
      </w:pPr>
      <w:r>
        <w:rPr>
          <w:rFonts w:ascii="Times New Roman;sans-serif" w:hAnsi="Times New Roman;sans-serif"/>
          <w:b w:val="false"/>
          <w:color w:val="000000"/>
          <w:sz w:val="24"/>
        </w:rPr>
        <w:t>17.5.</w:t>
      </w:r>
      <w:r>
        <w:rPr>
          <w:color w:val="000000"/>
        </w:rPr>
        <w:t>    </w:t>
      </w:r>
      <w:r>
        <w:rPr>
          <w:rFonts w:ascii="Times New Roman;sans-serif" w:hAnsi="Times New Roman;sans-serif"/>
          <w:b w:val="false"/>
          <w:color w:val="000000"/>
          <w:sz w:val="24"/>
        </w:rPr>
        <w:t>Not a Contract of Employment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28</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ii</w:t>
                      </w:r>
                    </w:p>
                  </w:txbxContent>
                </v:textbox>
                <w10:wrap type="none"/>
              </v:rect>
            </w:pict>
          </mc:Fallback>
        </mc:AlternateConten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17.6.</w:t>
      </w:r>
      <w:r>
        <w:rPr>
          <w:color w:val="000000"/>
        </w:rPr>
        <w:t>    </w:t>
      </w:r>
      <w:r>
        <w:rPr>
          <w:rFonts w:ascii="Times New Roman;sans-serif" w:hAnsi="Times New Roman;sans-serif"/>
          <w:b w:val="false"/>
          <w:color w:val="000000"/>
          <w:sz w:val="24"/>
        </w:rPr>
        <w:t>Furnishing Information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28</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17.7.</w:t>
      </w:r>
      <w:r>
        <w:rPr>
          <w:color w:val="000000"/>
        </w:rPr>
        <w:t>    </w:t>
      </w:r>
      <w:r>
        <w:rPr>
          <w:rFonts w:ascii="Times New Roman;sans-serif" w:hAnsi="Times New Roman;sans-serif"/>
          <w:b w:val="false"/>
          <w:color w:val="000000"/>
          <w:sz w:val="24"/>
        </w:rPr>
        <w:t>Terms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28</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17.8.</w:t>
      </w:r>
      <w:r>
        <w:rPr>
          <w:color w:val="000000"/>
        </w:rPr>
        <w:t>    </w:t>
      </w:r>
      <w:r>
        <w:rPr>
          <w:rFonts w:ascii="Times New Roman;sans-serif" w:hAnsi="Times New Roman;sans-serif"/>
          <w:b w:val="false"/>
          <w:color w:val="000000"/>
          <w:sz w:val="24"/>
        </w:rPr>
        <w:t>Captions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17.9.</w:t>
      </w:r>
      <w:r>
        <w:rPr>
          <w:color w:val="000000"/>
        </w:rPr>
        <w:t>    </w:t>
      </w:r>
      <w:r>
        <w:rPr>
          <w:rFonts w:ascii="Times New Roman;sans-serif" w:hAnsi="Times New Roman;sans-serif"/>
          <w:b w:val="false"/>
          <w:color w:val="000000"/>
          <w:sz w:val="24"/>
        </w:rPr>
        <w:t>Governing Law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17.10.</w:t>
      </w:r>
      <w:r>
        <w:rPr>
          <w:color w:val="000000"/>
        </w:rPr>
        <w:t>    </w:t>
      </w:r>
      <w:r>
        <w:rPr>
          <w:rFonts w:ascii="Times New Roman;sans-serif" w:hAnsi="Times New Roman;sans-serif"/>
          <w:b w:val="false"/>
          <w:color w:val="000000"/>
          <w:sz w:val="24"/>
        </w:rPr>
        <w:t>Notice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17.11.</w:t>
      </w:r>
      <w:r>
        <w:rPr>
          <w:color w:val="000000"/>
        </w:rPr>
        <w:t>    </w:t>
      </w:r>
      <w:r>
        <w:rPr>
          <w:rFonts w:ascii="Times New Roman;sans-serif" w:hAnsi="Times New Roman;sans-serif"/>
          <w:b w:val="false"/>
          <w:color w:val="000000"/>
          <w:sz w:val="24"/>
        </w:rPr>
        <w:t>Successors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17.12.</w:t>
      </w:r>
      <w:r>
        <w:rPr>
          <w:color w:val="000000"/>
        </w:rPr>
        <w:t>    </w:t>
      </w:r>
      <w:r>
        <w:rPr>
          <w:rFonts w:ascii="Times New Roman;sans-serif" w:hAnsi="Times New Roman;sans-serif"/>
          <w:b w:val="false"/>
          <w:color w:val="000000"/>
          <w:sz w:val="24"/>
        </w:rPr>
        <w:t>Spouse’s Interest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17.13.</w:t>
      </w:r>
      <w:r>
        <w:rPr>
          <w:color w:val="000000"/>
        </w:rPr>
        <w:t>    </w:t>
      </w:r>
      <w:r>
        <w:rPr>
          <w:rFonts w:ascii="Times New Roman;sans-serif" w:hAnsi="Times New Roman;sans-serif"/>
          <w:b w:val="false"/>
          <w:color w:val="000000"/>
          <w:sz w:val="24"/>
        </w:rPr>
        <w:t>Validity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17.14.</w:t>
      </w:r>
      <w:r>
        <w:rPr>
          <w:color w:val="000000"/>
        </w:rPr>
        <w:t>    </w:t>
      </w:r>
      <w:r>
        <w:rPr>
          <w:rFonts w:ascii="Times New Roman;sans-serif" w:hAnsi="Times New Roman;sans-serif"/>
          <w:b w:val="false"/>
          <w:color w:val="000000"/>
          <w:sz w:val="24"/>
        </w:rPr>
        <w:t>Incompetent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29</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17.15.</w:t>
      </w:r>
      <w:r>
        <w:rPr>
          <w:color w:val="000000"/>
        </w:rPr>
        <w:t>    </w:t>
      </w:r>
      <w:r>
        <w:rPr>
          <w:rFonts w:ascii="Times New Roman;sans-serif" w:hAnsi="Times New Roman;sans-serif"/>
          <w:b w:val="false"/>
          <w:color w:val="000000"/>
          <w:sz w:val="24"/>
        </w:rPr>
        <w:t>Court Order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30</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17.16.</w:t>
      </w:r>
      <w:r>
        <w:rPr>
          <w:color w:val="000000"/>
        </w:rPr>
        <w:t>    </w:t>
      </w:r>
      <w:r>
        <w:rPr>
          <w:rFonts w:ascii="Times New Roman;sans-serif" w:hAnsi="Times New Roman;sans-serif"/>
          <w:b w:val="false"/>
          <w:color w:val="000000"/>
          <w:sz w:val="24"/>
        </w:rPr>
        <w:t>Deduction Limitation on Benefit Payments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30</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17.17.</w:t>
      </w:r>
      <w:r>
        <w:rPr>
          <w:color w:val="000000"/>
        </w:rPr>
        <w:t>    </w:t>
      </w:r>
      <w:r>
        <w:rPr>
          <w:rFonts w:ascii="Times New Roman;sans-serif" w:hAnsi="Times New Roman;sans-serif"/>
          <w:b w:val="false"/>
          <w:color w:val="000000"/>
          <w:sz w:val="24"/>
        </w:rPr>
        <w:t>Insurance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30</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17.18.</w:t>
      </w:r>
      <w:r>
        <w:rPr>
          <w:color w:val="000000"/>
        </w:rPr>
        <w:t>    </w:t>
      </w:r>
      <w:r>
        <w:rPr>
          <w:rFonts w:ascii="Times New Roman;sans-serif" w:hAnsi="Times New Roman;sans-serif"/>
          <w:b w:val="false"/>
          <w:color w:val="000000"/>
          <w:sz w:val="24"/>
        </w:rPr>
        <w:t>Small Amounts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30</w:t>
        </w:r>
      </w:hyperlink>
    </w:p>
    <w:p>
      <w:pPr>
        <w:pStyle w:val="TextBody"/>
        <w:bidi w:val="0"/>
        <w:spacing w:lineRule="auto" w:line="288" w:before="0" w:after="0"/>
        <w:ind w:left="0" w:right="0" w:hanging="720"/>
        <w:jc w:val="both"/>
        <w:rPr/>
      </w:pPr>
      <w:r>
        <w:rPr>
          <w:rFonts w:ascii="Times New Roman;sans-serif" w:hAnsi="Times New Roman;sans-serif"/>
          <w:b w:val="false"/>
          <w:color w:val="000000"/>
          <w:sz w:val="24"/>
        </w:rPr>
        <w:t>17.19.</w:t>
      </w:r>
      <w:r>
        <w:rPr>
          <w:color w:val="000000"/>
        </w:rPr>
        <w:t>    </w:t>
      </w:r>
      <w:r>
        <w:rPr>
          <w:rFonts w:ascii="Times New Roman;sans-serif" w:hAnsi="Times New Roman;sans-serif"/>
          <w:b w:val="false"/>
          <w:color w:val="000000"/>
          <w:sz w:val="24"/>
        </w:rPr>
        <w:t>Code Section 409A.    </w:t>
      </w:r>
      <w:hyperlink w:anchor="i2e10aafb9efd41b789b5209aeefb195d_47">
        <w:r>
          <w:rPr>
            <w:rStyle w:val="InternetLink"/>
            <w:rFonts w:ascii="Times New Roman;sans-serif" w:hAnsi="Times New Roman;sans-serif"/>
            <w:b w:val="false"/>
            <w:strike w:val="false"/>
            <w:dstrike w:val="false"/>
            <w:color w:val="000000"/>
            <w:sz w:val="24"/>
            <w:u w:val="none"/>
            <w:effect w:val="none"/>
          </w:rPr>
          <w:t>30</w:t>
        </w:r>
      </w:hyperlink>
    </w:p>
    <w:p>
      <w:pPr>
        <w:pStyle w:val="TextBody"/>
        <w:bidi w:val="0"/>
        <w:spacing w:before="0" w:after="0"/>
        <w:jc w:val="both"/>
        <w:rPr/>
      </w:pPr>
      <w:r>
        <w:rPr/>
      </w:r>
    </w:p>
    <w:p>
      <w:pPr>
        <w:pStyle w:val="TextBody"/>
        <w:bidi w:val="0"/>
        <w:spacing w:lineRule="atLeast" w:line="269" w:before="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Appendix A</w:t>
      </w:r>
    </w:p>
    <w:p>
      <w:pPr>
        <w:pStyle w:val="TextBody"/>
        <w:bidi w:val="0"/>
        <w:spacing w:before="9"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iii</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DEFERRED COMPENSATION PLAN</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w:t>
        <w:br/>
        <w:t>Effective January 1, 2025</w:t>
      </w:r>
    </w:p>
    <w:p>
      <w:pPr>
        <w:pStyle w:val="TextBody"/>
        <w:bidi w:val="0"/>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Purpose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purpose of this Plan is to provide specified benefits to Directors and a select group of management or highly compensated Employees who contribute materially to the continued growth, development and future business success of Republic Services, Inc., a Delaware corporation, and its subsidiaries, if any, that participate in this Plan. This Plan shall be unfunded for tax purposes and for purposes of Title I of ERISA.</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of the Plan as herein amended and restated shall apply with respect to all amounts deferred, credited or transferred to this Plan on or after January 1, 2005. Unless otherwise changed in accordance with the terms of this Plan and Code Section 409A (i) all elections made prior to the date on which this amended and restated Plan is executed shall remain in full force and effect, and (ii) the payment of all amounts deferred, credited or transferred hereunder prior to the execution of this amended and restated Plan (as adjusted for amounts credited or debited to such amounts pursuant to this Plan less all distributions that relate to such amounts) shall be made in accordance with the time and form of payment as provided under the Plan and any applicable election as in effect prior to the execution of this amended and restated Plan.</w:t>
      </w:r>
    </w:p>
    <w:p>
      <w:pPr>
        <w:pStyle w:val="TextBody"/>
        <w:bidi w:val="0"/>
        <w:spacing w:lineRule="auto" w:line="240" w:before="0" w:after="240"/>
        <w:jc w:val="center"/>
        <w:rPr/>
      </w:pPr>
      <w:r>
        <w:rPr>
          <w:rFonts w:ascii="Times New Roman;sans-serif" w:hAnsi="Times New Roman;sans-serif"/>
          <w:b/>
          <w:color w:val="000000"/>
          <w:sz w:val="24"/>
        </w:rPr>
        <w:t>ARTICLE I</w:t>
      </w:r>
      <w:r>
        <w:rPr>
          <w:rFonts w:ascii="Times New Roman;sans-serif" w:hAnsi="Times New Roman;sans-serif"/>
          <w:b/>
          <w:color w:val="000000"/>
          <w:sz w:val="24"/>
        </w:rPr>
        <w:br/>
        <w:t>DEFINITIONS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purposes of this Plan, unless otherwise clearly apparent from the context, the following phrases or terms shall have the following indicated meanings:</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color w:val="000000"/>
        </w:rPr>
        <w:t>“</w:t>
      </w:r>
      <w:r>
        <w:rPr>
          <w:rFonts w:ascii="Times New Roman;sans-serif" w:hAnsi="Times New Roman;sans-serif"/>
          <w:b w:val="false"/>
          <w:color w:val="000000"/>
          <w:sz w:val="24"/>
        </w:rPr>
        <w:t>Account Balance” shall mean, with respect to a Participant, an entry on the records of the Company equal to the sum of the Participant’s Annual Accounts. The Account Balance shall be a bookkeeping entry only and shall be utilized solely as a device for the measurement and determination of the amounts to be paid to a Participant, or his or her designated Beneficiary, pursuant to this Plan.</w:t>
      </w:r>
    </w:p>
    <w:p>
      <w:pPr>
        <w:pStyle w:val="TextBody"/>
        <w:bidi w:val="0"/>
        <w:spacing w:lineRule="auto" w:line="240" w:before="0" w:after="240"/>
        <w:ind w:left="0" w:right="0" w:firstLine="720"/>
        <w:jc w:val="both"/>
        <w:rPr/>
      </w:pPr>
      <w:r>
        <w:rPr>
          <w:rFonts w:ascii="Times New Roman;sans-serif" w:hAnsi="Times New Roman;sans-serif"/>
          <w:b/>
          <w:color w:val="000000"/>
          <w:sz w:val="24"/>
        </w:rPr>
        <w:t>1.2.</w:t>
      </w:r>
      <w:r>
        <w:rPr>
          <w:color w:val="000000"/>
        </w:rPr>
        <w:t>“</w:t>
      </w:r>
      <w:r>
        <w:rPr>
          <w:rFonts w:ascii="Times New Roman;sans-serif" w:hAnsi="Times New Roman;sans-serif"/>
          <w:b w:val="false"/>
          <w:color w:val="000000"/>
          <w:sz w:val="24"/>
        </w:rPr>
        <w:t>Affiliate” shall mean any entity, other than the Company, which is a member of a controlled group of companies or under common control with the Company within the meaning of Code Sections 414(b) or (c).</w:t>
      </w:r>
    </w:p>
    <w:p>
      <w:pPr>
        <w:pStyle w:val="TextBody"/>
        <w:bidi w:val="0"/>
        <w:spacing w:lineRule="auto" w:line="240" w:before="0" w:after="240"/>
        <w:ind w:left="0" w:right="0" w:firstLine="720"/>
        <w:jc w:val="both"/>
        <w:rPr/>
      </w:pPr>
      <w:r>
        <w:rPr>
          <w:rFonts w:ascii="Times New Roman;sans-serif" w:hAnsi="Times New Roman;sans-serif"/>
          <w:b/>
          <w:color w:val="000000"/>
          <w:sz w:val="24"/>
        </w:rPr>
        <w:t>1.3.</w:t>
      </w:r>
      <w:r>
        <w:rPr>
          <w:color w:val="000000"/>
        </w:rPr>
        <w:t>“</w:t>
      </w:r>
      <w:r>
        <w:rPr>
          <w:rFonts w:ascii="Times New Roman;sans-serif" w:hAnsi="Times New Roman;sans-serif"/>
          <w:b w:val="false"/>
          <w:color w:val="000000"/>
          <w:sz w:val="24"/>
        </w:rPr>
        <w:t>Allied Plan” shall mean the Allied Waste Industries, Inc. 2005 Executive Deferred Compensation Plan.</w:t>
      </w:r>
    </w:p>
    <w:p>
      <w:pPr>
        <w:pStyle w:val="TextBody"/>
        <w:bidi w:val="0"/>
        <w:spacing w:lineRule="auto" w:line="240" w:before="0" w:after="240"/>
        <w:ind w:left="0" w:right="0" w:firstLine="720"/>
        <w:jc w:val="both"/>
        <w:rPr/>
      </w:pPr>
      <w:r>
        <w:rPr>
          <w:rFonts w:ascii="Times New Roman;sans-serif" w:hAnsi="Times New Roman;sans-serif"/>
          <w:b/>
          <w:color w:val="000000"/>
          <w:sz w:val="24"/>
        </w:rPr>
        <w:t>1.4.</w:t>
      </w:r>
      <w:r>
        <w:rPr>
          <w:color w:val="000000"/>
        </w:rPr>
        <w:t>“</w:t>
      </w:r>
      <w:r>
        <w:rPr>
          <w:rFonts w:ascii="Times New Roman;sans-serif" w:hAnsi="Times New Roman;sans-serif"/>
          <w:b w:val="false"/>
          <w:color w:val="000000"/>
          <w:sz w:val="24"/>
        </w:rPr>
        <w:t xml:space="preserve">Annual Account” shall mean, with respect to a Participant, an entry on the records of the Company equal to the following amount: (i) the sum of the Participant’s Annual Deferral Amount, Company Contribution Amount, Company Restoration Matching Amount, and Company Additional Matching Amount for any one Plan Year, plus (ii) amounts credited or debited to such amounts pursuant to this Plan, less (iii) all distributions made to the Participant or his or her Beneficiary pursuant to this Plan that relate to the Annual Account for such Plan Year. </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Annual Account shall be a bookkeeping entry only and shall be utilized solely as a device for the measurement and determination of the amounts to be paid to a Participant, or his or her designated Beneficiary, pursuant to this Plan.</w:t>
      </w:r>
    </w:p>
    <w:p>
      <w:pPr>
        <w:pStyle w:val="TextBody"/>
        <w:bidi w:val="0"/>
        <w:spacing w:lineRule="auto" w:line="240" w:before="0" w:after="240"/>
        <w:ind w:left="0" w:right="0" w:firstLine="720"/>
        <w:jc w:val="both"/>
        <w:rPr/>
      </w:pPr>
      <w:r>
        <w:rPr>
          <w:rFonts w:ascii="Times New Roman;sans-serif" w:hAnsi="Times New Roman;sans-serif"/>
          <w:b/>
          <w:color w:val="000000"/>
          <w:sz w:val="24"/>
        </w:rPr>
        <w:t>1.5.</w:t>
      </w:r>
      <w:r>
        <w:rPr>
          <w:color w:val="000000"/>
        </w:rPr>
        <w:t>“</w:t>
      </w:r>
      <w:r>
        <w:rPr>
          <w:rFonts w:ascii="Times New Roman;sans-serif" w:hAnsi="Times New Roman;sans-serif"/>
          <w:b w:val="false"/>
          <w:color w:val="000000"/>
          <w:sz w:val="24"/>
        </w:rPr>
        <w:t>Annual Deferral Amount” shall mean that portion of a Participant’s Base Salary, Bonus, Commissions, Director Fees, Equity-Based Incentive Awards and Legacy Amounts that a Participant defers in accordance with Article III for any one Plan Year, without regard to whether such amounts are withheld and credited during such Plan Year. In the event of a Participant’s Disability or death prior to the end of a Plan Year, such year’s Annual Deferral Amount shall be the actual amount withheld prior to such event.</w:t>
      </w:r>
    </w:p>
    <w:p>
      <w:pPr>
        <w:pStyle w:val="TextBody"/>
        <w:bidi w:val="0"/>
        <w:spacing w:lineRule="auto" w:line="240" w:before="0" w:after="240"/>
        <w:ind w:left="0" w:right="0" w:firstLine="720"/>
        <w:jc w:val="both"/>
        <w:rPr/>
      </w:pPr>
      <w:r>
        <w:rPr>
          <w:rFonts w:ascii="Times New Roman;sans-serif" w:hAnsi="Times New Roman;sans-serif"/>
          <w:b/>
          <w:color w:val="000000"/>
          <w:sz w:val="24"/>
        </w:rPr>
        <w:t>1.6.</w:t>
      </w:r>
      <w:r>
        <w:rPr>
          <w:color w:val="000000"/>
        </w:rPr>
        <w:t>“</w:t>
      </w:r>
      <w:r>
        <w:rPr>
          <w:rFonts w:ascii="Times New Roman;sans-serif" w:hAnsi="Times New Roman;sans-serif"/>
          <w:b w:val="false"/>
          <w:color w:val="000000"/>
          <w:sz w:val="24"/>
        </w:rPr>
        <w:t>Annual Installment Method” shall be an annual installment payment over the number of years selected by the Participant in accordance with this Plan, calculated as follows: (i) for the first annual installment, the vested portion of each applicable Annual Account shall be calculated as of the close of business on, or if the Participant’s Benefit Distribution Trigger Date is not a business day the first business day following, the Participant’s Benefit Distribution Trigger Date (or, if permitted by the Committee, an anniversary of (or the first business day following the anniversary of) the Benefit Distribution Trigger Date elected by the Participant), and (ii) for remaining annual installments, the vested portion of each applicable Annual Account shall be calculated on every anniversary of such calculation date, as applicable. Each annual installment shall be calculated by multiplying this balance by a fraction, the numerator of which is one and the denominator of which is the remaining number of annual payments due to the Participant, including the then current installment. By way of example, if the Participant elects a ten (10) year Annual Installment Method as the form of Retirement Benefit for an Annual Account, the first payment shall be 1/10 of the vested balance of such Annual Account, calculated as described in this definition. The following year, the payment shall be 1/9 of the vested balance of such Annual Account, calculated as described in this definition.</w:t>
      </w:r>
    </w:p>
    <w:p>
      <w:pPr>
        <w:pStyle w:val="TextBody"/>
        <w:bidi w:val="0"/>
        <w:spacing w:lineRule="auto" w:line="240" w:before="0" w:after="240"/>
        <w:ind w:left="0" w:right="0" w:firstLine="720"/>
        <w:jc w:val="both"/>
        <w:rPr/>
      </w:pPr>
      <w:r>
        <w:rPr>
          <w:rFonts w:ascii="Times New Roman;sans-serif" w:hAnsi="Times New Roman;sans-serif"/>
          <w:b/>
          <w:color w:val="000000"/>
          <w:sz w:val="24"/>
        </w:rPr>
        <w:t>1.7.</w:t>
      </w:r>
      <w:r>
        <w:rPr>
          <w:color w:val="000000"/>
        </w:rPr>
        <w:t>“</w:t>
      </w:r>
      <w:r>
        <w:rPr>
          <w:rFonts w:ascii="Times New Roman;sans-serif" w:hAnsi="Times New Roman;sans-serif"/>
          <w:b w:val="false"/>
          <w:color w:val="000000"/>
          <w:sz w:val="24"/>
        </w:rPr>
        <w:t>Base Salary” shall mean the annual cash compensation relating to services performed during any calendar year, excluding distributions from nonqualified deferred compensation plans, bonuses, commissions, overtime, fringe benefits, stock options, relocation expenses, incentive payments, non-monetary awards, director fees and other fees, and automobile and other allowances paid to a Participant for employment services rendered (whether or not such allowances are included in the Employee’s gross income). Base Salary shall be calculated before reduction for compensation voluntarily deferred or contributed by the Participant pursuant to all qualified or nonqualified plans of any Employer and shall be calculated to include amounts not otherwise included in the Participant’s gross income under Code Sections 125, 402(e)(3), 402(h), or 403(b) pursuant to plans established by any Employer; provided, however, that all such amounts will be included in compensation only to the extent that had there been no such plan, the amount would have been payable in cash to the Employee.</w:t>
      </w:r>
    </w:p>
    <w:p>
      <w:pPr>
        <w:pStyle w:val="TextBody"/>
        <w:bidi w:val="0"/>
        <w:spacing w:lineRule="auto" w:line="240" w:before="0" w:after="240"/>
        <w:ind w:left="0" w:right="0" w:firstLine="720"/>
        <w:jc w:val="both"/>
        <w:rPr/>
      </w:pPr>
      <w:r>
        <w:rPr>
          <w:rFonts w:ascii="Times New Roman;sans-serif" w:hAnsi="Times New Roman;sans-serif"/>
          <w:b/>
          <w:color w:val="000000"/>
          <w:sz w:val="24"/>
        </w:rPr>
        <w:t>1.8.</w:t>
      </w:r>
      <w:r>
        <w:rPr>
          <w:color w:val="000000"/>
        </w:rPr>
        <w:t>“</w:t>
      </w:r>
      <w:r>
        <w:rPr>
          <w:rFonts w:ascii="Times New Roman;sans-serif" w:hAnsi="Times New Roman;sans-serif"/>
          <w:b w:val="false"/>
          <w:color w:val="000000"/>
          <w:sz w:val="24"/>
        </w:rPr>
        <w:t>Beneficiary” shall mean one or more persons, trusts, estates or other entities, designated in accordance with Article 11, that are entitled to receive benefits under this Plan upon the death of a Participant.</w:t>
      </w:r>
    </w:p>
    <w:p>
      <w:pPr>
        <w:pStyle w:val="TextBody"/>
        <w:bidi w:val="0"/>
        <w:spacing w:lineRule="auto" w:line="240" w:before="0" w:after="240"/>
        <w:ind w:left="0" w:right="0" w:firstLine="720"/>
        <w:jc w:val="both"/>
        <w:rPr/>
      </w:pPr>
      <w:r>
        <w:rPr>
          <w:rFonts w:ascii="Times New Roman;sans-serif" w:hAnsi="Times New Roman;sans-serif"/>
          <w:b/>
          <w:color w:val="000000"/>
          <w:sz w:val="24"/>
        </w:rPr>
        <w:t>1.9.</w:t>
      </w:r>
      <w:r>
        <w:rPr>
          <w:color w:val="000000"/>
        </w:rPr>
        <w:t>“</w:t>
      </w:r>
      <w:r>
        <w:rPr>
          <w:rFonts w:ascii="Times New Roman;sans-serif" w:hAnsi="Times New Roman;sans-serif"/>
          <w:b w:val="false"/>
          <w:color w:val="000000"/>
          <w:sz w:val="24"/>
        </w:rPr>
        <w:t>Beneficiary Designation Form” shall mean the form established from time to time by the Committee that a Participant completes, signs and returns to the Committee to designate one or more Beneficiaries.</w:t>
      </w:r>
    </w:p>
    <w:p>
      <w:pPr>
        <w:pStyle w:val="TextBody"/>
        <w:bidi w:val="0"/>
        <w:spacing w:lineRule="auto" w:line="240" w:before="0" w:after="240"/>
        <w:ind w:left="0" w:right="0" w:firstLine="720"/>
        <w:jc w:val="both"/>
        <w:rPr/>
      </w:pPr>
      <w:r>
        <w:rPr>
          <w:rFonts w:ascii="Times New Roman;sans-serif" w:hAnsi="Times New Roman;sans-serif"/>
          <w:b/>
          <w:color w:val="000000"/>
          <w:sz w:val="24"/>
        </w:rPr>
        <w:t>1.10.</w:t>
      </w:r>
      <w:r>
        <w:rPr>
          <w:color w:val="000000"/>
        </w:rPr>
        <w:t>“</w:t>
      </w:r>
      <w:r>
        <w:rPr>
          <w:rFonts w:ascii="Times New Roman;sans-serif" w:hAnsi="Times New Roman;sans-serif"/>
          <w:b w:val="false"/>
          <w:color w:val="000000"/>
          <w:sz w:val="24"/>
        </w:rPr>
        <w:t>Benefit Distribution Trigger Date” shall mean a date or event that triggers distribution of a Participant’s vested benefits as provided in Articles V, VI, VII, VIII, and IX.</w:t>
      </w:r>
    </w:p>
    <w:p>
      <w:pPr>
        <w:pStyle w:val="TextBody"/>
        <w:bidi w:val="0"/>
        <w:spacing w:lineRule="auto" w:line="240" w:before="0" w:after="240"/>
        <w:ind w:left="0" w:right="0" w:firstLine="720"/>
        <w:jc w:val="both"/>
        <w:rPr/>
      </w:pPr>
      <w:r>
        <w:rPr>
          <w:rFonts w:ascii="Times New Roman;sans-serif" w:hAnsi="Times New Roman;sans-serif"/>
          <w:b/>
          <w:color w:val="000000"/>
          <w:sz w:val="24"/>
        </w:rPr>
        <w:t>1.11.</w:t>
      </w:r>
      <w:r>
        <w:rPr>
          <w:color w:val="000000"/>
        </w:rPr>
        <w:t>“</w:t>
      </w:r>
      <w:r>
        <w:rPr>
          <w:rFonts w:ascii="Times New Roman;sans-serif" w:hAnsi="Times New Roman;sans-serif"/>
          <w:b w:val="false"/>
          <w:color w:val="000000"/>
          <w:sz w:val="24"/>
        </w:rPr>
        <w:t>Board” shall mean the board of directors of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1.12.</w:t>
      </w:r>
      <w:r>
        <w:rPr>
          <w:color w:val="000000"/>
        </w:rPr>
        <w:t>“</w:t>
      </w:r>
      <w:r>
        <w:rPr>
          <w:rFonts w:ascii="Times New Roman;sans-serif" w:hAnsi="Times New Roman;sans-serif"/>
          <w:b w:val="false"/>
          <w:color w:val="000000"/>
          <w:sz w:val="24"/>
        </w:rPr>
        <w:t>Bonus” shall mean any compensation, other than Base Salary, Commissions and Equity-Based Incentive Awards, earned by a Participant for services rendered during a Plan Year, under any Employer’s annual bonus and cash incentive plans.</w:t>
      </w:r>
    </w:p>
    <w:p>
      <w:pPr>
        <w:pStyle w:val="TextBody"/>
        <w:bidi w:val="0"/>
        <w:spacing w:lineRule="auto" w:line="240" w:before="0" w:after="240"/>
        <w:ind w:left="0" w:right="0" w:firstLine="720"/>
        <w:jc w:val="both"/>
        <w:rPr/>
      </w:pPr>
      <w:r>
        <w:rPr>
          <w:rFonts w:ascii="Times New Roman;sans-serif" w:hAnsi="Times New Roman;sans-serif"/>
          <w:b/>
          <w:color w:val="000000"/>
          <w:sz w:val="24"/>
        </w:rPr>
        <w:t>1.13.</w:t>
      </w:r>
      <w:r>
        <w:rPr>
          <w:color w:val="000000"/>
        </w:rPr>
        <w:t>“</w:t>
      </w:r>
      <w:r>
        <w:rPr>
          <w:rFonts w:ascii="Times New Roman;sans-serif" w:hAnsi="Times New Roman;sans-serif"/>
          <w:b w:val="false"/>
          <w:color w:val="000000"/>
          <w:sz w:val="24"/>
        </w:rPr>
        <w:t>Cause” shall mean with respect to each Participant (i) if the Participant is convicted of or pleads guilty (or nolo contendere) to: (x) a felony, or (y) a crime involving moral turpitude; (ii) if the Company determines that Participant knowingly violated any of the Company’s policies, rules or guidelines; or (iii) if the Company determines that the Participant willfully engaged in conduct, or willfully failed to perform assigned duties, the result of which exposes the Company to serious actual or potential injury (financial or otherwise).</w:t>
      </w:r>
    </w:p>
    <w:p>
      <w:pPr>
        <w:pStyle w:val="TextBody"/>
        <w:bidi w:val="0"/>
        <w:spacing w:lineRule="auto" w:line="240" w:before="0" w:after="240"/>
        <w:ind w:left="0" w:right="0" w:firstLine="720"/>
        <w:jc w:val="both"/>
        <w:rPr/>
      </w:pPr>
      <w:r>
        <w:rPr>
          <w:rFonts w:ascii="Times New Roman;sans-serif" w:hAnsi="Times New Roman;sans-serif"/>
          <w:b/>
          <w:color w:val="000000"/>
          <w:sz w:val="24"/>
        </w:rPr>
        <w:t>1.14.</w:t>
      </w:r>
      <w:r>
        <w:rPr>
          <w:color w:val="000000"/>
        </w:rPr>
        <w:t>“</w:t>
      </w:r>
      <w:r>
        <w:rPr>
          <w:rFonts w:ascii="Times New Roman;sans-serif" w:hAnsi="Times New Roman;sans-serif"/>
          <w:b w:val="false"/>
          <w:color w:val="000000"/>
          <w:sz w:val="24"/>
        </w:rPr>
        <w:t>Change in Control” shall mean any “change in control event” as defined in accordance with Code Section 409A and related Treasury Regulations.</w:t>
      </w:r>
    </w:p>
    <w:p>
      <w:pPr>
        <w:pStyle w:val="TextBody"/>
        <w:bidi w:val="0"/>
        <w:spacing w:lineRule="auto" w:line="240" w:before="0" w:after="240"/>
        <w:ind w:left="0" w:right="0" w:firstLine="720"/>
        <w:jc w:val="both"/>
        <w:rPr/>
      </w:pPr>
      <w:r>
        <w:rPr>
          <w:rFonts w:ascii="Times New Roman;sans-serif" w:hAnsi="Times New Roman;sans-serif"/>
          <w:b/>
          <w:color w:val="000000"/>
          <w:sz w:val="24"/>
        </w:rPr>
        <w:t>1.15.</w:t>
      </w:r>
      <w:r>
        <w:rPr>
          <w:color w:val="000000"/>
        </w:rPr>
        <w:t>“</w:t>
      </w:r>
      <w:r>
        <w:rPr>
          <w:rFonts w:ascii="Times New Roman;sans-serif" w:hAnsi="Times New Roman;sans-serif"/>
          <w:b w:val="false"/>
          <w:color w:val="000000"/>
          <w:sz w:val="24"/>
        </w:rPr>
        <w:t>Change in Control Benefit” shall have the meaning set forth in Article V.</w:t>
      </w:r>
    </w:p>
    <w:p>
      <w:pPr>
        <w:pStyle w:val="TextBody"/>
        <w:bidi w:val="0"/>
        <w:spacing w:lineRule="auto" w:line="240" w:before="0" w:after="240"/>
        <w:ind w:left="0" w:right="0" w:firstLine="720"/>
        <w:jc w:val="both"/>
        <w:rPr/>
      </w:pPr>
      <w:r>
        <w:rPr>
          <w:rFonts w:ascii="Times New Roman;sans-serif" w:hAnsi="Times New Roman;sans-serif"/>
          <w:b/>
          <w:color w:val="000000"/>
          <w:sz w:val="24"/>
        </w:rPr>
        <w:t>1.16.</w:t>
      </w:r>
      <w:r>
        <w:rPr>
          <w:color w:val="000000"/>
        </w:rPr>
        <w:t>“</w:t>
      </w:r>
      <w:r>
        <w:rPr>
          <w:rFonts w:ascii="Times New Roman;sans-serif" w:hAnsi="Times New Roman;sans-serif"/>
          <w:b w:val="false"/>
          <w:color w:val="000000"/>
          <w:sz w:val="24"/>
        </w:rPr>
        <w:t>Claimant” shall have the meaning set forth in Section 15.1.</w:t>
      </w:r>
    </w:p>
    <w:p>
      <w:pPr>
        <w:pStyle w:val="TextBody"/>
        <w:bidi w:val="0"/>
        <w:spacing w:lineRule="auto" w:line="240" w:before="0" w:after="240"/>
        <w:ind w:left="0" w:right="0" w:firstLine="720"/>
        <w:jc w:val="both"/>
        <w:rPr/>
      </w:pPr>
      <w:r>
        <w:rPr>
          <w:rFonts w:ascii="Times New Roman;sans-serif" w:hAnsi="Times New Roman;sans-serif"/>
          <w:b/>
          <w:color w:val="000000"/>
          <w:sz w:val="24"/>
        </w:rPr>
        <w:t>1.17.</w:t>
      </w:r>
      <w:r>
        <w:rPr>
          <w:color w:val="000000"/>
        </w:rPr>
        <w:t>“</w:t>
      </w:r>
      <w:r>
        <w:rPr>
          <w:rFonts w:ascii="Times New Roman;sans-serif" w:hAnsi="Times New Roman;sans-serif"/>
          <w:b w:val="false"/>
          <w:color w:val="000000"/>
          <w:sz w:val="24"/>
        </w:rPr>
        <w:t>Code” shall mean the Internal Revenue Code of 1986, as amended from time to time.</w:t>
      </w:r>
    </w:p>
    <w:p>
      <w:pPr>
        <w:pStyle w:val="TextBody"/>
        <w:bidi w:val="0"/>
        <w:spacing w:lineRule="auto" w:line="240" w:before="0" w:after="240"/>
        <w:ind w:left="0" w:right="0" w:firstLine="720"/>
        <w:jc w:val="both"/>
        <w:rPr/>
      </w:pPr>
      <w:r>
        <w:rPr>
          <w:rFonts w:ascii="Times New Roman;sans-serif" w:hAnsi="Times New Roman;sans-serif"/>
          <w:b/>
          <w:color w:val="000000"/>
          <w:sz w:val="24"/>
        </w:rPr>
        <w:t>1.18.</w:t>
      </w:r>
      <w:r>
        <w:rPr>
          <w:color w:val="000000"/>
        </w:rPr>
        <w:t>“</w:t>
      </w:r>
      <w:r>
        <w:rPr>
          <w:rFonts w:ascii="Times New Roman;sans-serif" w:hAnsi="Times New Roman;sans-serif"/>
          <w:b w:val="false"/>
          <w:color w:val="000000"/>
          <w:sz w:val="24"/>
        </w:rPr>
        <w:t>Commissions” shall mean the cash commissions earned by a Participant from any Employer for services rendered during a Plan Year, excluding Bonus, Equity-Based Incentive Awards or other additional incentives or awards earned by the Participant.</w:t>
      </w:r>
    </w:p>
    <w:p>
      <w:pPr>
        <w:pStyle w:val="TextBody"/>
        <w:bidi w:val="0"/>
        <w:spacing w:lineRule="auto" w:line="240" w:before="0" w:after="240"/>
        <w:ind w:left="0" w:right="0" w:firstLine="720"/>
        <w:jc w:val="both"/>
        <w:rPr/>
      </w:pPr>
      <w:r>
        <w:rPr>
          <w:rFonts w:ascii="Times New Roman;sans-serif" w:hAnsi="Times New Roman;sans-serif"/>
          <w:b/>
          <w:color w:val="000000"/>
          <w:sz w:val="24"/>
        </w:rPr>
        <w:t>1.19.</w:t>
      </w:r>
      <w:r>
        <w:rPr>
          <w:color w:val="000000"/>
        </w:rPr>
        <w:t>“</w:t>
      </w:r>
      <w:r>
        <w:rPr>
          <w:rFonts w:ascii="Times New Roman;sans-serif" w:hAnsi="Times New Roman;sans-serif"/>
          <w:b w:val="false"/>
          <w:color w:val="000000"/>
          <w:sz w:val="24"/>
        </w:rPr>
        <w:t>Committee” shall mean the Company’s Employee Benefits Committee as constituted from time to time, and when there are no members of the Employee Benefits Committee, the Board’s Talent &amp; Compensation Committee.</w:t>
      </w:r>
    </w:p>
    <w:p>
      <w:pPr>
        <w:pStyle w:val="TextBody"/>
        <w:bidi w:val="0"/>
        <w:spacing w:lineRule="auto" w:line="240" w:before="0" w:after="240"/>
        <w:ind w:left="0" w:right="0" w:firstLine="720"/>
        <w:jc w:val="both"/>
        <w:rPr/>
      </w:pPr>
      <w:r>
        <w:rPr>
          <w:rFonts w:ascii="Times New Roman;sans-serif" w:hAnsi="Times New Roman;sans-serif"/>
          <w:b/>
          <w:color w:val="000000"/>
          <w:sz w:val="24"/>
        </w:rPr>
        <w:t>1.20.</w:t>
      </w:r>
      <w:r>
        <w:rPr>
          <w:color w:val="000000"/>
        </w:rPr>
        <w:t>“</w:t>
      </w:r>
      <w:r>
        <w:rPr>
          <w:rFonts w:ascii="Times New Roman;sans-serif" w:hAnsi="Times New Roman;sans-serif"/>
          <w:b w:val="false"/>
          <w:color w:val="000000"/>
          <w:sz w:val="24"/>
        </w:rPr>
        <w:t>Company” shall mean Republic Services, Inc., a Delaware corporation, and any successor to all or substantially all of the Company’s assets or business.</w:t>
      </w:r>
    </w:p>
    <w:p>
      <w:pPr>
        <w:pStyle w:val="TextBody"/>
        <w:bidi w:val="0"/>
        <w:spacing w:lineRule="auto" w:line="240" w:before="0" w:after="240"/>
        <w:ind w:left="0" w:right="0" w:firstLine="720"/>
        <w:jc w:val="both"/>
        <w:rPr/>
      </w:pPr>
      <w:r>
        <w:rPr>
          <w:rFonts w:ascii="Times New Roman;sans-serif" w:hAnsi="Times New Roman;sans-serif"/>
          <w:b/>
          <w:color w:val="000000"/>
          <w:sz w:val="24"/>
        </w:rPr>
        <w:t>1.21.</w:t>
      </w:r>
      <w:r>
        <w:rPr>
          <w:color w:val="000000"/>
        </w:rPr>
        <w:t>“</w:t>
      </w:r>
      <w:r>
        <w:rPr>
          <w:rFonts w:ascii="Times New Roman;sans-serif" w:hAnsi="Times New Roman;sans-serif"/>
          <w:b w:val="false"/>
          <w:color w:val="000000"/>
          <w:sz w:val="24"/>
        </w:rPr>
        <w:t>Company Additional Matching Amount” shall mean, for any one Plan Year, the amount determined in accordance with the provisions of the Plan as in effect prior to January 1, 2009.</w:t>
      </w:r>
    </w:p>
    <w:p>
      <w:pPr>
        <w:pStyle w:val="TextBody"/>
        <w:bidi w:val="0"/>
        <w:spacing w:lineRule="auto" w:line="240" w:before="0" w:after="240"/>
        <w:ind w:left="0" w:right="0" w:firstLine="720"/>
        <w:jc w:val="both"/>
        <w:rPr/>
      </w:pPr>
      <w:r>
        <w:rPr>
          <w:rFonts w:ascii="Times New Roman;sans-serif" w:hAnsi="Times New Roman;sans-serif"/>
          <w:b/>
          <w:color w:val="000000"/>
          <w:sz w:val="24"/>
        </w:rPr>
        <w:t>1.22.</w:t>
      </w:r>
      <w:r>
        <w:rPr>
          <w:color w:val="000000"/>
        </w:rPr>
        <w:t>“</w:t>
      </w:r>
      <w:r>
        <w:rPr>
          <w:rFonts w:ascii="Times New Roman;sans-serif" w:hAnsi="Times New Roman;sans-serif"/>
          <w:b w:val="false"/>
          <w:color w:val="000000"/>
          <w:sz w:val="24"/>
        </w:rPr>
        <w:t>Company Contribution Amount” shall mean, for any one Plan Year, the amount determined in accordance with Section 3.5.</w:t>
      </w:r>
    </w:p>
    <w:p>
      <w:pPr>
        <w:pStyle w:val="TextBody"/>
        <w:bidi w:val="0"/>
        <w:spacing w:lineRule="auto" w:line="240" w:before="0" w:after="240"/>
        <w:ind w:left="0" w:right="0" w:firstLine="720"/>
        <w:jc w:val="both"/>
        <w:rPr/>
      </w:pPr>
      <w:r>
        <w:rPr>
          <w:rFonts w:ascii="Times New Roman;sans-serif" w:hAnsi="Times New Roman;sans-serif"/>
          <w:b/>
          <w:color w:val="000000"/>
          <w:sz w:val="24"/>
        </w:rPr>
        <w:t>1.23.</w:t>
      </w:r>
      <w:r>
        <w:rPr>
          <w:color w:val="000000"/>
        </w:rPr>
        <w:t>“</w:t>
      </w:r>
      <w:r>
        <w:rPr>
          <w:rFonts w:ascii="Times New Roman;sans-serif" w:hAnsi="Times New Roman;sans-serif"/>
          <w:b w:val="false"/>
          <w:color w:val="000000"/>
          <w:sz w:val="24"/>
        </w:rPr>
        <w:t>Company Restoration Matching Amount” shall mean, for any one Plan Year, the amount determined in accordance with Section 3.6.</w:t>
      </w:r>
    </w:p>
    <w:p>
      <w:pPr>
        <w:pStyle w:val="TextBody"/>
        <w:bidi w:val="0"/>
        <w:spacing w:lineRule="auto" w:line="240" w:before="0" w:after="240"/>
        <w:ind w:left="0" w:right="0" w:firstLine="720"/>
        <w:jc w:val="both"/>
        <w:rPr/>
      </w:pPr>
      <w:r>
        <w:rPr>
          <w:rFonts w:ascii="Times New Roman;sans-serif" w:hAnsi="Times New Roman;sans-serif"/>
          <w:b/>
          <w:color w:val="000000"/>
          <w:sz w:val="24"/>
        </w:rPr>
        <w:t>1.24.</w:t>
      </w:r>
      <w:r>
        <w:rPr>
          <w:color w:val="000000"/>
        </w:rPr>
        <w:t>“</w:t>
      </w:r>
      <w:r>
        <w:rPr>
          <w:rFonts w:ascii="Times New Roman;sans-serif" w:hAnsi="Times New Roman;sans-serif"/>
          <w:b w:val="false"/>
          <w:color w:val="000000"/>
          <w:sz w:val="24"/>
        </w:rPr>
        <w:t>Death Benefit” shall mean the benefit set forth in Article IX.</w:t>
      </w:r>
    </w:p>
    <w:p>
      <w:pPr>
        <w:pStyle w:val="TextBody"/>
        <w:bidi w:val="0"/>
        <w:spacing w:lineRule="auto" w:line="240" w:before="0" w:after="240"/>
        <w:ind w:left="0" w:right="0" w:firstLine="720"/>
        <w:jc w:val="both"/>
        <w:rPr/>
      </w:pPr>
      <w:r>
        <w:rPr>
          <w:rFonts w:ascii="Times New Roman;sans-serif" w:hAnsi="Times New Roman;sans-serif"/>
          <w:b/>
          <w:color w:val="000000"/>
          <w:sz w:val="24"/>
        </w:rPr>
        <w:t>1.25.</w:t>
      </w:r>
      <w:r>
        <w:rPr>
          <w:color w:val="000000"/>
        </w:rPr>
        <w:t>“</w:t>
      </w:r>
      <w:r>
        <w:rPr>
          <w:rFonts w:ascii="Times New Roman;sans-serif" w:hAnsi="Times New Roman;sans-serif"/>
          <w:b w:val="false"/>
          <w:color w:val="000000"/>
          <w:sz w:val="24"/>
        </w:rPr>
        <w:t>Director” shall mean any member of the board of directors of the Company who is not an employee of the Company.</w:t>
      </w:r>
    </w:p>
    <w:p>
      <w:pPr>
        <w:pStyle w:val="TextBody"/>
        <w:bidi w:val="0"/>
        <w:spacing w:lineRule="auto" w:line="240" w:before="0" w:after="240"/>
        <w:ind w:left="0" w:right="0" w:firstLine="720"/>
        <w:jc w:val="both"/>
        <w:rPr/>
      </w:pPr>
      <w:r>
        <w:rPr>
          <w:rFonts w:ascii="Times New Roman;sans-serif" w:hAnsi="Times New Roman;sans-serif"/>
          <w:b/>
          <w:color w:val="000000"/>
          <w:sz w:val="24"/>
        </w:rPr>
        <w:t>1.26.</w:t>
      </w:r>
      <w:r>
        <w:rPr>
          <w:color w:val="000000"/>
        </w:rPr>
        <w:t>“</w:t>
      </w:r>
      <w:r>
        <w:rPr>
          <w:rFonts w:ascii="Times New Roman;sans-serif" w:hAnsi="Times New Roman;sans-serif"/>
          <w:b w:val="false"/>
          <w:color w:val="000000"/>
          <w:sz w:val="24"/>
        </w:rPr>
        <w:t>Director Fees” shall mean the annual fees (in the form of cash or Equity-Based Compensation Awards) earned by a Director from the Company, including retainer fees and meetings fees, as compensation for serving on the board of directors of the Company.</w:t>
      </w:r>
    </w:p>
    <w:p>
      <w:pPr>
        <w:pStyle w:val="TextBody"/>
        <w:bidi w:val="0"/>
        <w:spacing w:lineRule="auto" w:line="240" w:before="0" w:after="240"/>
        <w:ind w:left="0" w:right="0" w:firstLine="720"/>
        <w:jc w:val="both"/>
        <w:rPr/>
      </w:pPr>
      <w:r>
        <w:rPr>
          <w:rFonts w:ascii="Times New Roman;sans-serif" w:hAnsi="Times New Roman;sans-serif"/>
          <w:b/>
          <w:color w:val="000000"/>
          <w:sz w:val="24"/>
        </w:rPr>
        <w:t>1.27.</w:t>
      </w:r>
      <w:r>
        <w:rPr>
          <w:color w:val="000000"/>
        </w:rPr>
        <w:t>“</w:t>
      </w:r>
      <w:r>
        <w:rPr>
          <w:rFonts w:ascii="Times New Roman;sans-serif" w:hAnsi="Times New Roman;sans-serif"/>
          <w:b w:val="false"/>
          <w:color w:val="000000"/>
          <w:sz w:val="24"/>
        </w:rPr>
        <w:t>Disability” or “Disabled” shall mean a Participant’s incapacity due to physical or mental impairment that causes the Participant to be absent from his or her full-time duties for six consecutive months.</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1.28.</w:t>
      </w:r>
      <w:r>
        <w:rPr>
          <w:color w:val="000000"/>
        </w:rPr>
        <w:t>“</w:t>
      </w:r>
      <w:r>
        <w:rPr>
          <w:rFonts w:ascii="Times New Roman;sans-serif" w:hAnsi="Times New Roman;sans-serif"/>
          <w:b w:val="false"/>
          <w:color w:val="000000"/>
          <w:sz w:val="24"/>
        </w:rPr>
        <w:t>Disability Benefit” shall mean the benefit set forth in Article VIII.</w:t>
      </w:r>
    </w:p>
    <w:p>
      <w:pPr>
        <w:pStyle w:val="TextBody"/>
        <w:bidi w:val="0"/>
        <w:spacing w:lineRule="auto" w:line="240" w:before="0" w:after="240"/>
        <w:ind w:left="0" w:right="0" w:firstLine="720"/>
        <w:jc w:val="both"/>
        <w:rPr/>
      </w:pPr>
      <w:r>
        <w:rPr>
          <w:rFonts w:ascii="Times New Roman;sans-serif" w:hAnsi="Times New Roman;sans-serif"/>
          <w:b/>
          <w:color w:val="000000"/>
          <w:sz w:val="24"/>
        </w:rPr>
        <w:t>1.29.</w:t>
      </w:r>
      <w:r>
        <w:rPr>
          <w:color w:val="000000"/>
        </w:rPr>
        <w:t>“</w:t>
      </w:r>
      <w:r>
        <w:rPr>
          <w:rFonts w:ascii="Times New Roman;sans-serif" w:hAnsi="Times New Roman;sans-serif"/>
          <w:b w:val="false"/>
          <w:color w:val="000000"/>
          <w:sz w:val="24"/>
        </w:rPr>
        <w:t>Election Form” shall mean the form or forms, which may be in electronic format, established from time to time by the Committee that a Participant completes, signs and returns to the Committee to make an election under the Plan.</w:t>
      </w:r>
    </w:p>
    <w:p>
      <w:pPr>
        <w:pStyle w:val="TextBody"/>
        <w:bidi w:val="0"/>
        <w:spacing w:lineRule="auto" w:line="240" w:before="0" w:after="240"/>
        <w:ind w:left="0" w:right="0" w:firstLine="720"/>
        <w:jc w:val="both"/>
        <w:rPr/>
      </w:pPr>
      <w:r>
        <w:rPr>
          <w:rFonts w:ascii="Times New Roman;sans-serif" w:hAnsi="Times New Roman;sans-serif"/>
          <w:b/>
          <w:color w:val="000000"/>
          <w:sz w:val="24"/>
        </w:rPr>
        <w:t>1.30.</w:t>
      </w:r>
      <w:r>
        <w:rPr>
          <w:color w:val="000000"/>
        </w:rPr>
        <w:t>“</w:t>
      </w:r>
      <w:r>
        <w:rPr>
          <w:rFonts w:ascii="Times New Roman;sans-serif" w:hAnsi="Times New Roman;sans-serif"/>
          <w:b w:val="false"/>
          <w:color w:val="000000"/>
          <w:sz w:val="24"/>
        </w:rPr>
        <w:t>Employee” shall mean a person who is an employee of any Employer.</w:t>
      </w:r>
    </w:p>
    <w:p>
      <w:pPr>
        <w:pStyle w:val="TextBody"/>
        <w:bidi w:val="0"/>
        <w:spacing w:lineRule="auto" w:line="240" w:before="0" w:after="240"/>
        <w:ind w:left="0" w:right="0" w:firstLine="720"/>
        <w:jc w:val="both"/>
        <w:rPr/>
      </w:pPr>
      <w:r>
        <w:rPr>
          <w:rFonts w:ascii="Times New Roman;sans-serif" w:hAnsi="Times New Roman;sans-serif"/>
          <w:b/>
          <w:color w:val="000000"/>
          <w:sz w:val="24"/>
        </w:rPr>
        <w:t>1.31.</w:t>
      </w:r>
      <w:r>
        <w:rPr>
          <w:color w:val="000000"/>
        </w:rPr>
        <w:t>“</w:t>
      </w:r>
      <w:r>
        <w:rPr>
          <w:rFonts w:ascii="Times New Roman;sans-serif" w:hAnsi="Times New Roman;sans-serif"/>
          <w:b w:val="false"/>
          <w:color w:val="000000"/>
          <w:sz w:val="24"/>
        </w:rPr>
        <w:t>Employee Director” shall mean an Employee whose title as an Employee is that of a director level. For this purpose, it is not intended to indicate a member of the board of directors of any Employer.</w:t>
      </w:r>
    </w:p>
    <w:p>
      <w:pPr>
        <w:pStyle w:val="TextBody"/>
        <w:bidi w:val="0"/>
        <w:spacing w:lineRule="auto" w:line="240" w:before="0" w:after="240"/>
        <w:ind w:left="0" w:right="0" w:firstLine="720"/>
        <w:jc w:val="both"/>
        <w:rPr/>
      </w:pPr>
      <w:r>
        <w:rPr>
          <w:rFonts w:ascii="Times New Roman;sans-serif" w:hAnsi="Times New Roman;sans-serif"/>
          <w:b/>
          <w:color w:val="000000"/>
          <w:sz w:val="24"/>
        </w:rPr>
        <w:t>1.32.</w:t>
      </w:r>
      <w:r>
        <w:rPr>
          <w:color w:val="000000"/>
        </w:rPr>
        <w:t>“</w:t>
      </w:r>
      <w:r>
        <w:rPr>
          <w:rFonts w:ascii="Times New Roman;sans-serif" w:hAnsi="Times New Roman;sans-serif"/>
          <w:b w:val="false"/>
          <w:color w:val="000000"/>
          <w:sz w:val="24"/>
        </w:rPr>
        <w:t>Employer(s)” shall mean the Company and/or any of its subsidiaries (now in existence or hereafter formed or acquired) that have been selected by the Board to participate in the Plan and have adopted the Plan as a participating employer.</w:t>
      </w:r>
    </w:p>
    <w:p>
      <w:pPr>
        <w:pStyle w:val="TextBody"/>
        <w:bidi w:val="0"/>
        <w:spacing w:lineRule="auto" w:line="240" w:before="0" w:after="240"/>
        <w:ind w:left="0" w:right="0" w:firstLine="720"/>
        <w:jc w:val="both"/>
        <w:rPr/>
      </w:pPr>
      <w:r>
        <w:rPr>
          <w:rFonts w:ascii="Times New Roman;sans-serif" w:hAnsi="Times New Roman;sans-serif"/>
          <w:b/>
          <w:color w:val="000000"/>
          <w:sz w:val="24"/>
        </w:rPr>
        <w:t>1.33.</w:t>
      </w:r>
      <w:r>
        <w:rPr>
          <w:color w:val="000000"/>
        </w:rPr>
        <w:t>“</w:t>
      </w:r>
      <w:r>
        <w:rPr>
          <w:rFonts w:ascii="Times New Roman;sans-serif" w:hAnsi="Times New Roman;sans-serif"/>
          <w:b w:val="false"/>
          <w:color w:val="000000"/>
          <w:sz w:val="24"/>
        </w:rPr>
        <w:t>Equity-Based Incentive Awards” shall mean awards granted under the Company’s 2021 Stock Incentive Plan, Executive Incentive Plan or Management Incentive Plan (as each such plan may be amended, or any successor thereto) that are based on the value of the Company’s common stock, including awards that are settled in cash.</w:t>
      </w:r>
    </w:p>
    <w:p>
      <w:pPr>
        <w:pStyle w:val="TextBody"/>
        <w:bidi w:val="0"/>
        <w:spacing w:lineRule="auto" w:line="240" w:before="0" w:after="240"/>
        <w:ind w:left="0" w:right="0" w:firstLine="720"/>
        <w:jc w:val="both"/>
        <w:rPr/>
      </w:pPr>
      <w:r>
        <w:rPr>
          <w:rFonts w:ascii="Times New Roman;sans-serif" w:hAnsi="Times New Roman;sans-serif"/>
          <w:b/>
          <w:color w:val="000000"/>
          <w:sz w:val="24"/>
        </w:rPr>
        <w:t>1.34.</w:t>
      </w:r>
      <w:r>
        <w:rPr>
          <w:color w:val="000000"/>
        </w:rPr>
        <w:t>“</w:t>
      </w:r>
      <w:r>
        <w:rPr>
          <w:rFonts w:ascii="Times New Roman;sans-serif" w:hAnsi="Times New Roman;sans-serif"/>
          <w:b w:val="false"/>
          <w:color w:val="000000"/>
          <w:sz w:val="24"/>
        </w:rPr>
        <w:t>ERISA” shall mean the Employee Retirement Income Security Act of 1974, as amended.</w:t>
      </w:r>
    </w:p>
    <w:p>
      <w:pPr>
        <w:pStyle w:val="TextBody"/>
        <w:bidi w:val="0"/>
        <w:spacing w:lineRule="auto" w:line="240" w:before="0" w:after="240"/>
        <w:ind w:left="0" w:right="0" w:firstLine="720"/>
        <w:jc w:val="both"/>
        <w:rPr/>
      </w:pPr>
      <w:r>
        <w:rPr>
          <w:rFonts w:ascii="Times New Roman;sans-serif" w:hAnsi="Times New Roman;sans-serif"/>
          <w:b/>
          <w:color w:val="000000"/>
          <w:sz w:val="24"/>
        </w:rPr>
        <w:t>1.35.</w:t>
      </w:r>
      <w:r>
        <w:rPr>
          <w:color w:val="000000"/>
        </w:rPr>
        <w:t>“</w:t>
      </w:r>
      <w:r>
        <w:rPr>
          <w:rFonts w:ascii="Times New Roman;sans-serif" w:hAnsi="Times New Roman;sans-serif"/>
          <w:b w:val="false"/>
          <w:color w:val="000000"/>
          <w:sz w:val="24"/>
        </w:rPr>
        <w:t>401(k) Plan” shall mean the Republic Services, Inc. 401(k) Plan, as it may be amended from time to time, or any successor thereto.</w:t>
      </w:r>
    </w:p>
    <w:p>
      <w:pPr>
        <w:pStyle w:val="TextBody"/>
        <w:bidi w:val="0"/>
        <w:spacing w:lineRule="auto" w:line="240" w:before="0" w:after="240"/>
        <w:ind w:left="0" w:right="0" w:firstLine="720"/>
        <w:jc w:val="both"/>
        <w:rPr/>
      </w:pPr>
      <w:r>
        <w:rPr>
          <w:rFonts w:ascii="Times New Roman;sans-serif" w:hAnsi="Times New Roman;sans-serif"/>
          <w:b/>
          <w:color w:val="000000"/>
          <w:sz w:val="24"/>
        </w:rPr>
        <w:t>1.36.</w:t>
      </w:r>
      <w:r>
        <w:rPr>
          <w:color w:val="000000"/>
        </w:rPr>
        <w:t>“</w:t>
      </w:r>
      <w:r>
        <w:rPr>
          <w:rFonts w:ascii="Times New Roman;sans-serif" w:hAnsi="Times New Roman;sans-serif"/>
          <w:b w:val="false"/>
          <w:color w:val="000000"/>
          <w:sz w:val="24"/>
        </w:rPr>
        <w:t>Legacy Amounts” shall mean LTIP Amounts and SIP Amounts, which represent amounts that may have been deferred in prior years, but which are not eligible for deferral on or after the effective date of this amended and restated Plan.</w:t>
      </w:r>
    </w:p>
    <w:p>
      <w:pPr>
        <w:pStyle w:val="TextBody"/>
        <w:bidi w:val="0"/>
        <w:spacing w:lineRule="auto" w:line="240" w:before="0" w:after="240"/>
        <w:ind w:left="0" w:right="0" w:firstLine="720"/>
        <w:jc w:val="both"/>
        <w:rPr/>
      </w:pPr>
      <w:r>
        <w:rPr>
          <w:rFonts w:ascii="Times New Roman;sans-serif" w:hAnsi="Times New Roman;sans-serif"/>
          <w:b/>
          <w:color w:val="000000"/>
          <w:sz w:val="24"/>
        </w:rPr>
        <w:t>1.37.</w:t>
      </w:r>
      <w:r>
        <w:rPr>
          <w:color w:val="000000"/>
        </w:rPr>
        <w:t>“</w:t>
      </w:r>
      <w:r>
        <w:rPr>
          <w:rFonts w:ascii="Times New Roman;sans-serif" w:hAnsi="Times New Roman;sans-serif"/>
          <w:b w:val="false"/>
          <w:color w:val="000000"/>
          <w:sz w:val="24"/>
        </w:rPr>
        <w:t>LTIP Amounts” shall mean any portion of the compensation attributable to a Plan Year prior to the effective date of this amended and restated Plan that is earned by a Participant as an Employee under any Employer’s long-term incentive plan or any other long-term incentive arrangement designated by the Committee. Any LTIP Amounts deferred under this Plan are Legacy Amounts.</w:t>
      </w:r>
    </w:p>
    <w:p>
      <w:pPr>
        <w:pStyle w:val="TextBody"/>
        <w:bidi w:val="0"/>
        <w:spacing w:lineRule="auto" w:line="240" w:before="0" w:after="240"/>
        <w:ind w:left="0" w:right="0" w:firstLine="720"/>
        <w:jc w:val="both"/>
        <w:rPr/>
      </w:pPr>
      <w:r>
        <w:rPr>
          <w:rFonts w:ascii="Times New Roman;sans-serif" w:hAnsi="Times New Roman;sans-serif"/>
          <w:b/>
          <w:color w:val="000000"/>
          <w:sz w:val="24"/>
        </w:rPr>
        <w:t>1.38.</w:t>
      </w:r>
      <w:r>
        <w:rPr>
          <w:color w:val="000000"/>
        </w:rPr>
        <w:t>“</w:t>
      </w:r>
      <w:r>
        <w:rPr>
          <w:rFonts w:ascii="Times New Roman;sans-serif" w:hAnsi="Times New Roman;sans-serif"/>
          <w:b w:val="false"/>
          <w:color w:val="000000"/>
          <w:sz w:val="24"/>
        </w:rPr>
        <w:t>Measurement Fund” shall have the meaning set forth in Section 3.9(a).</w:t>
      </w:r>
    </w:p>
    <w:p>
      <w:pPr>
        <w:pStyle w:val="TextBody"/>
        <w:bidi w:val="0"/>
        <w:spacing w:lineRule="auto" w:line="240" w:before="0" w:after="240"/>
        <w:ind w:left="0" w:right="0" w:firstLine="720"/>
        <w:jc w:val="both"/>
        <w:rPr/>
      </w:pPr>
      <w:r>
        <w:rPr>
          <w:rFonts w:ascii="Times New Roman;sans-serif" w:hAnsi="Times New Roman;sans-serif"/>
          <w:b/>
          <w:color w:val="000000"/>
          <w:sz w:val="24"/>
        </w:rPr>
        <w:t>1.39.</w:t>
      </w:r>
      <w:r>
        <w:rPr>
          <w:color w:val="000000"/>
        </w:rPr>
        <w:t>“</w:t>
      </w:r>
      <w:r>
        <w:rPr>
          <w:rFonts w:ascii="Times New Roman;sans-serif" w:hAnsi="Times New Roman;sans-serif"/>
          <w:b w:val="false"/>
          <w:color w:val="000000"/>
          <w:sz w:val="24"/>
        </w:rPr>
        <w:t>Participant” shall mean any Employee or Director (i) who is selected to participate in the Plan, (ii) who submits an executed Plan Agreement and Election Form, which is accepted by the Committee, and (iii) whose Plan Agreement has not terminated.</w:t>
      </w:r>
    </w:p>
    <w:p>
      <w:pPr>
        <w:pStyle w:val="TextBody"/>
        <w:bidi w:val="0"/>
        <w:spacing w:lineRule="auto" w:line="240" w:before="0" w:after="240"/>
        <w:ind w:left="0" w:right="0" w:firstLine="720"/>
        <w:jc w:val="both"/>
        <w:rPr/>
      </w:pPr>
      <w:r>
        <w:rPr>
          <w:rFonts w:ascii="Times New Roman;sans-serif" w:hAnsi="Times New Roman;sans-serif"/>
          <w:b/>
          <w:color w:val="000000"/>
          <w:sz w:val="24"/>
        </w:rPr>
        <w:t>1.40.</w:t>
      </w:r>
      <w:r>
        <w:rPr>
          <w:color w:val="000000"/>
        </w:rPr>
        <w:t>“</w:t>
      </w:r>
      <w:r>
        <w:rPr>
          <w:rFonts w:ascii="Times New Roman;sans-serif" w:hAnsi="Times New Roman;sans-serif"/>
          <w:b w:val="false"/>
          <w:color w:val="000000"/>
          <w:sz w:val="24"/>
        </w:rPr>
        <w:t>Plan” shall mean the Republic Services, Inc. Deferred Compensation Plan, as set forth herein, and by each Plan Agreement, as they may be amended from time to time.</w:t>
      </w:r>
    </w:p>
    <w:p>
      <w:pPr>
        <w:pStyle w:val="TextBody"/>
        <w:bidi w:val="0"/>
        <w:spacing w:lineRule="auto" w:line="240" w:before="0" w:after="240"/>
        <w:ind w:left="0" w:right="0" w:firstLine="720"/>
        <w:jc w:val="both"/>
        <w:rPr/>
      </w:pPr>
      <w:r>
        <w:rPr>
          <w:rFonts w:ascii="Times New Roman;sans-serif" w:hAnsi="Times New Roman;sans-serif"/>
          <w:b/>
          <w:color w:val="000000"/>
          <w:sz w:val="24"/>
        </w:rPr>
        <w:t>1.41.</w:t>
      </w:r>
      <w:r>
        <w:rPr>
          <w:color w:val="000000"/>
        </w:rPr>
        <w:t>“</w:t>
      </w:r>
      <w:r>
        <w:rPr>
          <w:rFonts w:ascii="Times New Roman;sans-serif" w:hAnsi="Times New Roman;sans-serif"/>
          <w:b w:val="false"/>
          <w:color w:val="000000"/>
          <w:sz w:val="24"/>
        </w:rPr>
        <w:t xml:space="preserve">Plan Agreement” shall mean a written agreement, as may be amended from time to time, which is entered into by and between the Company and a Participant. Each Plan Agreement executed by a Participant and the Company shall provide for the entire benefit to which such Participant is entitled under the Plan; should there be more than one Plan Agreement, the Plan Agreement bearing the latest date of acceptance by the Company shall supersede all previous Plan Agreements in their entirety and shall govern such entitlement. The terms of any Plan Agreement may be different for any Participant, and any Plan Agreement may provide additional benefits not set forth in the Plan or limit the benefits otherwise provided under the </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Plan; provided, however, that any such additional benefits or benefit limitations must be agreed to by both the Company and the Participant.</w:t>
      </w:r>
    </w:p>
    <w:p>
      <w:pPr>
        <w:pStyle w:val="TextBody"/>
        <w:bidi w:val="0"/>
        <w:spacing w:lineRule="auto" w:line="240" w:before="0" w:after="240"/>
        <w:ind w:left="0" w:right="0" w:firstLine="720"/>
        <w:jc w:val="both"/>
        <w:rPr/>
      </w:pPr>
      <w:r>
        <w:rPr>
          <w:rFonts w:ascii="Times New Roman;sans-serif" w:hAnsi="Times New Roman;sans-serif"/>
          <w:b/>
          <w:color w:val="000000"/>
          <w:sz w:val="24"/>
        </w:rPr>
        <w:t>1.42.</w:t>
      </w:r>
      <w:r>
        <w:rPr>
          <w:color w:val="000000"/>
        </w:rPr>
        <w:t>“</w:t>
      </w:r>
      <w:r>
        <w:rPr>
          <w:rFonts w:ascii="Times New Roman;sans-serif" w:hAnsi="Times New Roman;sans-serif"/>
          <w:b w:val="false"/>
          <w:color w:val="000000"/>
          <w:sz w:val="24"/>
        </w:rPr>
        <w:t>Plan Compensation” for any Plan Year shall mean the sum of a Participant’s (i) Base Salary, Commissions, Bonus and Equity-Based Incentive Awards (excluding stock-settled Equity-Based Incentive Awards), to the extent each of which is included in the Participant’s Form W-2 compensation for the applicable year, (ii) elective deferrals to the 401(k) Plan, (iii) Annual Deferral Amount (excluding stock-settled Equity-Based Incentive Awards that a Participant defers in accordance with Article III), and (iv) deferrals excluded from taxable wages under Code Section 125.</w:t>
      </w:r>
    </w:p>
    <w:p>
      <w:pPr>
        <w:pStyle w:val="TextBody"/>
        <w:bidi w:val="0"/>
        <w:spacing w:lineRule="auto" w:line="240" w:before="0" w:after="240"/>
        <w:ind w:left="0" w:right="0" w:firstLine="720"/>
        <w:jc w:val="both"/>
        <w:rPr/>
      </w:pPr>
      <w:r>
        <w:rPr>
          <w:rFonts w:ascii="Times New Roman;sans-serif" w:hAnsi="Times New Roman;sans-serif"/>
          <w:b/>
          <w:color w:val="000000"/>
          <w:sz w:val="24"/>
        </w:rPr>
        <w:t>1.43.</w:t>
      </w:r>
      <w:r>
        <w:rPr>
          <w:color w:val="000000"/>
        </w:rPr>
        <w:t>“</w:t>
      </w:r>
      <w:r>
        <w:rPr>
          <w:rFonts w:ascii="Times New Roman;sans-serif" w:hAnsi="Times New Roman;sans-serif"/>
          <w:b w:val="false"/>
          <w:color w:val="000000"/>
          <w:sz w:val="24"/>
        </w:rPr>
        <w:t>Plan Year” shall mean a period beginning on January 1 of each calendar year and continuing through December 31 of such calendar year.</w:t>
      </w:r>
    </w:p>
    <w:p>
      <w:pPr>
        <w:pStyle w:val="TextBody"/>
        <w:bidi w:val="0"/>
        <w:spacing w:lineRule="auto" w:line="240" w:before="0" w:after="240"/>
        <w:ind w:left="0" w:right="0" w:firstLine="720"/>
        <w:jc w:val="both"/>
        <w:rPr/>
      </w:pPr>
      <w:r>
        <w:rPr>
          <w:rFonts w:ascii="Times New Roman;sans-serif" w:hAnsi="Times New Roman;sans-serif"/>
          <w:b/>
          <w:color w:val="000000"/>
          <w:sz w:val="24"/>
        </w:rPr>
        <w:t>1.44.</w:t>
      </w:r>
      <w:r>
        <w:rPr>
          <w:color w:val="000000"/>
        </w:rPr>
        <w:t>“</w:t>
      </w:r>
      <w:r>
        <w:rPr>
          <w:rFonts w:ascii="Times New Roman;sans-serif" w:hAnsi="Times New Roman;sans-serif"/>
          <w:b w:val="false"/>
          <w:color w:val="000000"/>
          <w:sz w:val="24"/>
        </w:rPr>
        <w:t>Retirement,” “Retire(s)” or “Retired” shall mean, with respect to an Employee, the definition of Retirement set forth with respect to this Plan in the Participant’s initial Plan Agreement (provided however that Retirement is defined as Separation from Service after a specified date), and if none, shall mean Separation from Service for any reason other than death or Disability, as determined in accordance with Code Section 409A and related Treasury Regulations, on or after the earlier of the attainment of (a) age sixty (60) plus five (5) Years of Service, (b) age fifty-six (56) plus ten (10) Years of Service, or (c) fifty-five plus twenty (20) Years of Service; and shall mean with respect to a Director who is not an Employee, Separation from Service as a Director. If a Participant is both an Employee and a Director and does not have benefits under this Plan (or a plan required to be aggregated with this Plan) for services both as an Employee and a Director, the services provided as a Director are not taken into consideration in determining if the Participant has a Separation from Service as an Employee hereunder and the services as an Employee are not taken into consideration for purposes of determining if the Director has as Separation of Service as a Director.</w:t>
      </w:r>
    </w:p>
    <w:p>
      <w:pPr>
        <w:pStyle w:val="TextBody"/>
        <w:bidi w:val="0"/>
        <w:spacing w:lineRule="auto" w:line="240" w:before="0" w:after="240"/>
        <w:ind w:left="0" w:right="0" w:firstLine="720"/>
        <w:jc w:val="both"/>
        <w:rPr/>
      </w:pPr>
      <w:r>
        <w:rPr>
          <w:rFonts w:ascii="Times New Roman;sans-serif" w:hAnsi="Times New Roman;sans-serif"/>
          <w:b/>
          <w:color w:val="000000"/>
          <w:sz w:val="24"/>
        </w:rPr>
        <w:t>1.45.</w:t>
      </w:r>
      <w:r>
        <w:rPr>
          <w:color w:val="000000"/>
        </w:rPr>
        <w:t>“</w:t>
      </w:r>
      <w:r>
        <w:rPr>
          <w:rFonts w:ascii="Times New Roman;sans-serif" w:hAnsi="Times New Roman;sans-serif"/>
          <w:b w:val="false"/>
          <w:color w:val="000000"/>
          <w:sz w:val="24"/>
        </w:rPr>
        <w:t>Retirement Benefit” shall mean the benefit set forth in Article VI.</w:t>
      </w:r>
    </w:p>
    <w:p>
      <w:pPr>
        <w:pStyle w:val="TextBody"/>
        <w:bidi w:val="0"/>
        <w:spacing w:lineRule="auto" w:line="240" w:before="0" w:after="240"/>
        <w:ind w:left="0" w:right="0" w:firstLine="720"/>
        <w:jc w:val="both"/>
        <w:rPr/>
      </w:pPr>
      <w:r>
        <w:rPr>
          <w:rFonts w:ascii="Times New Roman;sans-serif" w:hAnsi="Times New Roman;sans-serif"/>
          <w:b/>
          <w:color w:val="000000"/>
          <w:sz w:val="24"/>
        </w:rPr>
        <w:t>1.46.</w:t>
      </w:r>
      <w:r>
        <w:rPr>
          <w:color w:val="000000"/>
        </w:rPr>
        <w:t>“</w:t>
      </w:r>
      <w:r>
        <w:rPr>
          <w:rFonts w:ascii="Times New Roman;sans-serif" w:hAnsi="Times New Roman;sans-serif"/>
          <w:b w:val="false"/>
          <w:color w:val="000000"/>
          <w:sz w:val="24"/>
        </w:rPr>
        <w:t>Scheduled Distribution” shall mean the distribution set forth in Section 4.1.</w:t>
      </w:r>
    </w:p>
    <w:p>
      <w:pPr>
        <w:pStyle w:val="TextBody"/>
        <w:bidi w:val="0"/>
        <w:spacing w:lineRule="auto" w:line="240" w:before="0" w:after="240"/>
        <w:ind w:left="0" w:right="0" w:firstLine="720"/>
        <w:jc w:val="both"/>
        <w:rPr/>
      </w:pPr>
      <w:r>
        <w:rPr>
          <w:rFonts w:ascii="Times New Roman;sans-serif" w:hAnsi="Times New Roman;sans-serif"/>
          <w:b/>
          <w:color w:val="000000"/>
          <w:sz w:val="24"/>
        </w:rPr>
        <w:t>1.47.</w:t>
      </w:r>
      <w:r>
        <w:rPr>
          <w:color w:val="000000"/>
        </w:rPr>
        <w:t>“</w:t>
      </w:r>
      <w:r>
        <w:rPr>
          <w:rFonts w:ascii="Times New Roman;sans-serif" w:hAnsi="Times New Roman;sans-serif"/>
          <w:b w:val="false"/>
          <w:color w:val="000000"/>
          <w:sz w:val="24"/>
        </w:rPr>
        <w:t>Separation from Service” shall have the meaning set forth in Code Section 409A(a)(2) and the related Treasury Regulations.</w:t>
      </w:r>
    </w:p>
    <w:p>
      <w:pPr>
        <w:pStyle w:val="TextBody"/>
        <w:bidi w:val="0"/>
        <w:spacing w:lineRule="auto" w:line="240" w:before="0" w:after="240"/>
        <w:ind w:left="0" w:right="0" w:firstLine="720"/>
        <w:jc w:val="both"/>
        <w:rPr/>
      </w:pPr>
      <w:r>
        <w:rPr>
          <w:rFonts w:ascii="Times New Roman;sans-serif" w:hAnsi="Times New Roman;sans-serif"/>
          <w:b/>
          <w:color w:val="000000"/>
          <w:sz w:val="24"/>
        </w:rPr>
        <w:t>1.48.</w:t>
      </w:r>
      <w:r>
        <w:rPr>
          <w:color w:val="000000"/>
        </w:rPr>
        <w:t>“</w:t>
      </w:r>
      <w:r>
        <w:rPr>
          <w:rFonts w:ascii="Times New Roman;sans-serif" w:hAnsi="Times New Roman;sans-serif"/>
          <w:b w:val="false"/>
          <w:color w:val="000000"/>
          <w:sz w:val="24"/>
        </w:rPr>
        <w:t>SIP Amounts” shall mean any portion of the compensation attributable to a Plan Year prior to the effective date of this amended and restated Plan that is earned by a Participant as an Employee under the Company’s Synergy Incentive Plan under the Company’s Executive Incentive Plan. Any SIP Amounts deferred under this Plan are Legacy Amounts.</w:t>
      </w:r>
    </w:p>
    <w:p>
      <w:pPr>
        <w:pStyle w:val="TextBody"/>
        <w:bidi w:val="0"/>
        <w:spacing w:lineRule="auto" w:line="240" w:before="0" w:after="240"/>
        <w:ind w:left="0" w:right="0" w:firstLine="720"/>
        <w:jc w:val="both"/>
        <w:rPr/>
      </w:pPr>
      <w:r>
        <w:rPr>
          <w:rFonts w:ascii="Times New Roman;sans-serif" w:hAnsi="Times New Roman;sans-serif"/>
          <w:b/>
          <w:color w:val="000000"/>
          <w:sz w:val="24"/>
        </w:rPr>
        <w:t>1.49.</w:t>
      </w:r>
      <w:r>
        <w:rPr>
          <w:color w:val="000000"/>
        </w:rPr>
        <w:t>“</w:t>
      </w:r>
      <w:r>
        <w:rPr>
          <w:rFonts w:ascii="Times New Roman;sans-serif" w:hAnsi="Times New Roman;sans-serif"/>
          <w:b w:val="false"/>
          <w:color w:val="000000"/>
          <w:sz w:val="24"/>
        </w:rPr>
        <w:t>Stock” shall mean the common stock of the Company.</w:t>
      </w:r>
    </w:p>
    <w:p>
      <w:pPr>
        <w:pStyle w:val="TextBody"/>
        <w:bidi w:val="0"/>
        <w:spacing w:lineRule="auto" w:line="240" w:before="0" w:after="240"/>
        <w:ind w:left="0" w:right="0" w:firstLine="720"/>
        <w:jc w:val="both"/>
        <w:rPr/>
      </w:pPr>
      <w:r>
        <w:rPr>
          <w:rFonts w:ascii="Times New Roman;sans-serif" w:hAnsi="Times New Roman;sans-serif"/>
          <w:b/>
          <w:color w:val="000000"/>
          <w:sz w:val="24"/>
        </w:rPr>
        <w:t>1.50.</w:t>
      </w:r>
      <w:r>
        <w:rPr>
          <w:color w:val="000000"/>
        </w:rPr>
        <w:t>“</w:t>
      </w:r>
      <w:r>
        <w:rPr>
          <w:rFonts w:ascii="Times New Roman;sans-serif" w:hAnsi="Times New Roman;sans-serif"/>
          <w:b w:val="false"/>
          <w:color w:val="000000"/>
          <w:sz w:val="24"/>
        </w:rPr>
        <w:t>Termination Benefit” shall mean the benefit set forth in Article VII.</w:t>
      </w:r>
    </w:p>
    <w:p>
      <w:pPr>
        <w:pStyle w:val="TextBody"/>
        <w:bidi w:val="0"/>
        <w:spacing w:lineRule="auto" w:line="240" w:before="0" w:after="240"/>
        <w:ind w:left="0" w:right="0" w:firstLine="720"/>
        <w:jc w:val="both"/>
        <w:rPr/>
      </w:pPr>
      <w:r>
        <w:rPr>
          <w:rFonts w:ascii="Times New Roman;sans-serif" w:hAnsi="Times New Roman;sans-serif"/>
          <w:b/>
          <w:color w:val="000000"/>
          <w:sz w:val="24"/>
        </w:rPr>
        <w:t>1.51.</w:t>
      </w:r>
      <w:r>
        <w:rPr>
          <w:color w:val="000000"/>
        </w:rPr>
        <w:t>“</w:t>
      </w:r>
      <w:r>
        <w:rPr>
          <w:rFonts w:ascii="Times New Roman;sans-serif" w:hAnsi="Times New Roman;sans-serif"/>
          <w:b w:val="false"/>
          <w:color w:val="000000"/>
          <w:sz w:val="24"/>
        </w:rPr>
        <w:t>Termination of Employment” shall mean the Separation from Service, voluntarily or involuntarily, for any reason other than Retirement, Disability or death.</w:t>
      </w:r>
    </w:p>
    <w:p>
      <w:pPr>
        <w:pStyle w:val="TextBody"/>
        <w:bidi w:val="0"/>
        <w:spacing w:lineRule="auto" w:line="240" w:before="0" w:after="240"/>
        <w:ind w:left="0" w:right="0" w:firstLine="720"/>
        <w:jc w:val="both"/>
        <w:rPr/>
      </w:pPr>
      <w:r>
        <w:rPr>
          <w:rFonts w:ascii="Times New Roman;sans-serif" w:hAnsi="Times New Roman;sans-serif"/>
          <w:b/>
          <w:color w:val="000000"/>
          <w:sz w:val="24"/>
        </w:rPr>
        <w:t>1.52.</w:t>
      </w:r>
      <w:r>
        <w:rPr>
          <w:color w:val="000000"/>
        </w:rPr>
        <w:t>“</w:t>
      </w:r>
      <w:r>
        <w:rPr>
          <w:rFonts w:ascii="Times New Roman;sans-serif" w:hAnsi="Times New Roman;sans-serif"/>
          <w:b w:val="false"/>
          <w:color w:val="000000"/>
          <w:sz w:val="24"/>
        </w:rPr>
        <w:t>Terminate the Plan” or “Termination of the Plan” shall mean a determination by the Board that (i) all Participants shall no longer be eligible to participate in the Plan, (ii) no new deferral elections for such Participants shall be permitted, and (iii) such Participants shall no longer be eligible to be credited with any contributions under this Plan.</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1.53.</w:t>
      </w:r>
      <w:r>
        <w:rPr>
          <w:color w:val="000000"/>
        </w:rPr>
        <w:t>“</w:t>
      </w:r>
      <w:r>
        <w:rPr>
          <w:rFonts w:ascii="Times New Roman;sans-serif" w:hAnsi="Times New Roman;sans-serif"/>
          <w:b w:val="false"/>
          <w:color w:val="000000"/>
          <w:sz w:val="24"/>
        </w:rPr>
        <w:t>Trust” shall mean one or more trusts established by the Company in accordance with Article XVII.</w:t>
      </w:r>
    </w:p>
    <w:p>
      <w:pPr>
        <w:pStyle w:val="TextBody"/>
        <w:bidi w:val="0"/>
        <w:spacing w:lineRule="auto" w:line="240" w:before="0" w:after="240"/>
        <w:ind w:left="0" w:right="0" w:firstLine="720"/>
        <w:jc w:val="both"/>
        <w:rPr/>
      </w:pPr>
      <w:r>
        <w:rPr>
          <w:rFonts w:ascii="Times New Roman;sans-serif" w:hAnsi="Times New Roman;sans-serif"/>
          <w:b/>
          <w:color w:val="000000"/>
          <w:sz w:val="24"/>
        </w:rPr>
        <w:t>1.54.</w:t>
      </w:r>
      <w:r>
        <w:rPr>
          <w:color w:val="000000"/>
        </w:rPr>
        <w:t>“</w:t>
      </w:r>
      <w:r>
        <w:rPr>
          <w:rFonts w:ascii="Times New Roman;sans-serif" w:hAnsi="Times New Roman;sans-serif"/>
          <w:b w:val="false"/>
          <w:color w:val="000000"/>
          <w:sz w:val="24"/>
        </w:rPr>
        <w:t>Unforeseeable Emergency” shall mean a severe financial hardship of the Participant resulting from (i) an illness or accident of the Participant, the Participant’s spouse, Beneficiary, or dependent (as defined in Code Section 152(a)), (ii) a loss of the Participant’s property due to casualty, or (iii) such other similar extraordinary and unforeseeable circumstances arising as a result of events beyond the control of the Participant, all as determined in the sole discretion of the Committee.</w:t>
      </w:r>
    </w:p>
    <w:p>
      <w:pPr>
        <w:pStyle w:val="TextBody"/>
        <w:bidi w:val="0"/>
        <w:spacing w:lineRule="auto" w:line="240" w:before="0" w:after="240"/>
        <w:ind w:left="0" w:right="0" w:firstLine="720"/>
        <w:jc w:val="both"/>
        <w:rPr/>
      </w:pPr>
      <w:r>
        <w:rPr>
          <w:rFonts w:ascii="Times New Roman;sans-serif" w:hAnsi="Times New Roman;sans-serif"/>
          <w:b/>
          <w:color w:val="000000"/>
          <w:sz w:val="24"/>
        </w:rPr>
        <w:t>1.55.</w:t>
      </w:r>
      <w:r>
        <w:rPr>
          <w:color w:val="000000"/>
        </w:rPr>
        <w:t>“</w:t>
      </w:r>
      <w:r>
        <w:rPr>
          <w:rFonts w:ascii="Times New Roman;sans-serif" w:hAnsi="Times New Roman;sans-serif"/>
          <w:b w:val="false"/>
          <w:color w:val="000000"/>
          <w:sz w:val="24"/>
        </w:rPr>
        <w:t>USE Plan” shall mean the US Ecology, Inc. Nonqualified Deferred Compensation Plan, which was merged with and into the Plan, effective as of December 31, 2022.</w:t>
      </w:r>
    </w:p>
    <w:p>
      <w:pPr>
        <w:pStyle w:val="TextBody"/>
        <w:bidi w:val="0"/>
        <w:spacing w:lineRule="auto" w:line="240" w:before="0" w:after="240"/>
        <w:ind w:left="0" w:right="0" w:firstLine="720"/>
        <w:jc w:val="both"/>
        <w:rPr/>
      </w:pPr>
      <w:r>
        <w:rPr>
          <w:rFonts w:ascii="Times New Roman;sans-serif" w:hAnsi="Times New Roman;sans-serif"/>
          <w:b/>
          <w:color w:val="000000"/>
          <w:sz w:val="24"/>
        </w:rPr>
        <w:t>1.56.</w:t>
      </w:r>
      <w:r>
        <w:rPr>
          <w:color w:val="000000"/>
        </w:rPr>
        <w:t>“</w:t>
      </w:r>
      <w:r>
        <w:rPr>
          <w:rFonts w:ascii="Times New Roman;sans-serif" w:hAnsi="Times New Roman;sans-serif"/>
          <w:b w:val="false"/>
          <w:color w:val="000000"/>
          <w:sz w:val="24"/>
        </w:rPr>
        <w:t>Years of Service” shall mean the number of consecutive full years of employment with the Company or an Affiliate (including years of employment before the Employer became an Affiliate).</w:t>
      </w:r>
    </w:p>
    <w:p>
      <w:pPr>
        <w:pStyle w:val="TextBody"/>
        <w:bidi w:val="0"/>
        <w:spacing w:lineRule="auto" w:line="240" w:before="0" w:after="240"/>
        <w:jc w:val="center"/>
        <w:rPr/>
      </w:pPr>
      <w:r>
        <w:rPr>
          <w:rFonts w:ascii="Times New Roman;sans-serif" w:hAnsi="Times New Roman;sans-serif"/>
          <w:b/>
          <w:color w:val="000000"/>
          <w:sz w:val="24"/>
        </w:rPr>
        <w:t>ARTICLE II</w:t>
      </w:r>
      <w:r>
        <w:rPr>
          <w:rFonts w:ascii="Times New Roman;sans-serif" w:hAnsi="Times New Roman;sans-serif"/>
          <w:b/>
          <w:color w:val="000000"/>
          <w:sz w:val="24"/>
        </w:rPr>
        <w:br/>
        <w:t>PARTICIPATION</w:t>
      </w:r>
    </w:p>
    <w:p>
      <w:pPr>
        <w:pStyle w:val="TextBody"/>
        <w:bidi w:val="0"/>
        <w:spacing w:lineRule="auto" w:line="240" w:before="0" w:after="240"/>
        <w:ind w:left="0" w:right="0" w:firstLine="720"/>
        <w:jc w:val="both"/>
        <w:rPr/>
      </w:pPr>
      <w:r>
        <w:rPr>
          <w:rFonts w:ascii="Times New Roman;sans-serif" w:hAnsi="Times New Roman;sans-serif"/>
          <w:b/>
          <w:color w:val="000000"/>
          <w:sz w:val="24"/>
        </w:rPr>
        <w:t>2.1.</w:t>
      </w:r>
      <w:r>
        <w:rPr>
          <w:rFonts w:ascii="Times New Roman;sans-serif" w:hAnsi="Times New Roman;sans-serif"/>
          <w:b/>
          <w:color w:val="000000"/>
          <w:sz w:val="24"/>
          <w:u w:val="single"/>
        </w:rPr>
        <w:t>Selection by Committee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Participation in the Plan shall be limited to Directors, Employees of an Employer at the level of Vice President and above, Area Presidents, Employee Directors, General Managers and such others as may be designated by the Committee, provided that any such Employee is included in a select group of management or highly compensated employees of an Employer.</w:t>
      </w:r>
    </w:p>
    <w:p>
      <w:pPr>
        <w:pStyle w:val="TextBody"/>
        <w:bidi w:val="0"/>
        <w:spacing w:lineRule="auto" w:line="240" w:before="0" w:after="240"/>
        <w:ind w:left="0" w:right="0" w:firstLine="720"/>
        <w:jc w:val="both"/>
        <w:rPr/>
      </w:pPr>
      <w:r>
        <w:rPr>
          <w:rFonts w:ascii="Times New Roman;sans-serif" w:hAnsi="Times New Roman;sans-serif"/>
          <w:b/>
          <w:color w:val="000000"/>
          <w:sz w:val="24"/>
        </w:rPr>
        <w:t>2.2.</w:t>
      </w:r>
      <w:r>
        <w:rPr>
          <w:rFonts w:ascii="Times New Roman;sans-serif" w:hAnsi="Times New Roman;sans-serif"/>
          <w:b/>
          <w:color w:val="000000"/>
          <w:sz w:val="24"/>
          <w:u w:val="single"/>
        </w:rPr>
        <w:t>Enrollment and Eligibility Requirements; Commencement of Participation</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As a condition to participation, each Director or selected Employee who is eligible to participate in the Plan effective as of the first day of a Plan Year shall complete, execute and return to the Committee a Plan Agreement, an Election Form and a Beneficiary Designation Form, prior to the first day of such Plan Year, or such other earlier deadline as may be established by the Committee in its sole discretion. In addition, the Committee shall establish from time to time such other enrollment requirements as it determines, in its sole discretion, are necessary.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 Director or selected Employee who first becomes eligible to participate in this Plan after the first day of a Plan Year will only become eligible to participate in this Plan as of the first day of a future calendar quarter. Such Director or Employee must complete, execute and return to the Committee a Plan Agreement, an Election Form, and a Beneficiary Designation Form no later than thirty (30) days after he or she first becomes eligible to participate in the Plan, or within such other earlier deadline as may be established by the Committee, in its sole discretion, in order to participate for that Plan Year. In such event, such person’s participation in this Plan shall not commence earlier than the date determined by the Committee pursuant to Section 2.2(c) and such person shall not be permitted to defer under this Plan any portion of his or her Base Salary, Bonus, Commissions, Equity-Based Incentive Awards and/or Director Fees that are paid with respect to services performed prior to his or her participation commencement date, except to the extent permissible under Code Section 409A and related Treasury Regulations.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Each Director or selected Employee who is eligible to participate in the Plan shall commence participation in the Plan on the date that the Committee determines, in its sole discretion, that the Director or Employee has met all Plan enrollment requirements, </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including returning all required documents to the Committee within the specified time period. Notwithstanding the foregoing, the Committee shall process such Participant’s deferral election as soon as administratively practicable after such deferral election is submitted to and accepted by the Committee.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If a Director or an Employee fails to meet all requirements contained in this Section 2.2 within the period required, that Director or Employee shall not be eligible to participate in the Plan during such Plan Year.</w:t>
      </w:r>
    </w:p>
    <w:p>
      <w:pPr>
        <w:pStyle w:val="TextBody"/>
        <w:bidi w:val="0"/>
        <w:spacing w:lineRule="auto" w:line="240" w:before="0" w:after="240"/>
        <w:jc w:val="center"/>
        <w:rPr/>
      </w:pPr>
      <w:r>
        <w:rPr>
          <w:rFonts w:ascii="Times New Roman;sans-serif" w:hAnsi="Times New Roman;sans-serif"/>
          <w:b/>
          <w:color w:val="000000"/>
          <w:sz w:val="24"/>
        </w:rPr>
        <w:t>ARTICLE III</w:t>
      </w:r>
      <w:r>
        <w:rPr>
          <w:rFonts w:ascii="Times New Roman;sans-serif" w:hAnsi="Times New Roman;sans-serif"/>
          <w:b/>
          <w:color w:val="000000"/>
          <w:sz w:val="24"/>
        </w:rPr>
        <w:br/>
        <w:t>CONTRIBUTIONS AND ACCOUNT BALANCES</w:t>
      </w:r>
    </w:p>
    <w:p>
      <w:pPr>
        <w:pStyle w:val="TextBody"/>
        <w:bidi w:val="0"/>
        <w:spacing w:lineRule="auto" w:line="240" w:before="0" w:after="240"/>
        <w:ind w:left="0" w:right="0" w:firstLine="720"/>
        <w:jc w:val="both"/>
        <w:rPr/>
      </w:pPr>
      <w:r>
        <w:rPr>
          <w:rFonts w:ascii="Times New Roman;sans-serif" w:hAnsi="Times New Roman;sans-serif"/>
          <w:b/>
          <w:color w:val="000000"/>
          <w:sz w:val="24"/>
        </w:rPr>
        <w:t>3.1.</w:t>
      </w:r>
      <w:r>
        <w:rPr>
          <w:rFonts w:ascii="Times New Roman;sans-serif" w:hAnsi="Times New Roman;sans-serif"/>
          <w:b/>
          <w:color w:val="000000"/>
          <w:sz w:val="24"/>
          <w:u w:val="single"/>
        </w:rPr>
        <w:t>Minimum Deferrals</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u w:val="single"/>
        </w:rPr>
        <w:t>Annual Deferral Amount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For each Plan Year, a Participant may elect to defer, as his or her Annual Deferral Amount, Base Salary, Bonus, Commissions, Equity-Based Incentive Awards and/or Director Fees in the following minimum amounts for each deferral elected:</w:t>
      </w:r>
    </w:p>
    <w:tbl>
      <w:tblPr>
        <w:tblW w:w="5204" w:type="dxa"/>
        <w:jc w:val="left"/>
        <w:tblInd w:w="0" w:type="dxa"/>
        <w:tblLayout w:type="fixed"/>
        <w:tblCellMar>
          <w:top w:w="28" w:type="dxa"/>
          <w:left w:w="28" w:type="dxa"/>
          <w:bottom w:w="28" w:type="dxa"/>
          <w:right w:w="28" w:type="dxa"/>
        </w:tblCellMar>
      </w:tblPr>
      <w:tblGrid>
        <w:gridCol w:w="1137"/>
        <w:gridCol w:w="1002"/>
        <w:gridCol w:w="1010"/>
        <w:gridCol w:w="601"/>
        <w:gridCol w:w="601"/>
        <w:gridCol w:w="853"/>
      </w:tblGrid>
      <w:tr>
        <w:trPr/>
        <w:tc>
          <w:tcPr>
            <w:tcW w:w="113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Deferral</w:t>
            </w:r>
          </w:p>
        </w:tc>
        <w:tc>
          <w:tcPr>
            <w:tcW w:w="20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Minimum Amount</w:t>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Base Salary, Bonus,</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Commissions</w:t>
            </w:r>
          </w:p>
        </w:tc>
        <w:tc>
          <w:tcPr>
            <w:tcW w:w="20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Equity-Based Incentive Awards</w:t>
            </w:r>
          </w:p>
        </w:tc>
        <w:tc>
          <w:tcPr>
            <w:tcW w:w="20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r>
      <w:tr>
        <w:trPr/>
        <w:tc>
          <w:tcPr>
            <w:tcW w:w="31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Director Fees</w:t>
            </w:r>
          </w:p>
        </w:tc>
        <w:tc>
          <w:tcPr>
            <w:tcW w:w="205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$1,000</w:t>
            </w:r>
          </w:p>
        </w:tc>
      </w:tr>
    </w:tbl>
    <w:p>
      <w:pPr>
        <w:pStyle w:val="TextBody"/>
        <w:bidi w:val="0"/>
        <w:spacing w:before="0" w:after="238"/>
        <w:jc w:val="both"/>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Committee determines, in its sole discretion, prior to the beginning of a Plan Year that a Participant has made an election for less than the stated minimum amounts, or if no election is made, the amount deferred shall be zero. A Participant may elect to defer his or her Equity-Based Incentive Awards in accordance with Sections 3.3(e) and (f),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Short Plan Year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Notwithstanding the foregoing, if a Participant first </w:t>
        <w:br/>
        <w:t>becomes a Participant after the first day of a Plan Year, the minimum Annual Deferral Amount shall be an amount equal to the minimum set forth above, multiplied by a fraction, the numerator of which is the number of complete months remaining in the Plan Year and the denominator of which is 12.</w:t>
      </w:r>
    </w:p>
    <w:p>
      <w:pPr>
        <w:pStyle w:val="TextBody"/>
        <w:bidi w:val="0"/>
        <w:spacing w:lineRule="auto" w:line="240" w:before="0" w:after="240"/>
        <w:ind w:left="0" w:right="0" w:firstLine="720"/>
        <w:jc w:val="both"/>
        <w:rPr/>
      </w:pPr>
      <w:r>
        <w:rPr>
          <w:rFonts w:ascii="Times New Roman;sans-serif" w:hAnsi="Times New Roman;sans-serif"/>
          <w:b/>
          <w:color w:val="000000"/>
          <w:sz w:val="24"/>
        </w:rPr>
        <w:t>3.2.</w:t>
      </w:r>
      <w:r>
        <w:rPr>
          <w:rFonts w:ascii="Times New Roman;sans-serif" w:hAnsi="Times New Roman;sans-serif"/>
          <w:b/>
          <w:color w:val="000000"/>
          <w:sz w:val="24"/>
          <w:u w:val="single"/>
        </w:rPr>
        <w:t>Maximum Deferral</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u w:val="single"/>
        </w:rPr>
        <w:t>Annual Deferral Amount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For each Plan Year, a Participant may elect to defer, as his or her Annual Deferral Amount, Base Salary, Bonus, Commissions, Equity-Based Incentive Awards and/or Director Fees up to the following maximum percentages for each deferral elected:</w:t>
      </w:r>
    </w:p>
    <w:tbl>
      <w:tblPr>
        <w:tblW w:w="3855" w:type="dxa"/>
        <w:jc w:val="left"/>
        <w:tblInd w:w="0" w:type="dxa"/>
        <w:tblLayout w:type="fixed"/>
        <w:tblCellMar>
          <w:top w:w="28" w:type="dxa"/>
          <w:left w:w="28" w:type="dxa"/>
          <w:bottom w:w="28" w:type="dxa"/>
          <w:right w:w="28" w:type="dxa"/>
        </w:tblCellMar>
      </w:tblPr>
      <w:tblGrid>
        <w:gridCol w:w="931"/>
        <w:gridCol w:w="820"/>
        <w:gridCol w:w="828"/>
        <w:gridCol w:w="373"/>
        <w:gridCol w:w="373"/>
        <w:gridCol w:w="530"/>
      </w:tblGrid>
      <w:tr>
        <w:trPr/>
        <w:tc>
          <w:tcPr>
            <w:tcW w:w="93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tLeast" w:line="272" w:before="0" w:after="253"/>
              <w:jc w:val="center"/>
              <w:rPr>
                <w:rFonts w:ascii="Times New Roman;sans-serif" w:hAnsi="Times New Roman;sans-serif"/>
                <w:b/>
                <w:color w:val="000000"/>
                <w:sz w:val="24"/>
              </w:rPr>
            </w:pPr>
            <w:r>
              <w:rPr>
                <w:rFonts w:ascii="Times New Roman;sans-serif" w:hAnsi="Times New Roman;sans-serif"/>
                <w:b/>
                <w:color w:val="000000"/>
                <w:sz w:val="24"/>
              </w:rPr>
              <w:t>Deferral</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63"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Maximum </w:t>
              <w:br/>
              <w:t>Percentage</w:t>
            </w:r>
          </w:p>
        </w:tc>
      </w:tr>
      <w:tr>
        <w:trPr/>
        <w:tc>
          <w:tcPr>
            <w:tcW w:w="25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tLeast" w:line="26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Base Salary/Commissions</w:t>
            </w:r>
          </w:p>
        </w:tc>
        <w:tc>
          <w:tcPr>
            <w:tcW w:w="12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57"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25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Bonus</w:t>
            </w:r>
          </w:p>
        </w:tc>
        <w:tc>
          <w:tcPr>
            <w:tcW w:w="12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tLeast" w:line="254"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7</w:t>
                      </w:r>
                    </w:p>
                  </w:txbxContent>
                </v:textbox>
                <w10:wrap type="none"/>
              </v:rect>
            </w:pict>
          </mc:Fallback>
        </mc:AlternateContent>
      </w:r>
    </w:p>
    <w:tbl>
      <w:tblPr>
        <w:tblW w:w="3854" w:type="dxa"/>
        <w:jc w:val="left"/>
        <w:tblInd w:w="0" w:type="dxa"/>
        <w:tblLayout w:type="fixed"/>
        <w:tblCellMar>
          <w:top w:w="28" w:type="dxa"/>
          <w:left w:w="28" w:type="dxa"/>
          <w:bottom w:w="28" w:type="dxa"/>
          <w:right w:w="28" w:type="dxa"/>
        </w:tblCellMar>
      </w:tblPr>
      <w:tblGrid>
        <w:gridCol w:w="1141"/>
        <w:gridCol w:w="1002"/>
        <w:gridCol w:w="1007"/>
        <w:gridCol w:w="205"/>
        <w:gridCol w:w="205"/>
        <w:gridCol w:w="294"/>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tLeast" w:line="267" w:before="0" w:after="3"/>
              <w:jc w:val="left"/>
              <w:rPr>
                <w:rFonts w:ascii="Times New Roman;sans-serif" w:hAnsi="Times New Roman;sans-serif"/>
                <w:b w:val="false"/>
                <w:color w:val="000000"/>
                <w:sz w:val="24"/>
              </w:rPr>
            </w:pPr>
            <w:r>
              <w:rPr>
                <w:rFonts w:ascii="Times New Roman;sans-serif" w:hAnsi="Times New Roman;sans-serif"/>
                <w:b w:val="false"/>
                <w:color w:val="000000"/>
                <w:sz w:val="24"/>
              </w:rPr>
              <w:t>Equity-Based Incentive Awards</w:t>
            </w:r>
          </w:p>
        </w:tc>
        <w:tc>
          <w:tcPr>
            <w:tcW w:w="7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67"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3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tLeast" w:line="267" w:before="0" w:after="12"/>
              <w:jc w:val="left"/>
              <w:rPr>
                <w:rFonts w:ascii="Times New Roman;sans-serif" w:hAnsi="Times New Roman;sans-serif"/>
                <w:b w:val="false"/>
                <w:color w:val="000000"/>
                <w:sz w:val="24"/>
              </w:rPr>
            </w:pPr>
            <w:r>
              <w:rPr>
                <w:rFonts w:ascii="Times New Roman;sans-serif" w:hAnsi="Times New Roman;sans-serif"/>
                <w:b w:val="false"/>
                <w:color w:val="000000"/>
                <w:sz w:val="24"/>
              </w:rPr>
              <w:t>Director Fees</w:t>
            </w:r>
          </w:p>
        </w:tc>
        <w:tc>
          <w:tcPr>
            <w:tcW w:w="7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tLeast" w:line="272" w:before="0" w:after="7"/>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bidi w:val="0"/>
        <w:spacing w:before="0" w:after="232"/>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Short Plan Year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Notwithstanding the foregoing, if a Participant first becomes a Participant after the first day of a Plan Year, the maximum Annual Deferral Amount shall be limited to the amount of compensation not yet earned by the Participant as of the date the Participant submits a Plan Agreement and Election Form to the Committee for acceptance, except to the extent permissible under Code Section 409A and related Treasury Regulations. For compensation that is earned based upon a specified performance period, the Participant’s deferral election will apply to the portion of such compensation that is equal to (i) the total amount of compensation for the performance period, multiplied by (ii) a fraction, the numerator of which is the number of days remaining in the service period after the Participant’s deferral election is made, and the denominator of which is the total number of days in the performance period.</w:t>
      </w:r>
    </w:p>
    <w:p>
      <w:pPr>
        <w:pStyle w:val="TextBody"/>
        <w:bidi w:val="0"/>
        <w:spacing w:lineRule="auto" w:line="240" w:before="0" w:after="240"/>
        <w:ind w:left="0" w:right="0" w:firstLine="720"/>
        <w:jc w:val="both"/>
        <w:rPr/>
      </w:pPr>
      <w:r>
        <w:rPr>
          <w:rFonts w:ascii="Times New Roman;sans-serif" w:hAnsi="Times New Roman;sans-serif"/>
          <w:b/>
          <w:color w:val="000000"/>
          <w:sz w:val="24"/>
        </w:rPr>
        <w:t>3.3.</w:t>
      </w:r>
      <w:r>
        <w:rPr>
          <w:rFonts w:ascii="Times New Roman;sans-serif" w:hAnsi="Times New Roman;sans-serif"/>
          <w:b/>
          <w:color w:val="000000"/>
          <w:sz w:val="24"/>
          <w:u w:val="single"/>
        </w:rPr>
        <w:t>Deferral Elections</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u w:val="single"/>
        </w:rPr>
        <w:t>First Plan Year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connection with a Participant’s commencement of participation in the Plan, the Participant shall make an irrevocable election to defer Base Salary, Bonus, Commissions, Equity-Based Incentive Awards and Director Fees for the Plan Year in which the Participant commences participation in the Plan, along with such other elections as the Committee deems necessary or desirable under the Plan. For these elections to be valid, the Election Form must be completed and signed by the Participant, timely delivered to the Committee (in accordance with Section 2.2 above) and accepted by the Committee.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Subsequent Plan Years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Participant’s election to defer Base Salary, Bonus, Commissions, Equity-Based Incentive Awards and Director Fees shall remain in effect for subsequent Plan Years, unless and until the Participant timely files a new Election Form to notify the Committee of the change (including ceasing deferrals) in the election to defer Base Salary, Bonus, Commissions, Equity-Based Incentive Awards and Director Fees. All changes and elections shall be made by the Participant timely delivering a new Election Form, and any other forms as the Committee may deem necessary or desirable, to the Committee, in accordance with its rules and procedures, before the December 31st preceding the Plan Year in which such compensation is earned with respect to which the termination or modification applies, or before such other deadline established by the Committee in accordance with the requirements of Code Section 409A and related Treasury Regulations.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deferral election(s) made in accordance with this Section 3.3(b) shall be irrevocable; provided, however, that if the Committee requires Participants to make a deferral election for “performance-based compensation” by the deadline(s) described above, it may, in its sole discretion, and in accordance with Code Section 409A and related Treasury Regulations, permit a Participant to subsequently change his or her deferral election for such compensation by submitting an Election Form to the Committee no later than the deadline established by the Committee pursuant to Section 3.3(c) 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u w:val="single"/>
        </w:rPr>
        <w:t>Performance-Based Compensation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Notwithstanding the foregoing, the Committee may, in its sole discretion, determine that an irrevocable deferral election pertaining to “performance-based compensation” based on services performed over a period of at least twelve (12) months, may be made by timely delivering an Election Form to the Committee, in accordance with its rules and procedures, no later than six (6) months before the end of the performance service period. “Performance-based compensation” shall be compensation, the </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payment or amount of which is contingent on pre-established organizational or individual performance criteria, which satisfies the requirements of Code Section 409A and related Treasury Regulations. In order to be eligible to make a deferral election for performance-based compensation, a Participant must perform services continuously from a date no later than the date upon which the performance criteria for such compensation are established through the date upon which the Participant makes a deferral election for such compensation.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u w:val="single"/>
        </w:rPr>
        <w:t>Compensation Subject to Risk of Forfeiture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With respect to compensation (i) to which a Participant has a legally binding right to payment in a subsequent year, and (ii) that is subject to a forfeiture condition requiring the Participant’s continued services for a period of at least twelve (12) months from the date the Participant obtains the legally binding right, the Committee may, in its sole discretion, determine that an irrevocable deferral election for such compensation may be made by timely delivering an Election Form to the Committee in accordance with its rules and procedures, no later than the 30th day after the Participant obtains the legally binding right to the compensation, provided that the election is made at least twelve (12) months in advance of the earliest date on which the forfeiture condition could lapse (other than by reason of the Participant’s death, Disability or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color w:val="000000"/>
          <w:sz w:val="24"/>
          <w:u w:val="single"/>
        </w:rPr>
        <w:t>Equity-Based Incentive Award Deferral Election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may, in accordance with such rules and procedures established by the Committee, elect to defer all or part of an Equity-Based Incentive Award and instead be credited with a corresponding number of units in the Republic Services Stock Unit Fund (or, in the case of a cash-settled Equity-Based Incentive Award, in the Measurement Funds selected by the Participant in accordance with Section 3.9(b)). To be effective, such an election must be irrevocable and must be made either (i) prior to the first day of the Plan Year in which the Equity-Based Incentive Award is granted, or (ii) within thirty (30) days after the Equity-Based Incentive Award is granted, provided that the election is made at least twelve (12) months in advance of the earliest date on which the Equity-Based Incentive Award could vest (other than by reason of the Participant’s death, Disability or Change in Control). The amount deferred pursuant to this Section 3.3(e) shall be considered an Annual Deferral Amount.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color w:val="000000"/>
          <w:sz w:val="24"/>
          <w:u w:val="single"/>
        </w:rPr>
        <w:t>Multiple Election Forms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and to the extent permitted by the Committee, a Participant shall be permitted to make separate elections to defer Base Salary, Bonus, Commission, Equity-Based Incentive Awards and Director Fees for a Plan Year in accordance with the Election Forms provided by the Committee and its rules and procedures provided that each such amount is a separately identifiable payment and the elections are made in accordance with the provisions of this Article III. If and to the extent permitted by the Committee, each separate election may provide a form or time of payment otherwise permitted or provided for under Articles IV, V, VI, VII, VIII and IX.</w:t>
      </w:r>
    </w:p>
    <w:p>
      <w:pPr>
        <w:pStyle w:val="TextBody"/>
        <w:bidi w:val="0"/>
        <w:spacing w:lineRule="auto" w:line="240" w:before="0" w:after="240"/>
        <w:ind w:left="0" w:right="0" w:firstLine="720"/>
        <w:jc w:val="both"/>
        <w:rPr/>
      </w:pPr>
      <w:r>
        <w:rPr>
          <w:rFonts w:ascii="Times New Roman;sans-serif" w:hAnsi="Times New Roman;sans-serif"/>
          <w:b/>
          <w:color w:val="000000"/>
          <w:sz w:val="24"/>
        </w:rPr>
        <w:t>3.4.</w:t>
      </w:r>
      <w:r>
        <w:rPr>
          <w:rFonts w:ascii="Times New Roman;sans-serif" w:hAnsi="Times New Roman;sans-serif"/>
          <w:b/>
          <w:color w:val="000000"/>
          <w:sz w:val="24"/>
          <w:u w:val="single"/>
        </w:rPr>
        <w:t>Withholding and Crediting of Annual Deferral Amounts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For each Plan Year, the Base Salary portion of the Annual Deferral Amount shall be withheld from each regularly scheduled Base Salary payroll in equal amounts, as adjusted from time to time for increases and decreases in Base Salary. The Bonus, Commissions, Equity-Based Incentive Awards and/or Director Fees portion of the Annual Deferral Amount shall be withheld at the time the Bonus, Commissions, Equity-Based Incentive Awards or Director Fees are or otherwise would be paid to the Participant, whether or not this occurs during the Plan Year itself. Annual Deferral Amounts shall be credited to the Participant’s Annual Account for such Plan Year at the time such amounts would otherwise have been paid to the Participant.</w:t>
      </w:r>
    </w:p>
    <w:p>
      <w:pPr>
        <w:pStyle w:val="TextBody"/>
        <w:bidi w:val="0"/>
        <w:spacing w:lineRule="auto" w:line="240" w:before="0" w:after="240"/>
        <w:ind w:left="0" w:right="0" w:firstLine="720"/>
        <w:jc w:val="both"/>
        <w:rPr/>
      </w:pPr>
      <w:r>
        <w:rPr>
          <w:rFonts w:ascii="Times New Roman;sans-serif" w:hAnsi="Times New Roman;sans-serif"/>
          <w:b/>
          <w:color w:val="000000"/>
          <w:sz w:val="24"/>
        </w:rPr>
        <w:t>3.5.</w:t>
      </w:r>
      <w:r>
        <w:rPr>
          <w:rFonts w:ascii="Times New Roman;sans-serif" w:hAnsi="Times New Roman;sans-serif"/>
          <w:b/>
          <w:color w:val="000000"/>
          <w:sz w:val="24"/>
          <w:u w:val="single"/>
        </w:rPr>
        <w:t>Company Contribution Amount</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For each Plan Year, the Company may be required to credit amounts to a Participant’s Annual Account in accordance with employment or other agreements entered into </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between the Participant and an Employer, which amounts shall be part of the Participant’s Company Contribution Amount for that Plan Year. Such amounts shall be credited to the Participant’s Annual Account for the applicable Plan Year on the date or dates prescribed by such agreements.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For each Plan Year, the Company, in its sole discretion, may, but is not required to, credit any amount it desires to any Participant’s Annual Account under this Plan, which amount shall be part of the Participant’s Company Contribution Amount for that Plan Year. The amount so credited to a Participant may be smaller or larger than the amount credited to any other Participant, and the amount credited to any Participant for a Plan Year may be zero, even though one or more other Participants receive a Company Contribution Amount for that Plan Year. The Company Contribution Amount described in this Section 3.5(b), if any, shall be credited to the Participant’s Annual Account for the applicable Plan Year on a date or dates to be determined by the Committee, in its sole discretion.</w:t>
      </w:r>
    </w:p>
    <w:p>
      <w:pPr>
        <w:pStyle w:val="TextBody"/>
        <w:bidi w:val="0"/>
        <w:spacing w:lineRule="auto" w:line="240" w:before="0" w:after="240"/>
        <w:ind w:left="0" w:right="0" w:firstLine="720"/>
        <w:jc w:val="both"/>
        <w:rPr/>
      </w:pPr>
      <w:r>
        <w:rPr>
          <w:rFonts w:ascii="Times New Roman;sans-serif" w:hAnsi="Times New Roman;sans-serif"/>
          <w:b/>
          <w:color w:val="000000"/>
          <w:sz w:val="24"/>
        </w:rPr>
        <w:t>3.6.</w:t>
      </w:r>
      <w:r>
        <w:rPr>
          <w:rFonts w:ascii="Times New Roman;sans-serif" w:hAnsi="Times New Roman;sans-serif"/>
          <w:b/>
          <w:color w:val="000000"/>
          <w:sz w:val="24"/>
          <w:u w:val="single"/>
        </w:rPr>
        <w:t>Company Restoration Matching Amount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Participant’s Company Restoration Matching Amount for any Plan Year shall be an amount equal to the lesser of (i) two percent (2%) of the Participant’s Plan Compensation for such Plan Year in excess of the Code Section 401(a)(17) limit (which is $350,000 for 2025 and as adjusted thereafter), or (ii) fifty percent (50%) of the Participant’s Annual Deferral Amount (excluding stock-settled Equity-Based Incentive Awards that a Participant defers in accordance with Article III) for such year. The Participant’s Company Restoration Matching Amount, if any, shall be credited to and distributed with the Participant’s Annual Account (or, as applicable, component thereof) for the applicable Plan Year on a date or dates to be determined by the Committee, in its sole discretion. The Company Restoration Matching Amount shall be credited in the Republic Services Stock Unit Fund in the 2005 Plan Year and in cash in all future Plan Years. Notwithstanding the foregoing, the Company Restoration Matching Amount shall not be credited to any Participant who is a Director.</w:t>
      </w:r>
    </w:p>
    <w:p>
      <w:pPr>
        <w:pStyle w:val="TextBody"/>
        <w:bidi w:val="0"/>
        <w:spacing w:lineRule="auto" w:line="240" w:before="0" w:after="240"/>
        <w:ind w:left="0" w:right="0" w:firstLine="720"/>
        <w:jc w:val="both"/>
        <w:rPr/>
      </w:pPr>
      <w:r>
        <w:rPr>
          <w:rFonts w:ascii="Times New Roman;sans-serif" w:hAnsi="Times New Roman;sans-serif"/>
          <w:b/>
          <w:color w:val="000000"/>
          <w:sz w:val="24"/>
        </w:rPr>
        <w:t>3.7.</w:t>
      </w:r>
      <w:r>
        <w:rPr>
          <w:rFonts w:ascii="Times New Roman;sans-serif" w:hAnsi="Times New Roman;sans-serif"/>
          <w:b/>
          <w:color w:val="000000"/>
          <w:sz w:val="24"/>
          <w:u w:val="single"/>
        </w:rPr>
        <w:t>Crediting of Amounts after Benefit Distribution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Notwithstanding any provision in this Plan to the contrary, should the complete distribution (other than a distribution pursuant to Section 4.4) of a Participant’s vested Account Balance occur prior to the date on which any portion of (i) the Annual Deferral Amount that a Participant has elected to defer in accordance with Section 3.3, (ii) the Company Contribution Amount, or (iii) the Company Restoration Matching Amount, would otherwise be credited to the Participant’s Account Balance, such amounts shall be credited to the Participant’s Account Balance and distributed in accordance with the form and time of distribution that is applicable to the amount so credited (and to the extent the time of distribution has occurred, within sixty (60) days of the date of such crediting).</w:t>
      </w:r>
    </w:p>
    <w:p>
      <w:pPr>
        <w:pStyle w:val="TextBody"/>
        <w:bidi w:val="0"/>
        <w:spacing w:lineRule="auto" w:line="240" w:before="0" w:after="240"/>
        <w:ind w:left="0" w:right="0" w:firstLine="720"/>
        <w:jc w:val="both"/>
        <w:rPr/>
      </w:pPr>
      <w:r>
        <w:rPr>
          <w:rFonts w:ascii="Times New Roman;sans-serif" w:hAnsi="Times New Roman;sans-serif"/>
          <w:b/>
          <w:color w:val="000000"/>
          <w:sz w:val="24"/>
        </w:rPr>
        <w:t>3.8.</w:t>
      </w:r>
      <w:r>
        <w:rPr>
          <w:rFonts w:ascii="Times New Roman;sans-serif" w:hAnsi="Times New Roman;sans-serif"/>
          <w:b/>
          <w:color w:val="000000"/>
          <w:sz w:val="24"/>
          <w:u w:val="single"/>
        </w:rPr>
        <w:t>Vesting</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Except as otherwise provided in Section 3.8(g), a Participant shall at all times be 100% vested in the portion of his or her Account Balance attributable to his or her deferrals of Base Salary, Bonus, Commissions, Equity-Based Incentive Awards, LTIP Amounts, SIP Amounts and Director Fees as adjusted for amounts credited or debited on such amounts (pursuant to Section 3.9).</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 Participant shall be vested in the portion of his or her Account Balance attributable to any Company Contribution Amounts, adjusted for amounts credited or debited on such amounts (pursuant to Section 3.9), in accordance with the vesting schedule(s) set forth with respect to this Plan in his or her Plan Agreement, employment agreement or any other agreement between the Participant and his or her Employer. If not addressed in such agreements, a Participant shall 100% vest in his or her portion of his or her Account Balance attributable to any </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Contribution Amounts, adjusted for amounts credited or debited on such amounts (pursuant to Section 3.9), if such Participant’s employment with the Employer is terminated due to Retirement, death, Disability, or by the Company for other than Cause. Amounts which are not vested upon Separation from Service with all Employers under circumstances set forth in this Section 3.8(b) shall be forfeited at the time of such Separation from Service.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 Participant shall be vested in the portion of his or her Account Balance attributable to any Company Restoration Matching Amounts and Company Additional Matching Amounts, adjusted for amounts credited or debited on such amounts (pursuant to Section 3.9), only to the extent that the Participant would be vested in such amounts, if any, under the provisions of the 401(k) Plan applicable to the vesting of matching contributions, as determined by the Committee in its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Notwithstanding anything to the contrary contained in this Section 3.8, in the event of a Change in Control, prior to a Participant’s Separation from Service, any amounts that are not vested in accordance with Section 3.8(b) or 3.8(c) above, shall immediately become 100% vested.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Notwithstanding Section 3.8(d) above, the vesting schedules described in Sections 3.8(b) and 3.8(c) shall not be accelerated upon a Change in Control to the extent that the Committee determines that such acceleration would cause the deduction limitations of Code Section 280G to become effective. The portion not so vested shall continue to be subject to the vesting provisions of this Plan. In the event of such a determination, the Participant may dispute the Committee’s determination with respect to the application of Code Section 280G in which case the Committee must provide to the Participant within ninety (90) days of such a request an opinion from a nationally recognized accounting firm selected by the Participant (the “Accounting Firm”). The opinion shall state the Accounting Firm’s opinion that any limitation in the vested percentage hereunder is necessary to avoid the limits of Code Section 280G and contain supporting calculations. The cost of such opinion shall be paid for by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If a Participant defers compensation that is subject to an agreement that has vesting or forfeiture provisions, the portion of his or her Account Balance attributable to such compensation remains subject to the vesting and forfeiture provisions set forth in the agreement.</w:t>
      </w:r>
    </w:p>
    <w:p>
      <w:pPr>
        <w:pStyle w:val="TextBody"/>
        <w:bidi w:val="0"/>
        <w:spacing w:lineRule="auto" w:line="240" w:before="0" w:after="240"/>
        <w:ind w:left="0" w:right="0" w:firstLine="720"/>
        <w:jc w:val="both"/>
        <w:rPr/>
      </w:pPr>
      <w:r>
        <w:rPr>
          <w:rFonts w:ascii="Times New Roman;sans-serif" w:hAnsi="Times New Roman;sans-serif"/>
          <w:b/>
          <w:color w:val="000000"/>
          <w:sz w:val="24"/>
        </w:rPr>
        <w:t>3.9.</w:t>
      </w:r>
      <w:r>
        <w:rPr>
          <w:rFonts w:ascii="Times New Roman;sans-serif" w:hAnsi="Times New Roman;sans-serif"/>
          <w:b/>
          <w:color w:val="000000"/>
          <w:sz w:val="24"/>
          <w:u w:val="single"/>
        </w:rPr>
        <w:t>Crediting/Debiting of Account Balances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accordance with, and subject to, the rules and procedures that are established from time to time by the Committee, in its sole discretion, amounts shall be credited or debited to a Participant’s Account Balance in accordance with the following rules: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u w:val="single"/>
        </w:rPr>
        <w:t>Measurement Funds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Subject to the restrictions found in Section 3.9(c) below, the Participant may elect one or more of the measurement funds selected by the Committee, in its sole discretion, which are based on certain mutual funds or the Republic Services Stock Investment Fund described in Section 3.9(d) below (collectively, the “Measurement Funds”), for the purpose of crediting or debiting additional amounts to his or her Account Balance. As necessary, the Committee may, in its sole discretion, prospectively discontinue, substitute or add a Measurement Fund.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Election of Measurement Funds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Subject to the restrictions found in Section 3.9(c) below, and the provisions contained in Section 3.9(d) below, a Participant, in connection with his or her initial deferral election in accordance with Section 3.3(a) above, may elect to allocate any portion of his or her future Annual Deferral Amounts (other than any amounts that are required to be allocated to the Republic Services Stock Unit Fund), Company Contribution Amounts, Company Restoration Matching Amounts and Company Additional Matching Amounts, and/or re-allocate any portion of his or her Account Balance (other than any </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amounts that are required to be allocated to the Republic Services Stock Unit Fund) to one or more of the Measurement Funds to be used to determine the amounts to be credited or debited to his or her Account Balance. If a Participant does not elect any of the Measurement Funds as described in the previous sentence, the Participant’s Account Balance shall automatically be allocated into the default Measurement Fund, as determined by the Committee, in its sole discretion. Subject to the restrictions found in Section 3.9(c) below, the Participant may (but is not required to) elect, by submitting an Election Form to the Committee that is accepted by the Committee, to add or delete one or more Measurement Fund(s) to be used to determine the amounts to be credited or debited to his or her Account Balance, or to change the portion of his or her Account Balance allocated to each previously or newly elected Measurement Fund. If an election is made in accordance with the previous sentence, it shall apply, except to the extent provided in Section 3.9(d) below, as of the first business day deemed reasonably practicable by the Committee, in its sole discretion, and shall continue thereafter for each subsequent day in which the Participant participates in the Plan, unless changed in accordance with the previous sentence; provided, however, if the Participant’s election includes the allocation or re-allocation of amounts to or from the Republic Services Stock Investment Fund, the Committee may, in its sole discretion, process any portion of the Participant’s Election Form which allocates and/or re-allocates such amounts to or from any Measurement Fund other than the Republic Services Stock Investment Fund, while postponing the processing of any portion of the Participant’s Election Form which allocates and/or re-allocates such amounts to or from the Republic Services Stock Investment Fund, as more fully described in Section 3.9(d)(i). Notwithstanding the foregoing, the Committee, in its sole discretion, may impose limitations on the frequency with which one or more of the Measurement Funds elected in accordance with this Section 3.9(b) may be added or deleted by such Participant; furthermore, the Committee, in its sole discretion, may impose limitations on the frequency with which the Participant may change the portion of his or her Account Balance allocated to each previously or newly elected Measurement Fund.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u w:val="single"/>
        </w:rPr>
        <w:t>Republic Services Stock Unit Fund</w:t>
      </w:r>
      <w:r>
        <w:rPr>
          <w:rFonts w:ascii="Times New Roman;sans-serif" w:hAnsi="Times New Roman;sans-serif"/>
          <w:b/>
          <w:color w:val="000000"/>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(i)If a Participant elects, in accordance with such rules and procedures established by the Committee, to defer a stock-settled Equity-Based Incentive Award, the Participant will be automatically and irrevocably credited with a corresponding number of units under the Republic Services Stock Unit Fund (the “Units”) under this Plan. Except as provided in Section 3.9(c)(v), Participants may not select any Measurement Fund to be used to determine the amounts to be credited or debited to their Republic Services Stock Unit Fund. Further, no other portion of the Participant’s Account Balance can be either initially allocated or re-allocated to the Republic Services Stock Unit Fund. Except as provided in Section 3.9(c)(v) below, Units allocated to the Republic Services Stock Unit Fund on behalf of any Participant shall only be distributable to the Participant in actual shares of Stock equal in number to the number of the Participant’s vested Units. The Units remain subject to the vesting and forfeiture provisions set forth in the applicable award or other applicable agreement. Any fractional share of Stock shall be distributed in cash in an amount equal to the fair market value of the fractional share of Stock; provided that if the Company determines to allow fractional shares of Stock to be distributed or made available under the Company’s compensation and benefit plans, any fractional share of Stock due under this Plan shall be distributed in the form of a fractional share of Stock.</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(ii)Any stock dividends, cash dividends or other non-cash dividends that would have been payable on the stock underlying the deferred award shall be credited to the Participant’s Account Balance in the form of additional Units under the Plan until such Units are forfeited, distributed to the Participant or otherwise reallocated to the Measurement Funds in accordance with Section 3.9(c)(v) below. The number of Units credited to the Participant for a particular stock dividend shall be equal to (A) the number of Units credited to the Participant’s Account Balance as of the dividend payment date, multiplied by (B) the number of additional or fractional shares of Stock actually paid as a dividend in respect of each share of Stock. The number of Units credited to the Participant for a particular cash dividend or non-cash dividend other than a Stock dividend shall be equal to (x) the number of Units credited to the Participant’s Account Balance as of the dividend payment date, multiplied by (y) the fair market value of the dividend, divided by (z) the “fair market value” of the Stock on the dividend payment date. Any additional Units credited pursuant to this Section 3.9(c)(ii) shall be credited effective the day following the date the dividend was paid, and shall have the same status, and shall be subject to the same terms and conditions (including without limitation the vesting and forfeiture provisions) applicable to the Units to which they relate.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(iii)The number of Units credited to the Participant’s Account Balance shall be adjusted by the Committee, in its sole discretion, to prevent dilution or enlargement of Participants’ rights with respect to the portion of his or her Account Balance allocated to the Republic Services Stock Unit Fund in the event of any reorganization, reclassification, stock split, or other unusual corporate transaction or event which affects the value of the Stock, provided that any such adjustment shall be made taking into account any crediting of Units to the Participant under Section 3.9.</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(iv)For purposes of this Section 3.9(c), the fair market value of the Stock shall be determined by the Committee in its sole discretion.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(v)A Participant who Retires on or before October 29, 2013 and is eligible to receive Retirements Benefits in accordance with Article VI may (x) elect at any time following the six (6) month anniversary of the date of the Participant's Retirement to reallocate part or all of the portion of the Participant's Account Balance that is allocated to the Republic Services Stock Unit Fund to one or more of the Measurement Funds and to thereafter reallocate such amounts among the Measurement Funds in accordance with the provisions contained in Section 3.9 and (y) elect to receive, at such time or times that such amounts are otherwise payable under the Plan, part or all of the portion of the Participant’s Account Balance that is the allocated to the Republic Services Stock Unit Fund in cash (rather than shares of Stock) equal to the fair market value of the shares of Stock equal in number to the number of the Participant's Units under the Plan that are being distributed in cash. The number of Units credited to a Participant's Account Balance shall be reduced if and to the extent the Participant elects to </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reallocate amounts allocated to the Stock Unit Fund to the Measurement Funds or the Participant elects a distribution of cash for amounts allocated to the Stock Unit Fund. The Committee may, in its discretion, establish rules and procedures setting forth the method and timing of making any election described in this Section 3.9(c)(v) and the date on which such election shall become effective.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u w:val="single"/>
        </w:rPr>
        <w:t>Republic Services Stock Investment Fund</w:t>
      </w:r>
      <w:r>
        <w:rPr>
          <w:rFonts w:ascii="Times New Roman;sans-serif" w:hAnsi="Times New Roman;sans-serif"/>
          <w:b/>
          <w:color w:val="000000"/>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(i)A Participant may elect to allocate any portion of his or her future Annual Deferral Amounts (other than any amounts that are required to be allocated to the Republic Services Stock Unit Fund), Company Contribution Amounts, Company Restoration Matching Amounts and Company Additional Matching Amounts, and/or re-allocate any portion of his or her Account Balance (other than any amounts that are required to be allocated to the Republic Services Stock Unit Fund) to the Republic Services Stock Investment Fund. The Committee may, in its sole discretion, establish limitations as to the timing and manner of allocations or reallocations into or out of the Republic Services Stock Investment Fund. Notwithstanding anything to the contrary contained in this Section 3.9 the Committee may, in its sole discretion, disallow any allocation or reallocation which is made during a period in which the Participant is prohibited (by Company policy or otherwise) from acquiring or disposing of the Company's equity securities.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(ii)The portion of the Participant’s Account Balance that is allocated to the Republic Services Stock Investment Fund shall be adjusted by the Committee, in its sole discretion, based on the cash equivalent of any stock dividends, cash dividends or other non-cash dividends that would have been payable on the Stock.</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(iii)The portion of the Participant’s Account Balance that is allocated to the Republic Services Stock Investment Fund shall be adjusted by the Committee, in its sole discretion, to prevent dilution or enlargement of Participants’ rights with respect to the portion of his or her Account Balance allocated to the Republic Services Stock Investment Fund in the event of any reorganization, reclassification, stock split, or other unusual corporate transaction or event which affects the value of the Stock.</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(iv)For purposes of this Section 3.9(d), the fair market value of the Stock shall be determined by the Committee in its sole discretion.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(v)Amounts allocated to the Republic Services Stock Investment Fund shall only be distributed in cash.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color w:val="000000"/>
          <w:sz w:val="24"/>
          <w:u w:val="single"/>
        </w:rPr>
        <w:t>Proportionate Allocation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making any election described in Section 3.9(b) above, the Participant shall specify on the Election Form, in increments of one percent (1%), the percentage of his or her Account Balance or Measurement Fund, as applicable, to be allocated/re-allocated.</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color w:val="000000"/>
          <w:sz w:val="24"/>
          <w:u w:val="single"/>
        </w:rPr>
        <w:t>Crediting or Debiting Method</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performance of each Measurement Fund (either positive or negative) will be determined on a daily basis based on the manner in which such Participant’s Account Balance has been hypothetically allocated among the Measurement Funds by the Participant.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color w:val="000000"/>
          <w:sz w:val="24"/>
          <w:u w:val="single"/>
        </w:rPr>
        <w:t>No Actual Investment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Notwithstanding any other provision of this Plan that may be interpreted to the contrary, the Measurement Funds are to be used for measurement purposes only, and a Participant’s election of any such Measurement Fund, the allocation of his or her Account Balance thereto, the calculation of additional amounts and the crediting or debiting of such amounts to a Participant’s Account Balance shall not be considered or construed in any manner as an actual investment of his or her Account Balance in any such Measurement Fund. In the event that the Company or the Trustee (as that term is defined in the Trust), in its own discretion, decides to invest funds in any or all of the investments on which the Measurement Funds are based, no Participant shall have any rights in or to such investments themselves. Without limiting the foregoing, a Participant’s Account Balance shall at all times be a bookkeeping entry only and shall not represent any investment made on his or her behalf by the Company or the Trust; the Participant shall at all times remain an unsecured general creditor of the Company to the extent of its obligation under the Plan to pay the Participant’s benefit as determined in Section 16.3.</w:t>
      </w:r>
    </w:p>
    <w:p>
      <w:pPr>
        <w:pStyle w:val="TextBody"/>
        <w:bidi w:val="0"/>
        <w:spacing w:lineRule="auto" w:line="240" w:before="0" w:after="240"/>
        <w:ind w:left="0" w:right="0" w:firstLine="720"/>
        <w:jc w:val="both"/>
        <w:rPr/>
      </w:pPr>
      <w:r>
        <w:rPr>
          <w:rFonts w:ascii="Times New Roman;sans-serif" w:hAnsi="Times New Roman;sans-serif"/>
          <w:b/>
          <w:color w:val="000000"/>
          <w:sz w:val="24"/>
        </w:rPr>
        <w:t>3.10.</w:t>
      </w:r>
      <w:r>
        <w:rPr>
          <w:rFonts w:ascii="Times New Roman;sans-serif" w:hAnsi="Times New Roman;sans-serif"/>
          <w:b/>
          <w:color w:val="000000"/>
          <w:sz w:val="24"/>
          <w:u w:val="single"/>
        </w:rPr>
        <w:t>FICA and Other Taxes</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u w:val="single"/>
        </w:rPr>
        <w:t>Annual Deferral Amounts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For each Plan Year in which an Annual Deferral Amount is being withheld from a Participant, the Company and/or Participant’s Employer (as applicable) shall withhold from that portion of the Participant’s Base Salary, Bonus, Commissions and/or Equity-Based Incentive Awards that is not being deferred, in a manner determined by the withholding Employer, the Participant’s share of FICA and other employment taxes on such Annual Deferral Amount. If necessary, the Committee may reduce the Annual Deferral Amount for amounts required to be withheld and described in Treasury Regulation Section 1.409A-3(j)(4)(vi) in order to comply with this Section 3.10.</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Company Restoration Matching Amounts, Company Additional Matching Amounts and Company Contribution Amounts and Other Amounts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When a Participant becomes vested in a portion of his or her Account Balance attributable to any Company Restoration Matching Amounts, Company Additional Matching Amounts and/or Company Contribution Amounts and/or any other amounts subject to a vesting schedule, the Company and/or Participant’s Employer (as applicable) shall withhold from that portion of the Participant’s Base Salary, Bonus, Commissions and/or Equity-Based Incentive Awards that is not deferred, in a manner determined by the withholding Employer, the Participant’s share of FICA and other employment taxes on such amounts. If necessary, the Committee may reduce the vested portion of the Participant’s Company Restoration Matching Amount, Company Additional Matching Amount, Company Contribution Amount or any other amounts subject to a vesting schedule for such amounts attributable to employment taxes required to be withheld or that otherwise may be withheld as described in Treasury Regulation Section 1.409A-3(j)(4)(vi), in order to comply with this Section 3.10.</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u w:val="single"/>
        </w:rPr>
        <w:t>Distributions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There shall be withheld from any payments made to a Participant under this Plan all federal, state and local income, employment and other taxes required to be withheld by any Employer, or the trustee of the Trust, in connection with such payments, in amounts and in a manner to be determined in the sole discretion of the Company and the trustee of the Trust.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u w:val="single"/>
        </w:rPr>
        <w:t>Withholding of Shares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 Participant who receives a distribution from the Republic Services Stock Unit Fund must pay to the Company all federal, state and local </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income and other taxes required to be withheld in connection with the distribution of shares of Stock. A Participant may elect by notice to the Committee to satisfy his or her minimum income tax withholding obligation with respect to the distribution of shares of Stock by the Company’s withholding a portion of the shares of Stock otherwise deliverable to the Participant, such shares being valued at their fair market value as of the date on which the taxable event that gives rise to the withholding requirement occurs.</w:t>
      </w:r>
    </w:p>
    <w:p>
      <w:pPr>
        <w:pStyle w:val="TextBody"/>
        <w:bidi w:val="0"/>
        <w:spacing w:lineRule="auto" w:line="240" w:before="0" w:after="240"/>
        <w:jc w:val="center"/>
        <w:rPr/>
      </w:pPr>
      <w:r>
        <w:rPr>
          <w:rFonts w:ascii="Times New Roman;sans-serif" w:hAnsi="Times New Roman;sans-serif"/>
          <w:b/>
          <w:color w:val="000000"/>
          <w:sz w:val="24"/>
        </w:rPr>
        <w:t>ARTICLE IV</w:t>
      </w:r>
      <w:r>
        <w:rPr>
          <w:rFonts w:ascii="Times New Roman;sans-serif" w:hAnsi="Times New Roman;sans-serif"/>
          <w:b/>
          <w:color w:val="000000"/>
          <w:sz w:val="24"/>
        </w:rPr>
        <w:br/>
      </w:r>
      <w:r>
        <w:rPr>
          <w:rFonts w:ascii="Times New Roman;sans-serif" w:hAnsi="Times New Roman;sans-serif"/>
          <w:b/>
          <w:color w:val="000000"/>
          <w:sz w:val="24"/>
          <w:u w:val="single"/>
        </w:rPr>
        <w:t>SCHEDULED DISTRIBUTIONS; UNFORESEEABLE EMERGENCIES</w:t>
      </w:r>
    </w:p>
    <w:p>
      <w:pPr>
        <w:pStyle w:val="TextBody"/>
        <w:bidi w:val="0"/>
        <w:spacing w:lineRule="auto" w:line="240" w:before="0" w:after="240"/>
        <w:ind w:left="0" w:right="0" w:firstLine="720"/>
        <w:jc w:val="both"/>
        <w:rPr/>
      </w:pPr>
      <w:r>
        <w:rPr>
          <w:rFonts w:ascii="Times New Roman;sans-serif" w:hAnsi="Times New Roman;sans-serif"/>
          <w:b/>
          <w:color w:val="000000"/>
          <w:sz w:val="24"/>
        </w:rPr>
        <w:t>4.1.</w:t>
      </w:r>
      <w:r>
        <w:rPr>
          <w:rFonts w:ascii="Times New Roman;sans-serif" w:hAnsi="Times New Roman;sans-serif"/>
          <w:b/>
          <w:color w:val="000000"/>
          <w:sz w:val="24"/>
          <w:u w:val="single"/>
        </w:rPr>
        <w:t>Scheduled Distribution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connection with each election to defer an Annual Deferral Amount, a Participant may irrevocably elect to receive a Scheduled Distribution, in the form of a lump sum payment, from the Plan with respect to all or a portion of the Annual Deferral Amount. The Scheduled Distribution shall be a lump sum payment in an amount that is equal to the portion of the Annual Deferral Amount the Participant elected to have distributed as a Scheduled Distribution, adjusted for amounts credited or debited in the manner provided in Section 3.9 above on that amount, calculated as of the close of business on or around the date on which the Scheduled Distribution becomes payable, as determined by the Committee in its sole discretion. Subject to the other terms and conditions of this Plan, each Scheduled Distribution elected shall be paid out during a sixty (60) day period commencing immediately after the first day of any Plan Year designated by the Participant (the “Scheduled Distribution Date”). The Plan Year designated by the Participant must be at least three (3) Plan Years after the end of the Plan Year to which the Participant’s deferral election relates (or, if later, at least three (3) Plan Years after the end of the Plan Year in which the amount deferred vests), unless otherwise provided on an Election Form approved by the Committee in its sole discretion. By way of example, if a Scheduled Distribution is elected for Annual Deferral Amounts that are earned in the Plan Year commencing January 1, 2027, the earliest Scheduled Distribution Date that may be designated by a Participant would be January 1, 2031, and the Scheduled Distribution would become payable during the sixty (60) day period commencing immediately after such Scheduled Distribution Date.</w:t>
      </w:r>
    </w:p>
    <w:p>
      <w:pPr>
        <w:pStyle w:val="TextBody"/>
        <w:bidi w:val="0"/>
        <w:spacing w:lineRule="auto" w:line="240" w:before="0" w:after="240"/>
        <w:ind w:left="0" w:right="0" w:firstLine="720"/>
        <w:jc w:val="both"/>
        <w:rPr/>
      </w:pPr>
      <w:r>
        <w:rPr>
          <w:rFonts w:ascii="Times New Roman;sans-serif" w:hAnsi="Times New Roman;sans-serif"/>
          <w:b/>
          <w:color w:val="000000"/>
          <w:sz w:val="24"/>
        </w:rPr>
        <w:t>4.2.</w:t>
      </w:r>
      <w:r>
        <w:rPr>
          <w:rFonts w:ascii="Times New Roman;sans-serif" w:hAnsi="Times New Roman;sans-serif"/>
          <w:b/>
          <w:color w:val="000000"/>
          <w:sz w:val="24"/>
          <w:u w:val="single"/>
        </w:rPr>
        <w:t>Postponing Scheduled Distributions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may elect to postpone a Scheduled Distribution described in Section 4.1 above, and have such amount paid out during a sixty (60) day period commencing immediately after an allowable alternative distribution date designated by the Participant in accordance with this Section 4.2. In order to make this election, the Participant must submit a new Scheduled Distribution Election Form to the Committee in accordance with the following criteria: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Such Scheduled Distribution Election Form must be submitted to and accepted by the Committee in its sole discretion at least twelve (12) months prior to the Participant’s previously designated Scheduled Distribution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new Scheduled Distribution Date selected by the Participant must be the first day of a Plan Year, and must be at least five (5) years after the previously designated Scheduled Distribution Date;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election of the new Scheduled Distribution Date shall have no effect until at least twelve (12) months after the date on which the election is made.</w:t>
      </w:r>
    </w:p>
    <w:p>
      <w:pPr>
        <w:pStyle w:val="TextBody"/>
        <w:bidi w:val="0"/>
        <w:spacing w:lineRule="auto" w:line="240" w:before="0" w:after="240"/>
        <w:ind w:left="0" w:right="0" w:firstLine="720"/>
        <w:jc w:val="both"/>
        <w:rPr/>
      </w:pPr>
      <w:r>
        <w:rPr>
          <w:rFonts w:ascii="Times New Roman;sans-serif" w:hAnsi="Times New Roman;sans-serif"/>
          <w:b/>
          <w:color w:val="000000"/>
          <w:sz w:val="24"/>
        </w:rPr>
        <w:t>4.3.</w:t>
      </w:r>
      <w:r>
        <w:rPr>
          <w:rFonts w:ascii="Times New Roman;sans-serif" w:hAnsi="Times New Roman;sans-serif"/>
          <w:b/>
          <w:color w:val="000000"/>
          <w:sz w:val="24"/>
          <w:u w:val="single"/>
        </w:rPr>
        <w:t>Other Benefits Take Precedence Over Scheduled Distributions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Should a Benefit Distribution Trigger Date occur that triggers a benefit under Articles V, VI, VII, VIII, or IX, any Annual Deferral Amount that is subject to a Scheduled Distribution election under Section 4.1 or 4.2 shall not be paid in accordance with Section 4.1 or 4.2, but shall be paid in accordance with the other applicable Article.</w:t>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4.4.</w:t>
      </w:r>
      <w:r>
        <w:rPr>
          <w:rFonts w:ascii="Times New Roman;sans-serif" w:hAnsi="Times New Roman;sans-serif"/>
          <w:b/>
          <w:color w:val="000000"/>
          <w:sz w:val="24"/>
          <w:u w:val="single"/>
        </w:rPr>
        <w:t>Unforeseeable Emergencies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If the Participant experiences an Unforeseeable Emergency, the Participant may petition the Committee to receive a partial or full payout from the Plan, subject to the provisions set forth 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payout, if any, from the Plan shall not exceed the lesser of (i) the Participant’s vested Account Balance, calculated as of the close of business on or around the date on which the amount becomes payable, as determined by the Committee in its sole discretion, or (ii) the amount necessary to satisfy the Unforeseeable Emergency, plus amounts necessary to pay Federal, state, or local income taxes or penalties reasonably anticipated as a result of the distribution. Notwithstanding the foregoing, a Participant may not receive a payout from the Plan to the extent that the Unforeseeable Emergency is or may be relieved (A) through reimbursement or compensation by insurance or otherwise, (B) by liquidation of the Participant’s assets, to the extent the liquidation of such assets would not itself cause severe financial hardship or (C) by cessation of deferrals under this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If the Committee, in its sole discretion, approves a Participant’s petition for payout from the Plan, the Participant shall receive a payout from the Plan within sixty (60) days of the date of such approval, and the Participant’s deferrals under the Plan shall be terminated as of the date of such approval.</w:t>
      </w:r>
    </w:p>
    <w:p>
      <w:pPr>
        <w:pStyle w:val="TextBody"/>
        <w:bidi w:val="0"/>
        <w:spacing w:lineRule="auto" w:line="240" w:before="0" w:after="240"/>
        <w:jc w:val="center"/>
        <w:rPr/>
      </w:pPr>
      <w:r>
        <w:rPr>
          <w:rFonts w:ascii="Times New Roman;sans-serif" w:hAnsi="Times New Roman;sans-serif"/>
          <w:b/>
          <w:color w:val="000000"/>
          <w:sz w:val="24"/>
        </w:rPr>
        <w:t>ARTICLE V</w:t>
      </w:r>
      <w:r>
        <w:rPr>
          <w:rFonts w:ascii="Times New Roman;sans-serif" w:hAnsi="Times New Roman;sans-serif"/>
          <w:b/>
          <w:color w:val="000000"/>
          <w:sz w:val="24"/>
        </w:rPr>
        <w:br/>
        <w:t>CHANGE IN CONTROL BENEFIT</w:t>
      </w:r>
    </w:p>
    <w:p>
      <w:pPr>
        <w:pStyle w:val="TextBody"/>
        <w:bidi w:val="0"/>
        <w:spacing w:lineRule="auto" w:line="240" w:before="0" w:after="240"/>
        <w:ind w:left="0" w:right="0" w:firstLine="720"/>
        <w:jc w:val="both"/>
        <w:rPr/>
      </w:pPr>
      <w:r>
        <w:rPr>
          <w:rFonts w:ascii="Times New Roman;sans-serif" w:hAnsi="Times New Roman;sans-serif"/>
          <w:b/>
          <w:color w:val="000000"/>
          <w:sz w:val="24"/>
        </w:rPr>
        <w:t>5.1.</w:t>
      </w:r>
      <w:r>
        <w:rPr>
          <w:rFonts w:ascii="Times New Roman;sans-serif" w:hAnsi="Times New Roman;sans-serif"/>
          <w:b/>
          <w:color w:val="000000"/>
          <w:sz w:val="24"/>
          <w:u w:val="single"/>
        </w:rPr>
        <w:t>Change in Control Benefit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in connection with his or her commencement of participation in the Plan, shall irrevocably elect on an Election Form whether to (i) receive a Change in Control Benefit upon the occurrence of a Change in Control, which shall be equal to the Participant’s vested Account Balance, calculated as of the close of business on the date of the Change in Control (if the Account Balance is not valued on the date of the Change in Control, the first date so valued following the Change in Control), as determined by the Committee in its sole discretion, or (ii) to have his or her Account Balance remain in the Plan upon the occurrence of a Change in Control and to have his or her Account Balance remain subject to the terms and conditions of the Plan. If a Participant does not make any election with respect to the payment of the Change in Control Benefit, then such Participant’s Account Balance shall remain in the Plan upon a Change in Control and shall be subject to the terms and conditions of the Plan. If and to the extent permitted by the Committee, a Participant shall be permitted in accordance with such rules and procedures of the Committee to make the Change in Control election described above with respect to the amounts that are properly deferred under each Election Form and shall not be required to make the same election on all Election Forms. If a Participant does not make any election on an Election Form with respect to the payment of the Change in Control Benefit, the portion of the Participant’s Account Balance which is attributable to such Election Form shall remain in the Plan upon a Change in Control and shall be subject to the terms and conditions of the Plan.</w:t>
      </w:r>
    </w:p>
    <w:p>
      <w:pPr>
        <w:pStyle w:val="TextBody"/>
        <w:bidi w:val="0"/>
        <w:spacing w:lineRule="auto" w:line="240" w:before="0" w:after="240"/>
        <w:ind w:left="0" w:right="0" w:firstLine="720"/>
        <w:jc w:val="both"/>
        <w:rPr/>
      </w:pPr>
      <w:r>
        <w:rPr>
          <w:rFonts w:ascii="Times New Roman;sans-serif" w:hAnsi="Times New Roman;sans-serif"/>
          <w:b/>
          <w:color w:val="000000"/>
          <w:sz w:val="24"/>
        </w:rPr>
        <w:t>5.2.</w:t>
      </w:r>
      <w:r>
        <w:rPr>
          <w:rFonts w:ascii="Times New Roman;sans-serif" w:hAnsi="Times New Roman;sans-serif"/>
          <w:b/>
          <w:color w:val="000000"/>
          <w:sz w:val="24"/>
          <w:u w:val="single"/>
        </w:rPr>
        <w:t>Payment of Change in Control Benefit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Change in Control Benefit, if any, shall be paid to the Participant in a lump sum no later than sixty (60) days after the Participant’s Benefit Distribution Trigger Date.</w:t>
      </w:r>
    </w:p>
    <w:p>
      <w:pPr>
        <w:pStyle w:val="TextBody"/>
        <w:bidi w:val="0"/>
        <w:spacing w:lineRule="auto" w:line="240" w:before="0" w:after="240"/>
        <w:jc w:val="center"/>
        <w:rPr/>
      </w:pPr>
      <w:r>
        <w:rPr>
          <w:rFonts w:ascii="Times New Roman;sans-serif" w:hAnsi="Times New Roman;sans-serif"/>
          <w:b/>
          <w:color w:val="000000"/>
          <w:sz w:val="24"/>
        </w:rPr>
        <w:t>ARTICLE VI</w:t>
      </w:r>
      <w:r>
        <w:rPr>
          <w:rFonts w:ascii="Times New Roman;sans-serif" w:hAnsi="Times New Roman;sans-serif"/>
          <w:b/>
          <w:color w:val="000000"/>
          <w:sz w:val="24"/>
        </w:rPr>
        <w:br/>
        <w:t>RETIREMENT BENEFIT</w:t>
      </w:r>
    </w:p>
    <w:p>
      <w:pPr>
        <w:pStyle w:val="TextBody"/>
        <w:bidi w:val="0"/>
        <w:spacing w:lineRule="auto" w:line="240" w:before="0" w:after="240"/>
        <w:ind w:left="0" w:right="0" w:firstLine="720"/>
        <w:jc w:val="both"/>
        <w:rPr/>
      </w:pPr>
      <w:r>
        <w:rPr>
          <w:rFonts w:ascii="Times New Roman;sans-serif" w:hAnsi="Times New Roman;sans-serif"/>
          <w:b/>
          <w:color w:val="000000"/>
          <w:sz w:val="24"/>
        </w:rPr>
        <w:t>6.1.</w:t>
      </w:r>
      <w:r>
        <w:rPr>
          <w:rFonts w:ascii="Times New Roman;sans-serif" w:hAnsi="Times New Roman;sans-serif"/>
          <w:b/>
          <w:color w:val="000000"/>
          <w:sz w:val="24"/>
          <w:u w:val="single"/>
        </w:rPr>
        <w:t>Retirement Benefit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 Participant who Retires shall receive, as a Retirement Benefit, his or her vested Account Balance excluding those portions, if any, as to which the </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has elected to receive installment payments in accordance with Section 6.2(a), in a lump sum calculated as of the first business day coincident with or first following the six (6) month anniversary of the date of the Participant’s Retirement. If the Participant has elected installment payments in accordance with Section 6.2(a), the applicable portion of his or her vested Account Balance shall be paid in installments at the time and in the amounts described in Sections 1.6 and 6.2(c). If the Participant has elected to change the form of payment in accordance with Section 6.2(b), the portion of the Participant’s vested Account Balance subject to the election shall be calculated as of the date benefit distribution is to begin pursuant to Section 6.2(b). The provisions of this Article VI apply solely with respect to those Participants who satisfy the applicable requirements for Retirement.</w:t>
      </w:r>
    </w:p>
    <w:p>
      <w:pPr>
        <w:pStyle w:val="TextBody"/>
        <w:bidi w:val="0"/>
        <w:spacing w:lineRule="auto" w:line="240" w:before="0" w:after="240"/>
        <w:ind w:left="0" w:right="0" w:firstLine="720"/>
        <w:jc w:val="both"/>
        <w:rPr/>
      </w:pPr>
      <w:r>
        <w:rPr>
          <w:rFonts w:ascii="Times New Roman;sans-serif" w:hAnsi="Times New Roman;sans-serif"/>
          <w:b/>
          <w:color w:val="000000"/>
          <w:sz w:val="24"/>
        </w:rPr>
        <w:t>6.2.</w:t>
      </w:r>
      <w:r>
        <w:rPr>
          <w:rFonts w:ascii="Times New Roman;sans-serif" w:hAnsi="Times New Roman;sans-serif"/>
          <w:b/>
          <w:color w:val="000000"/>
          <w:sz w:val="24"/>
          <w:u w:val="single"/>
        </w:rPr>
        <w:t>Payment of Retirement Benefit</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In connection with a Participant’s election(s) to defer an Annual Deferral Amount, the Participant, if and to the extent permitted by the Committee, shall elect, in accordance with such rules and procedures established by the Committee, the form or forms in which his or her Annual Account for such Plan Year will be paid. The Participant may elect to receive each Annual Account in the form of a lump sum or pursuant to an Annual Installment Method of up to ten (10) years (fifteen (15) years for elections prior to January 1, 2025) from the Benefit Distribution Trigger Date and, if permitted by the Committee, the Participant may elect such forms of payment with respect to each separate amount identified and deferred under the Election Form. Notwithstanding the foregoing, to the extent that a Participant’s election under this Section 6.2(a) would result in a scheduled distribution of any portion of his or her Annual Account attributable to Equity-Based Incentive Awards before the completion of a performance period applicable to such Equity-Based Incentive Awards, such distribution shall be delayed until the year following the completion of such performance period, and any remaining installments shall be shifted to later years in a corresponding fashion. If a Participant does not make any election with respect to the payment of an Annual Account (or, if separate elections are permitted, with respect to each component of the Annual Deferral Amount), then the Participant shall be deemed to have elected to receive such Annual Account (or separate component) as a lump sum.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 Participant may change the time or form of payment for an Annual Account (or if an election was made with respect to a separate component of the Annual Account, the separate component) by submitting an Election Form to the Committee in accordance with the following criteria:</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(i)The election to modify the time or form of payment for such Annual Account (or separate component thereof) shall have no effect until at least twelve (12) months after the date on which the election is made;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(ii)The first payment related to such Annual Account (or separate component thereof) shall be delayed at least five (5) years from the originally scheduled Benefit Distribution Trigger Date (or, if permitted by the Committee, and previously elected by the Participant, the anniversary of the Benefit Distribution Trigger Date elected by the Participant) for such Annual Account (or separate component thereof).</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applying the requirements above, the right to receive an Annual Account (or separate component thereof) in installment payments shall be treated as the entitlement to a single payment.</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 lump sum payment shall be made on the first business day coincident with or first following the six (6) month anniversary of the date of the Participant’s Retirement. Installment payments shall commence on the Benefit Distribution Trigger Date (or, if permitted by the Committee, on the anniversary of the Benefit Distribution Trigger Date elected by the Participant); provided, however, any installments due prior to the first business day coincident with or first following the six (6) month anniversary of the date of the Participant’s Retirement shall be paid on the first business day coincident with or first following the six (6) month anniversary of the date of the Participant’s Retirement. Remaining installments, if any, shall continue in accordance with the Participant’s election for each Annual Account (or separate component thereof) and shall be paid no later than sixty (60) days after each anniversary of the Benefit Distribution Trigger Date (or, if permitted by the Committee, each anniversary of the anniversary of the Benefit Distribution Trigger Date elected by the Participant).</w:t>
      </w:r>
    </w:p>
    <w:p>
      <w:pPr>
        <w:pStyle w:val="TextBody"/>
        <w:bidi w:val="0"/>
        <w:spacing w:lineRule="auto" w:line="240" w:before="0" w:after="240"/>
        <w:jc w:val="center"/>
        <w:rPr/>
      </w:pPr>
      <w:r>
        <w:rPr>
          <w:rFonts w:ascii="Times New Roman;sans-serif" w:hAnsi="Times New Roman;sans-serif"/>
          <w:b/>
          <w:color w:val="000000"/>
          <w:sz w:val="24"/>
        </w:rPr>
        <w:t>ARTICLE VII</w:t>
      </w:r>
      <w:r>
        <w:rPr>
          <w:rFonts w:ascii="Times New Roman;sans-serif" w:hAnsi="Times New Roman;sans-serif"/>
          <w:b/>
          <w:color w:val="000000"/>
          <w:sz w:val="24"/>
        </w:rPr>
        <w:br/>
        <w:t>TERMINATION BENEFIT</w:t>
      </w:r>
    </w:p>
    <w:p>
      <w:pPr>
        <w:pStyle w:val="TextBody"/>
        <w:bidi w:val="0"/>
        <w:spacing w:lineRule="auto" w:line="240" w:before="0" w:after="240"/>
        <w:ind w:left="0" w:right="0" w:firstLine="720"/>
        <w:jc w:val="both"/>
        <w:rPr/>
      </w:pPr>
      <w:r>
        <w:rPr>
          <w:rFonts w:ascii="Times New Roman;sans-serif" w:hAnsi="Times New Roman;sans-serif"/>
          <w:b/>
          <w:color w:val="000000"/>
          <w:sz w:val="24"/>
        </w:rPr>
        <w:t>7.1.</w:t>
      </w:r>
      <w:r>
        <w:rPr>
          <w:rFonts w:ascii="Times New Roman;sans-serif" w:hAnsi="Times New Roman;sans-serif"/>
          <w:b/>
          <w:color w:val="000000"/>
          <w:sz w:val="24"/>
          <w:u w:val="single"/>
        </w:rPr>
        <w:t>Termination Benefit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who experiences a Termination of Employment shall receive, as a Termination Benefit, his or her entire vested Account Balance, calculated as of the date as of which the Participant’s benefit is distributed as set forth in Section 7.2. The unvested portion of his or her Account Balance shall be forfeited on the date of his or her Termination of Employment.</w:t>
      </w:r>
    </w:p>
    <w:p>
      <w:pPr>
        <w:pStyle w:val="TextBody"/>
        <w:bidi w:val="0"/>
        <w:spacing w:lineRule="auto" w:line="240" w:before="0" w:after="240"/>
        <w:ind w:left="0" w:right="0" w:firstLine="720"/>
        <w:jc w:val="both"/>
        <w:rPr/>
      </w:pPr>
      <w:r>
        <w:rPr>
          <w:rFonts w:ascii="Times New Roman;sans-serif" w:hAnsi="Times New Roman;sans-serif"/>
          <w:b/>
          <w:color w:val="000000"/>
          <w:sz w:val="24"/>
        </w:rPr>
        <w:t>7.2.</w:t>
      </w:r>
      <w:r>
        <w:rPr>
          <w:rFonts w:ascii="Times New Roman;sans-serif" w:hAnsi="Times New Roman;sans-serif"/>
          <w:b/>
          <w:color w:val="000000"/>
          <w:sz w:val="24"/>
          <w:u w:val="single"/>
        </w:rPr>
        <w:t>Payment of Termination Benefit</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Participant’s vested Account Balance attributable to the Company Contribution Amount shall be distributed as a single lump sum payment on the earlier of:</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(i)The date the Participant would have been eligible for Retirement if the Participant had continued in the service of an Employer; or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(ii)The five (5) year anniversary date of the Participant’s Termination of Employment.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Participant’s vested Account Balance, other than the amount attributable to the Company Contribution Amount, shall be distributed to the Participant on the first business day coincident with or first following the six (6) month anniversary of the date of the Participant’s Termination of Employment.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any provisions hereof to the contrary, no payment under this Section 7.2 shall be made prior to the first day following the six (6) month anniversary of the date of the Participant’s Termination of Employment.</w:t>
      </w:r>
    </w:p>
    <w:p>
      <w:pPr>
        <w:pStyle w:val="TextBody"/>
        <w:bidi w:val="0"/>
        <w:spacing w:lineRule="auto" w:line="240" w:before="0" w:after="240"/>
        <w:jc w:val="center"/>
        <w:rPr/>
      </w:pPr>
      <w:r>
        <w:rPr>
          <w:rFonts w:ascii="Times New Roman;sans-serif" w:hAnsi="Times New Roman;sans-serif"/>
          <w:b/>
          <w:color w:val="000000"/>
          <w:sz w:val="24"/>
        </w:rPr>
        <w:t>ARTICLE VIII</w:t>
      </w:r>
      <w:r>
        <w:rPr>
          <w:rFonts w:ascii="Times New Roman;sans-serif" w:hAnsi="Times New Roman;sans-serif"/>
          <w:b/>
          <w:color w:val="000000"/>
          <w:sz w:val="24"/>
        </w:rPr>
        <w:br/>
        <w:t>DISABILITY BENEFIT</w:t>
      </w:r>
    </w:p>
    <w:p>
      <w:pPr>
        <w:pStyle w:val="TextBody"/>
        <w:bidi w:val="0"/>
        <w:spacing w:lineRule="auto" w:line="240" w:before="0" w:after="240"/>
        <w:ind w:left="0" w:right="0" w:firstLine="720"/>
        <w:jc w:val="both"/>
        <w:rPr/>
      </w:pPr>
      <w:r>
        <w:rPr>
          <w:rFonts w:ascii="Times New Roman;sans-serif" w:hAnsi="Times New Roman;sans-serif"/>
          <w:b/>
          <w:color w:val="000000"/>
          <w:sz w:val="24"/>
        </w:rPr>
        <w:t>8.1.</w:t>
      </w:r>
      <w:r>
        <w:rPr>
          <w:rFonts w:ascii="Times New Roman;sans-serif" w:hAnsi="Times New Roman;sans-serif"/>
          <w:b/>
          <w:color w:val="000000"/>
          <w:sz w:val="24"/>
          <w:u w:val="single"/>
        </w:rPr>
        <w:t>Disability Benefit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Upon a Participant’s Disability, the Participant shall receive a Disability Benefit, which shall be equal to the Participant’s vested Account Balance, calculated as of the close of business coincident with or first following the date of the Participant’s Disability.</w:t>
      </w:r>
    </w:p>
    <w:p>
      <w:pPr>
        <w:pStyle w:val="TextBody"/>
        <w:bidi w:val="0"/>
        <w:spacing w:lineRule="auto" w:line="240" w:before="0" w:after="240"/>
        <w:ind w:left="0" w:right="0" w:firstLine="720"/>
        <w:jc w:val="both"/>
        <w:rPr/>
      </w:pPr>
      <w:r>
        <w:rPr>
          <w:rFonts w:ascii="Times New Roman;sans-serif" w:hAnsi="Times New Roman;sans-serif"/>
          <w:b/>
          <w:color w:val="000000"/>
          <w:sz w:val="24"/>
        </w:rPr>
        <w:t>8.2.</w:t>
      </w:r>
      <w:r>
        <w:rPr>
          <w:rFonts w:ascii="Times New Roman;sans-serif" w:hAnsi="Times New Roman;sans-serif"/>
          <w:b/>
          <w:color w:val="000000"/>
          <w:sz w:val="24"/>
          <w:u w:val="single"/>
        </w:rPr>
        <w:t>Payment of Disability Benefit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Disability Benefit shall be paid to the Participant in a single lump sum payment no later than sixty (60) days after the date of the Participant’s Disability.</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IX</w:t>
      </w:r>
      <w:r>
        <w:rPr>
          <w:rFonts w:ascii="Times New Roman;sans-serif" w:hAnsi="Times New Roman;sans-serif"/>
          <w:b/>
          <w:color w:val="000000"/>
          <w:sz w:val="24"/>
        </w:rPr>
        <w:br/>
        <w:t>DEATH BENEFIT</w:t>
      </w:r>
    </w:p>
    <w:p>
      <w:pPr>
        <w:pStyle w:val="TextBody"/>
        <w:bidi w:val="0"/>
        <w:spacing w:lineRule="auto" w:line="240" w:before="0" w:after="240"/>
        <w:ind w:left="0" w:right="0" w:firstLine="720"/>
        <w:jc w:val="both"/>
        <w:rPr/>
      </w:pPr>
      <w:r>
        <w:rPr>
          <w:rFonts w:ascii="Times New Roman;sans-serif" w:hAnsi="Times New Roman;sans-serif"/>
          <w:b/>
          <w:color w:val="000000"/>
          <w:sz w:val="24"/>
        </w:rPr>
        <w:t>9.1.</w:t>
      </w:r>
      <w:r>
        <w:rPr>
          <w:rFonts w:ascii="Times New Roman;sans-serif" w:hAnsi="Times New Roman;sans-serif"/>
          <w:b/>
          <w:color w:val="000000"/>
          <w:sz w:val="24"/>
          <w:u w:val="single"/>
        </w:rPr>
        <w:t>Death Benefit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Participant’s Beneficiary(ies) shall receive a Death Benefit upon the Participant’s death which will be equal to the Participant’s vested Account Balance, calculated as of the close of business coincident with or first following the Participant’s date of death.</w:t>
      </w:r>
    </w:p>
    <w:p>
      <w:pPr>
        <w:pStyle w:val="TextBody"/>
        <w:bidi w:val="0"/>
        <w:spacing w:lineRule="auto" w:line="240" w:before="0" w:after="240"/>
        <w:ind w:left="0" w:right="0" w:firstLine="720"/>
        <w:jc w:val="both"/>
        <w:rPr/>
      </w:pPr>
      <w:r>
        <w:rPr>
          <w:rFonts w:ascii="Times New Roman;sans-serif" w:hAnsi="Times New Roman;sans-serif"/>
          <w:b/>
          <w:color w:val="000000"/>
          <w:sz w:val="24"/>
        </w:rPr>
        <w:t>9.2.</w:t>
      </w:r>
      <w:r>
        <w:rPr>
          <w:rFonts w:ascii="Times New Roman;sans-serif" w:hAnsi="Times New Roman;sans-serif"/>
          <w:b/>
          <w:color w:val="000000"/>
          <w:sz w:val="24"/>
          <w:u w:val="single"/>
        </w:rPr>
        <w:t>Payment of Death Benefit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Death Benefit shall be paid to the Participant’s Beneficiary(ies) in a single lump sum payment no later than sixty (60) days after the date of the Participant’s death.</w:t>
      </w:r>
    </w:p>
    <w:p>
      <w:pPr>
        <w:pStyle w:val="TextBody"/>
        <w:bidi w:val="0"/>
        <w:spacing w:lineRule="auto" w:line="240" w:before="0" w:after="240"/>
        <w:jc w:val="center"/>
        <w:rPr/>
      </w:pPr>
      <w:r>
        <w:rPr>
          <w:rFonts w:ascii="Times New Roman;sans-serif" w:hAnsi="Times New Roman;sans-serif"/>
          <w:b/>
          <w:color w:val="000000"/>
          <w:sz w:val="24"/>
        </w:rPr>
        <w:t>ARTICLE X</w:t>
      </w:r>
      <w:r>
        <w:rPr>
          <w:rFonts w:ascii="Times New Roman;sans-serif" w:hAnsi="Times New Roman;sans-serif"/>
          <w:b/>
          <w:color w:val="000000"/>
          <w:sz w:val="24"/>
        </w:rPr>
        <w:br/>
        <w:t>USE PLAN ACCOUNTS</w:t>
      </w:r>
    </w:p>
    <w:p>
      <w:pPr>
        <w:pStyle w:val="TextBody"/>
        <w:bidi w:val="0"/>
        <w:spacing w:lineRule="auto" w:line="240" w:before="0" w:after="240"/>
        <w:ind w:left="0" w:right="0" w:firstLine="720"/>
        <w:jc w:val="both"/>
        <w:rPr/>
      </w:pPr>
      <w:r>
        <w:rPr>
          <w:rFonts w:ascii="Times New Roman;sans-serif" w:hAnsi="Times New Roman;sans-serif"/>
          <w:b/>
          <w:color w:val="000000"/>
          <w:sz w:val="24"/>
        </w:rPr>
        <w:t>10.1.</w:t>
      </w:r>
      <w:r>
        <w:rPr>
          <w:rFonts w:ascii="Times New Roman;sans-serif" w:hAnsi="Times New Roman;sans-serif"/>
          <w:b/>
          <w:color w:val="000000"/>
          <w:sz w:val="24"/>
          <w:u w:val="single"/>
        </w:rPr>
        <w:t>Distributions from USE Plan Accounts</w:t>
      </w:r>
      <w:r>
        <w:rPr>
          <w:rFonts w:ascii="Times New Roman;sans-serif" w:hAnsi="Times New Roman;sans-serif"/>
          <w:b w:val="false"/>
          <w:color w:val="000000"/>
          <w:sz w:val="24"/>
        </w:rPr>
        <w:t>. Notwithstanding any provision of this Plan to the contrary, and except with respect to Sections 4.2 and 4.4, any amounts attributable to a Participant’s account under the USE Plan shall be paid in accordance with the terms of the USE Plan as in effect on December 31, 2022.</w:t>
      </w:r>
    </w:p>
    <w:p>
      <w:pPr>
        <w:pStyle w:val="TextBody"/>
        <w:bidi w:val="0"/>
        <w:spacing w:lineRule="auto" w:line="240" w:before="0" w:after="240"/>
        <w:jc w:val="center"/>
        <w:rPr/>
      </w:pPr>
      <w:r>
        <w:rPr>
          <w:rFonts w:ascii="Times New Roman;sans-serif" w:hAnsi="Times New Roman;sans-serif"/>
          <w:b/>
          <w:color w:val="000000"/>
          <w:sz w:val="24"/>
        </w:rPr>
        <w:t>ARTICLE XI</w:t>
      </w:r>
      <w:r>
        <w:rPr>
          <w:rFonts w:ascii="Times New Roman;sans-serif" w:hAnsi="Times New Roman;sans-serif"/>
          <w:b/>
          <w:color w:val="000000"/>
          <w:sz w:val="24"/>
        </w:rPr>
        <w:br/>
        <w:t>BENEFICIARY DESIGNATION</w:t>
      </w:r>
    </w:p>
    <w:p>
      <w:pPr>
        <w:pStyle w:val="TextBody"/>
        <w:bidi w:val="0"/>
        <w:spacing w:lineRule="auto" w:line="240" w:before="0" w:after="240"/>
        <w:ind w:left="0" w:right="0" w:firstLine="720"/>
        <w:jc w:val="both"/>
        <w:rPr/>
      </w:pPr>
      <w:r>
        <w:rPr>
          <w:rFonts w:ascii="Times New Roman;sans-serif" w:hAnsi="Times New Roman;sans-serif"/>
          <w:b/>
          <w:color w:val="000000"/>
          <w:sz w:val="24"/>
        </w:rPr>
        <w:t>11.1.</w:t>
      </w:r>
      <w:r>
        <w:rPr>
          <w:rFonts w:ascii="Times New Roman;sans-serif" w:hAnsi="Times New Roman;sans-serif"/>
          <w:b/>
          <w:color w:val="000000"/>
          <w:sz w:val="24"/>
          <w:u w:val="single"/>
        </w:rPr>
        <w:t>Beneficiary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Each Participant shall have the right, at any time, to designate his or her Beneficiary(ies) (both primary as well as contingent) to receive any benefits payable under the Plan upon the death of the Participant. The Beneficiary designated under this Plan may be the same as or different from the Beneficiary designation under any other plan of an Employer in which the Participant participates.</w:t>
      </w:r>
    </w:p>
    <w:p>
      <w:pPr>
        <w:pStyle w:val="TextBody"/>
        <w:bidi w:val="0"/>
        <w:spacing w:lineRule="auto" w:line="240" w:before="0" w:after="240"/>
        <w:ind w:left="0" w:right="0" w:firstLine="720"/>
        <w:jc w:val="both"/>
        <w:rPr/>
      </w:pPr>
      <w:r>
        <w:rPr>
          <w:rFonts w:ascii="Times New Roman;sans-serif" w:hAnsi="Times New Roman;sans-serif"/>
          <w:b/>
          <w:color w:val="000000"/>
          <w:sz w:val="24"/>
        </w:rPr>
        <w:t>11.2.</w:t>
      </w:r>
      <w:r>
        <w:rPr>
          <w:rFonts w:ascii="Times New Roman;sans-serif" w:hAnsi="Times New Roman;sans-serif"/>
          <w:b/>
          <w:color w:val="000000"/>
          <w:sz w:val="24"/>
          <w:u w:val="single"/>
        </w:rPr>
        <w:t>Beneficiary Designation; Change; Spousal Consent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shall designate his or her Beneficiary by completing and signing the Beneficiary Designation Form, and returning it to the Committee or its designated agent. A Participant shall have the right to change a Beneficiary by completing, signing and otherwise complying with the terms of the Beneficiary Designation Form and the Committee’s rules and procedures, as in effect from time to time. If the Participant names someone other than his or her spouse as a Beneficiary, the Committee may, in its sole discretion, determine that spousal consent is required to be provided in a form designated by the Committee, executed by such Participant’s spouse and returned to the Committee. Upon the acceptance by the Committee of a new Beneficiary Designation Form, all Beneficiary designations previously filed shall be canceled. The Committee shall be entitled to rely on the last Beneficiary Designation Form filed by the Participant and accepted by the Committee prior to his or her death.</w:t>
      </w:r>
    </w:p>
    <w:p>
      <w:pPr>
        <w:pStyle w:val="TextBody"/>
        <w:bidi w:val="0"/>
        <w:spacing w:lineRule="auto" w:line="240" w:before="0" w:after="240"/>
        <w:ind w:left="0" w:right="0" w:firstLine="720"/>
        <w:jc w:val="both"/>
        <w:rPr/>
      </w:pPr>
      <w:r>
        <w:rPr>
          <w:rFonts w:ascii="Times New Roman;sans-serif" w:hAnsi="Times New Roman;sans-serif"/>
          <w:b/>
          <w:color w:val="000000"/>
          <w:sz w:val="24"/>
        </w:rPr>
        <w:t>11.3.</w:t>
      </w:r>
      <w:r>
        <w:rPr>
          <w:rFonts w:ascii="Times New Roman;sans-serif" w:hAnsi="Times New Roman;sans-serif"/>
          <w:b/>
          <w:color w:val="000000"/>
          <w:sz w:val="24"/>
          <w:u w:val="single"/>
        </w:rPr>
        <w:t>Acknowledgment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 designation or change in designation of a Beneficiary shall be effective until received and acknowledged in writing by the Committee or its designated agent.</w:t>
      </w:r>
    </w:p>
    <w:p>
      <w:pPr>
        <w:pStyle w:val="TextBody"/>
        <w:bidi w:val="0"/>
        <w:spacing w:lineRule="auto" w:line="240" w:before="0" w:after="240"/>
        <w:ind w:left="0" w:right="0" w:firstLine="720"/>
        <w:jc w:val="both"/>
        <w:rPr/>
      </w:pPr>
      <w:r>
        <w:rPr>
          <w:rFonts w:ascii="Times New Roman;sans-serif" w:hAnsi="Times New Roman;sans-serif"/>
          <w:b/>
          <w:color w:val="000000"/>
          <w:sz w:val="24"/>
        </w:rPr>
        <w:t>11.4.</w:t>
      </w:r>
      <w:r>
        <w:rPr>
          <w:rFonts w:ascii="Times New Roman;sans-serif" w:hAnsi="Times New Roman;sans-serif"/>
          <w:b/>
          <w:color w:val="000000"/>
          <w:sz w:val="24"/>
          <w:u w:val="single"/>
        </w:rPr>
        <w:t>No Beneficiary Designation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 Participant fails to designate a Beneficiary in accordance with this Article XI or if all designated Beneficiaries predecease the Participant or die prior to complete distribution of the Participant’s benefits, then the Participant’s designated Beneficiary shall be deemed to be his or her surviving spouse. If the Participant has no surviving spouse, the benefits remaining under this Plan to be paid to a Beneficiary shall be payable to the executor or personal representative of the Participant’s estate.</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11.5.</w:t>
      </w:r>
      <w:r>
        <w:rPr>
          <w:rFonts w:ascii="Times New Roman;sans-serif" w:hAnsi="Times New Roman;sans-serif"/>
          <w:b/>
          <w:color w:val="000000"/>
          <w:sz w:val="24"/>
          <w:u w:val="single"/>
        </w:rPr>
        <w:t>Doubt as to Beneficiary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the Committee has any doubt as to the proper Beneficiary to receive payments pursuant to this Plan, the Committee shall have the right, exercisable in its discretion, to cause the Company to withhold such payments until this matter is resolved to the Committee’s satisfaction.</w:t>
      </w:r>
    </w:p>
    <w:p>
      <w:pPr>
        <w:pStyle w:val="TextBody"/>
        <w:bidi w:val="0"/>
        <w:spacing w:lineRule="auto" w:line="240" w:before="0" w:after="240"/>
        <w:jc w:val="center"/>
        <w:rPr/>
      </w:pPr>
      <w:r>
        <w:rPr>
          <w:rFonts w:ascii="Times New Roman;sans-serif" w:hAnsi="Times New Roman;sans-serif"/>
          <w:b/>
          <w:color w:val="000000"/>
          <w:sz w:val="24"/>
        </w:rPr>
        <w:t>ARTICLE XII</w:t>
      </w:r>
      <w:r>
        <w:rPr>
          <w:rFonts w:ascii="Times New Roman;sans-serif" w:hAnsi="Times New Roman;sans-serif"/>
          <w:b/>
          <w:color w:val="000000"/>
          <w:sz w:val="24"/>
        </w:rPr>
        <w:br/>
        <w:t>LEAVE OF ABSENCE</w:t>
      </w:r>
    </w:p>
    <w:p>
      <w:pPr>
        <w:pStyle w:val="TextBody"/>
        <w:bidi w:val="0"/>
        <w:spacing w:lineRule="auto" w:line="240" w:before="0" w:after="240"/>
        <w:ind w:left="0" w:right="0" w:firstLine="720"/>
        <w:jc w:val="both"/>
        <w:rPr/>
      </w:pPr>
      <w:r>
        <w:rPr>
          <w:rFonts w:ascii="Times New Roman;sans-serif" w:hAnsi="Times New Roman;sans-serif"/>
          <w:b/>
          <w:color w:val="000000"/>
          <w:sz w:val="24"/>
        </w:rPr>
        <w:t>12.1.</w:t>
      </w:r>
      <w:r>
        <w:rPr>
          <w:rFonts w:ascii="Times New Roman;sans-serif" w:hAnsi="Times New Roman;sans-serif"/>
          <w:b/>
          <w:color w:val="000000"/>
          <w:sz w:val="24"/>
          <w:u w:val="single"/>
        </w:rPr>
        <w:t>Paid Leave of Absence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 Participant is authorized by the Participant’s Employer to take a paid leave of absence from the employment of the Employer, and such leave of absence does not constitute a Separation from Service, as determined by the Committee, (i) the Participant shall continue to be considered eligible for the benefits provided in Articles IV, V, VI, VII, VIII, or IX in accordance with the provisions of those Articles, and (ii) the Annual Deferral Amount shall continue to be withheld during such paid leave of absence in accordance with Section 3.3.</w:t>
      </w:r>
    </w:p>
    <w:p>
      <w:pPr>
        <w:pStyle w:val="TextBody"/>
        <w:bidi w:val="0"/>
        <w:spacing w:lineRule="auto" w:line="240" w:before="0" w:after="240"/>
        <w:ind w:left="0" w:right="0" w:firstLine="720"/>
        <w:jc w:val="both"/>
        <w:rPr/>
      </w:pPr>
      <w:r>
        <w:rPr>
          <w:rFonts w:ascii="Times New Roman;sans-serif" w:hAnsi="Times New Roman;sans-serif"/>
          <w:b/>
          <w:color w:val="000000"/>
          <w:sz w:val="24"/>
        </w:rPr>
        <w:t>12.2.</w:t>
      </w:r>
      <w:r>
        <w:rPr>
          <w:rFonts w:ascii="Times New Roman;sans-serif" w:hAnsi="Times New Roman;sans-serif"/>
          <w:b/>
          <w:color w:val="000000"/>
          <w:sz w:val="24"/>
          <w:u w:val="single"/>
        </w:rPr>
        <w:t>Unpaid Leave of Absence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 Participant is on unpaid leave of absence from the employment of the Employer for any reason, and such leave of absence does not constitute a Separation from Service as determined by the Committee, such Participant shall continue to be eligible for the benefits provided in Articles IV, V, VI, VII, VIII, or IX in accordance with the provisions of those Articles. The Annual Deferral Amount for the Plan Year of his or her return shall remain in effect.</w:t>
      </w:r>
    </w:p>
    <w:p>
      <w:pPr>
        <w:pStyle w:val="TextBody"/>
        <w:bidi w:val="0"/>
        <w:spacing w:lineRule="auto" w:line="240" w:before="0" w:after="240"/>
        <w:ind w:left="0" w:right="0" w:firstLine="720"/>
        <w:jc w:val="both"/>
        <w:rPr/>
      </w:pPr>
      <w:r>
        <w:rPr>
          <w:rFonts w:ascii="Times New Roman;sans-serif" w:hAnsi="Times New Roman;sans-serif"/>
          <w:b/>
          <w:color w:val="000000"/>
          <w:sz w:val="24"/>
        </w:rPr>
        <w:t>12.3.</w:t>
      </w:r>
      <w:r>
        <w:rPr>
          <w:rFonts w:ascii="Times New Roman;sans-serif" w:hAnsi="Times New Roman;sans-serif"/>
          <w:b/>
          <w:color w:val="000000"/>
          <w:sz w:val="24"/>
          <w:u w:val="single"/>
        </w:rPr>
        <w:t>Leaves Resulting in Separation from Service</w:t>
      </w:r>
      <w:r>
        <w:rPr>
          <w:rFonts w:ascii="Times New Roman;sans-serif" w:hAnsi="Times New Roman;sans-serif"/>
          <w:b/>
          <w:color w:val="000000"/>
          <w:sz w:val="24"/>
        </w:rPr>
        <w:t xml:space="preserve">. </w:t>
      </w:r>
      <w:r>
        <w:rPr>
          <w:rFonts w:ascii="Times New Roman;sans-serif" w:hAnsi="Times New Roman;sans-serif"/>
          <w:b w:val="false"/>
          <w:color w:val="000000"/>
          <w:sz w:val="24"/>
        </w:rPr>
        <w:t>In the event that a Participant’s leave of absence from his or her Employer constitutes a Separation from Service, as determined by the Committee, the Participant’s vested Account Balance shall be distributed to the Participant in accordance with Article VI or VII of this Plan, as applicable.</w:t>
      </w:r>
    </w:p>
    <w:p>
      <w:pPr>
        <w:pStyle w:val="TextBody"/>
        <w:bidi w:val="0"/>
        <w:spacing w:lineRule="auto" w:line="240" w:before="0" w:after="240"/>
        <w:jc w:val="center"/>
        <w:rPr/>
      </w:pPr>
      <w:r>
        <w:rPr>
          <w:rFonts w:ascii="Times New Roman;sans-serif" w:hAnsi="Times New Roman;sans-serif"/>
          <w:b/>
          <w:color w:val="000000"/>
          <w:sz w:val="24"/>
        </w:rPr>
        <w:t>ARTICLE XIII</w:t>
      </w:r>
      <w:r>
        <w:rPr>
          <w:rFonts w:ascii="Times New Roman;sans-serif" w:hAnsi="Times New Roman;sans-serif"/>
          <w:b/>
          <w:color w:val="000000"/>
          <w:sz w:val="24"/>
        </w:rPr>
        <w:br/>
        <w:t>AMENDMENT AND TERMINATION</w:t>
      </w:r>
    </w:p>
    <w:p>
      <w:pPr>
        <w:pStyle w:val="TextBody"/>
        <w:bidi w:val="0"/>
        <w:spacing w:lineRule="auto" w:line="240" w:before="0" w:after="240"/>
        <w:ind w:left="0" w:right="0" w:firstLine="720"/>
        <w:jc w:val="both"/>
        <w:rPr/>
      </w:pPr>
      <w:r>
        <w:rPr>
          <w:rFonts w:ascii="Times New Roman;sans-serif" w:hAnsi="Times New Roman;sans-serif"/>
          <w:b/>
          <w:color w:val="000000"/>
          <w:sz w:val="24"/>
        </w:rPr>
        <w:t>13.1.</w:t>
      </w:r>
      <w:r>
        <w:rPr>
          <w:rFonts w:ascii="Times New Roman;sans-serif" w:hAnsi="Times New Roman;sans-serif"/>
          <w:b/>
          <w:color w:val="000000"/>
          <w:sz w:val="24"/>
          <w:u w:val="single"/>
        </w:rPr>
        <w:t>Termination of Plan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Although the Company anticipates that it will continue the Plan for an indefinite period of time, the Company reserves the right to Terminate the Plan. In the event the Company Terminates the Plan, the Measurement Funds available to Participants following the Termination of the Plan shall be comparable in number and type to those Measurement Funds available to Participants in the Plan Year preceding the Plan Year in which the Termination of the Plan is effective. Following a Termination of the Plan, Participant Account Balances shall remain in the Plan until the Participant becomes eligible for the benefits provided in Articles IV, V, VI, VII, VIII, or IX in accordance with the provisions of those Articles. The Termination of the Plan shall not adversely affect any Participant or Beneficiary who has become entitled to the payment of any benefits under the Plan as of the date of termination. Notwithstanding the foregoing, the Company may terminate and liquidate the Plan in accordance with Treasury Regulation Section 1.409A-3(j)(4)(ix).</w:t>
      </w:r>
    </w:p>
    <w:p>
      <w:pPr>
        <w:pStyle w:val="TextBody"/>
        <w:bidi w:val="0"/>
        <w:spacing w:lineRule="auto" w:line="240" w:before="0" w:after="240"/>
        <w:ind w:left="0" w:right="0" w:firstLine="720"/>
        <w:jc w:val="both"/>
        <w:rPr/>
      </w:pPr>
      <w:r>
        <w:rPr>
          <w:rFonts w:ascii="Times New Roman;sans-serif" w:hAnsi="Times New Roman;sans-serif"/>
          <w:b/>
          <w:color w:val="000000"/>
          <w:sz w:val="24"/>
        </w:rPr>
        <w:t>13.2.</w:t>
      </w:r>
      <w:r>
        <w:rPr>
          <w:rFonts w:ascii="Times New Roman;sans-serif" w:hAnsi="Times New Roman;sans-serif"/>
          <w:b/>
          <w:color w:val="000000"/>
          <w:sz w:val="24"/>
          <w:u w:val="single"/>
        </w:rPr>
        <w:t>Amendment</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may, at any time, amend or modify the Plan in whole or in part. Notwithstanding the foregoing, no amendment or modification shall be effective to decrease the value of a Participant’s Account Balance in existence at the time the amendment or modification is made.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An Employer may cease to be a participating Employer in the Plan at any time. In the event that an Employer ceases to be a participating Employer, Participant Account Balances for Participants of such Employer shall remain in the Plan until the Participant becomes </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eligible for the benefits provided in Articles IV, V, VI, VII, VIII, or IX in accordance with the provisions of those Articles. The cessation of an Employer’s status as a participating Employer shall not adversely affect any Participant or Beneficiary who has become entitled to the payment of any benefits under the Plan as of the date of termination. Notwithstanding the foregoing, the Company may terminate and liquidate the Plan in accordance with Treasury Regulation Section 1.409A-3(j)(4)(ix).</w:t>
      </w:r>
    </w:p>
    <w:p>
      <w:pPr>
        <w:pStyle w:val="TextBody"/>
        <w:bidi w:val="0"/>
        <w:spacing w:lineRule="auto" w:line="240" w:before="0" w:after="240"/>
        <w:ind w:left="0" w:right="0" w:firstLine="720"/>
        <w:jc w:val="both"/>
        <w:rPr/>
      </w:pPr>
      <w:r>
        <w:rPr>
          <w:rFonts w:ascii="Times New Roman;sans-serif" w:hAnsi="Times New Roman;sans-serif"/>
          <w:b/>
          <w:color w:val="000000"/>
          <w:sz w:val="24"/>
        </w:rPr>
        <w:t>13.3.</w:t>
      </w:r>
      <w:r>
        <w:rPr>
          <w:rFonts w:ascii="Times New Roman;sans-serif" w:hAnsi="Times New Roman;sans-serif"/>
          <w:b/>
          <w:color w:val="000000"/>
          <w:sz w:val="24"/>
          <w:u w:val="single"/>
        </w:rPr>
        <w:t>Plan Agreement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Despite the provisions of Sections 13.1 and 13.2 above, if a Participant’s Plan Agreement contains benefits or limitations that are not in this Plan document, the Company may only amend or terminate such provisions with the written consent of the Participant.</w:t>
      </w:r>
    </w:p>
    <w:p>
      <w:pPr>
        <w:pStyle w:val="TextBody"/>
        <w:bidi w:val="0"/>
        <w:spacing w:lineRule="auto" w:line="240" w:before="0" w:after="240"/>
        <w:ind w:left="0" w:right="0" w:firstLine="720"/>
        <w:jc w:val="both"/>
        <w:rPr/>
      </w:pPr>
      <w:r>
        <w:rPr>
          <w:rFonts w:ascii="Times New Roman;sans-serif" w:hAnsi="Times New Roman;sans-serif"/>
          <w:b/>
          <w:color w:val="000000"/>
          <w:sz w:val="24"/>
        </w:rPr>
        <w:t>13.4.</w:t>
      </w:r>
      <w:r>
        <w:rPr>
          <w:rFonts w:ascii="Times New Roman;sans-serif" w:hAnsi="Times New Roman;sans-serif"/>
          <w:b/>
          <w:color w:val="000000"/>
          <w:sz w:val="24"/>
          <w:u w:val="single"/>
        </w:rPr>
        <w:t>Effect of Payment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full payment of the Participant’s vested Account Balance under Articles IV, V, VI, VII, VIII, or IX of the Plan shall completely discharge all obligations to a Participant and his or her designated Beneficiaries under this Plan, and the Participant’s Plan Agreement shall terminate.</w:t>
      </w:r>
    </w:p>
    <w:p>
      <w:pPr>
        <w:pStyle w:val="TextBody"/>
        <w:bidi w:val="0"/>
        <w:spacing w:lineRule="auto" w:line="240" w:before="0" w:after="240"/>
        <w:jc w:val="center"/>
        <w:rPr/>
      </w:pPr>
      <w:r>
        <w:rPr>
          <w:rFonts w:ascii="Times New Roman;sans-serif" w:hAnsi="Times New Roman;sans-serif"/>
          <w:b/>
          <w:color w:val="000000"/>
          <w:sz w:val="24"/>
        </w:rPr>
        <w:t>ARTICLE XIV</w:t>
      </w:r>
      <w:r>
        <w:rPr>
          <w:rFonts w:ascii="Times New Roman;sans-serif" w:hAnsi="Times New Roman;sans-serif"/>
          <w:b/>
          <w:color w:val="000000"/>
          <w:sz w:val="24"/>
        </w:rPr>
        <w:br/>
      </w:r>
      <w:r>
        <w:rPr>
          <w:rFonts w:ascii="Times New Roman;sans-serif" w:hAnsi="Times New Roman;sans-serif"/>
          <w:b/>
          <w:color w:val="000000"/>
          <w:sz w:val="24"/>
          <w:u w:val="single"/>
        </w:rPr>
        <w:t>ADMINISTRATION</w:t>
      </w:r>
    </w:p>
    <w:p>
      <w:pPr>
        <w:pStyle w:val="TextBody"/>
        <w:bidi w:val="0"/>
        <w:spacing w:lineRule="auto" w:line="240" w:before="0" w:after="240"/>
        <w:ind w:left="0" w:right="0" w:firstLine="720"/>
        <w:jc w:val="both"/>
        <w:rPr/>
      </w:pPr>
      <w:r>
        <w:rPr>
          <w:rFonts w:ascii="Times New Roman;sans-serif" w:hAnsi="Times New Roman;sans-serif"/>
          <w:b/>
          <w:color w:val="000000"/>
          <w:sz w:val="24"/>
        </w:rPr>
        <w:t>14.1.</w:t>
      </w:r>
      <w:r>
        <w:rPr>
          <w:rFonts w:ascii="Times New Roman;sans-serif" w:hAnsi="Times New Roman;sans-serif"/>
          <w:b/>
          <w:color w:val="000000"/>
          <w:sz w:val="24"/>
          <w:u w:val="single"/>
        </w:rPr>
        <w:t>Committee Duties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Except as otherwise provided in this Article 14, this Plan shall be administered by the Committee. Members of the Committee may be Participants under this Plan. The Committee shall also have the discretion and authority to (i) make, amend, interpret, and enforce all appropriate rules and regulations for the administration of this Plan, and (ii) decide or resolve any and all questions, including benefit entitlement determinations and interpretations of this Plan, as may arise in connection with this Plan. Any individual serving on the Committee who is a Participant shall not vote or act on any matter relating solely to himself or herself. When making a determination or calculation, the Committee shall be entitled to rely on information furnished by a Participant or an Employer.</w:t>
      </w:r>
    </w:p>
    <w:p>
      <w:pPr>
        <w:pStyle w:val="TextBody"/>
        <w:bidi w:val="0"/>
        <w:spacing w:lineRule="auto" w:line="240" w:before="0" w:after="240"/>
        <w:ind w:left="0" w:right="0" w:firstLine="720"/>
        <w:jc w:val="both"/>
        <w:rPr/>
      </w:pPr>
      <w:r>
        <w:rPr>
          <w:rFonts w:ascii="Times New Roman;sans-serif" w:hAnsi="Times New Roman;sans-serif"/>
          <w:b/>
          <w:color w:val="000000"/>
          <w:sz w:val="24"/>
        </w:rPr>
        <w:t>14.2.</w:t>
      </w:r>
      <w:r>
        <w:rPr>
          <w:rFonts w:ascii="Times New Roman;sans-serif" w:hAnsi="Times New Roman;sans-serif"/>
          <w:b/>
          <w:color w:val="000000"/>
          <w:sz w:val="24"/>
          <w:u w:val="single"/>
        </w:rPr>
        <w:t>Administration Upon Change In Control</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Within one hundred and twenty (120) days following a Change in Control, the individuals who comprised the Committee immediately prior to the Change in Control (whether or not such individuals are members of the Committee following the Change in Control) may, by written consent of the majority of such individuals, appoint an independent third party administrator (the “Administrator”) to perform any or all of the Committee’s duties described in Section 14.1 above, including without limitation, the power to determine any questions arising in connection with the administration or interpretation of the Plan, and the power to make benefit entitlement determinations. Upon and after the effective date of such appointment, (i) the Company must pay all reasonable administrative expenses and fees of the Administrator, and (ii) the Administrator may only be terminated with the written consent of the majority of Participants with an Account Balance in the Plan as of the date of such proposed termination.</w:t>
      </w:r>
    </w:p>
    <w:p>
      <w:pPr>
        <w:pStyle w:val="TextBody"/>
        <w:bidi w:val="0"/>
        <w:spacing w:lineRule="auto" w:line="240" w:before="0" w:after="240"/>
        <w:ind w:left="0" w:right="0" w:firstLine="720"/>
        <w:jc w:val="both"/>
        <w:rPr/>
      </w:pPr>
      <w:r>
        <w:rPr>
          <w:rFonts w:ascii="Times New Roman;sans-serif" w:hAnsi="Times New Roman;sans-serif"/>
          <w:b/>
          <w:color w:val="000000"/>
          <w:sz w:val="24"/>
        </w:rPr>
        <w:t>14.3.</w:t>
      </w:r>
      <w:r>
        <w:rPr>
          <w:rFonts w:ascii="Times New Roman;sans-serif" w:hAnsi="Times New Roman;sans-serif"/>
          <w:b/>
          <w:color w:val="000000"/>
          <w:sz w:val="24"/>
          <w:u w:val="single"/>
        </w:rPr>
        <w:t>Agents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the administration of this Plan, the Committee, an Employer or the Administrator, as applicable, may, from time to time, employ agents and delegate to them such administrative duties as it sees fit (including acting through a duly appointed representative) and may from time to time consult with counsel.</w:t>
      </w:r>
    </w:p>
    <w:p>
      <w:pPr>
        <w:pStyle w:val="TextBody"/>
        <w:bidi w:val="0"/>
        <w:spacing w:lineRule="auto" w:line="240" w:before="0" w:after="240"/>
        <w:ind w:left="0" w:right="0" w:firstLine="720"/>
        <w:jc w:val="both"/>
        <w:rPr/>
      </w:pPr>
      <w:r>
        <w:rPr>
          <w:rFonts w:ascii="Times New Roman;sans-serif" w:hAnsi="Times New Roman;sans-serif"/>
          <w:b/>
          <w:color w:val="000000"/>
          <w:sz w:val="24"/>
        </w:rPr>
        <w:t>14.4.</w:t>
      </w:r>
      <w:r>
        <w:rPr>
          <w:rFonts w:ascii="Times New Roman;sans-serif" w:hAnsi="Times New Roman;sans-serif"/>
          <w:b/>
          <w:color w:val="000000"/>
          <w:sz w:val="24"/>
          <w:u w:val="single"/>
        </w:rPr>
        <w:t>Binding Effect of Decisions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decision or action of the Committee or Administrator, as applicable, with respect to any question arising out of or in connection with the administration, interpretation and application of the Plan and the rules and regulations promulgated hereunder shall be final and conclusive and binding upon all persons having any interest in the Plan.</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14.5.</w:t>
      </w:r>
      <w:r>
        <w:rPr>
          <w:rFonts w:ascii="Times New Roman;sans-serif" w:hAnsi="Times New Roman;sans-serif"/>
          <w:b/>
          <w:color w:val="000000"/>
          <w:sz w:val="24"/>
          <w:u w:val="single"/>
        </w:rPr>
        <w:t>Indemnity of Committee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All Employers shall indemnify and hold harmless the members of the Committee, any Employee to whom the duties of the Committee may be delegated, and the Administrator against any and all claims, losses, damages, expenses or liabilities arising from any action or failure to act with respect to this Plan, except in the case of willful misconduct by the Committee, any of its members, any such Employee or the Administrator.</w:t>
      </w:r>
    </w:p>
    <w:p>
      <w:pPr>
        <w:pStyle w:val="TextBody"/>
        <w:bidi w:val="0"/>
        <w:spacing w:lineRule="auto" w:line="240" w:before="0" w:after="240"/>
        <w:ind w:left="0" w:right="0" w:firstLine="720"/>
        <w:jc w:val="both"/>
        <w:rPr/>
      </w:pPr>
      <w:r>
        <w:rPr>
          <w:rFonts w:ascii="Times New Roman;sans-serif" w:hAnsi="Times New Roman;sans-serif"/>
          <w:b/>
          <w:color w:val="000000"/>
          <w:sz w:val="24"/>
        </w:rPr>
        <w:t>14.6.</w:t>
      </w:r>
      <w:r>
        <w:rPr>
          <w:rFonts w:ascii="Times New Roman;sans-serif" w:hAnsi="Times New Roman;sans-serif"/>
          <w:b/>
          <w:color w:val="000000"/>
          <w:sz w:val="24"/>
          <w:u w:val="single"/>
        </w:rPr>
        <w:t>Employer Information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To enable the Committee and/or Administrator to perform its functions, the Company and each Employer shall supply full and timely information to the Committee and/or Administrator, as the case may be, on all matters relating to the Plan, the Trust, the Participants and their Beneficiaries, the Account Balances of the Participants, the compensation of its Participants, the date and circumstances of the Separation of Service of its Participants, and such other pertinent information as the Committee or Administrator may reasonably require.</w:t>
      </w:r>
    </w:p>
    <w:p>
      <w:pPr>
        <w:pStyle w:val="TextBody"/>
        <w:bidi w:val="0"/>
        <w:spacing w:lineRule="auto" w:line="240" w:before="0" w:after="240"/>
        <w:jc w:val="center"/>
        <w:rPr/>
      </w:pPr>
      <w:r>
        <w:rPr>
          <w:rFonts w:ascii="Times New Roman;sans-serif" w:hAnsi="Times New Roman;sans-serif"/>
          <w:b/>
          <w:color w:val="000000"/>
          <w:sz w:val="24"/>
        </w:rPr>
        <w:t>ARTICLE XV</w:t>
      </w:r>
      <w:r>
        <w:rPr>
          <w:rFonts w:ascii="Times New Roman;sans-serif" w:hAnsi="Times New Roman;sans-serif"/>
          <w:b/>
          <w:color w:val="000000"/>
          <w:sz w:val="24"/>
        </w:rPr>
        <w:br/>
        <w:t>CLAIMS PROCEDURES</w:t>
      </w:r>
    </w:p>
    <w:p>
      <w:pPr>
        <w:pStyle w:val="TextBody"/>
        <w:bidi w:val="0"/>
        <w:spacing w:lineRule="auto" w:line="240" w:before="0" w:after="240"/>
        <w:ind w:left="0" w:right="0" w:firstLine="720"/>
        <w:jc w:val="both"/>
        <w:rPr/>
      </w:pPr>
      <w:r>
        <w:rPr>
          <w:rFonts w:ascii="Times New Roman;sans-serif" w:hAnsi="Times New Roman;sans-serif"/>
          <w:b/>
          <w:color w:val="000000"/>
          <w:sz w:val="24"/>
        </w:rPr>
        <w:t>15.1.</w:t>
      </w:r>
      <w:r>
        <w:rPr>
          <w:rFonts w:ascii="Times New Roman;sans-serif" w:hAnsi="Times New Roman;sans-serif"/>
          <w:b/>
          <w:color w:val="000000"/>
          <w:sz w:val="24"/>
          <w:u w:val="single"/>
        </w:rPr>
        <w:t>Presentation of Claim</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Any Participant or Beneficiary of a deceased Participant (such Participant or Beneficiary being referred to below as a “Claimant”) may deliver to the Committee a written claim for a determination with respect to the amounts distributable to such Claimant from the Plan. If such a claim relates to the contents of a notice received by the Claimant, the claim must be made within sixty (60) days after such notice was received by the Claimant. All other claims must be made within 180 days of the date on which the event that caused the claim to arise occurred. The claim must state with particularity the determination desired by the Claimant.</w:t>
      </w:r>
    </w:p>
    <w:p>
      <w:pPr>
        <w:pStyle w:val="TextBody"/>
        <w:bidi w:val="0"/>
        <w:spacing w:lineRule="auto" w:line="240" w:before="0" w:after="240"/>
        <w:ind w:left="0" w:right="0" w:firstLine="720"/>
        <w:jc w:val="both"/>
        <w:rPr/>
      </w:pPr>
      <w:r>
        <w:rPr>
          <w:rFonts w:ascii="Times New Roman;sans-serif" w:hAnsi="Times New Roman;sans-serif"/>
          <w:b/>
          <w:color w:val="000000"/>
          <w:sz w:val="24"/>
        </w:rPr>
        <w:t>15.2.</w:t>
      </w:r>
      <w:r>
        <w:rPr>
          <w:rFonts w:ascii="Times New Roman;sans-serif" w:hAnsi="Times New Roman;sans-serif"/>
          <w:b/>
          <w:color w:val="000000"/>
          <w:sz w:val="24"/>
          <w:u w:val="single"/>
        </w:rPr>
        <w:t>Notification of Decision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Committee shall consider a Claimant’s claim within a reasonable time, but no later than ninety (90) days after receiving the claim. If the Committee determines that special circumstances require an extension of time for processing the claim, written notice of the extension shall be furnished to the Claimant prior to the termination of the initial ninety (90) day period. In no event shall such extension exceed a period of ninety (90) days from the end of the initial period. The extension notice shall indicate the special circumstances requiring an extension of time and the date by which the Committee expects to render the benefit determination. The Committee shall notify the Claimant in writing: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That the Claimant’s requested determination has been made, and that the claim has been allowed in full;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That the Committee has reached a conclusion contrary, in whole or in part, to the Claimant’s requested determination, and such notice must set forth in a manner calculated to be understood by the Claimant: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(i)the specific reason(s) for the denial of the claim, or any part of it;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(ii)specific reference(s) to pertinent provisions of the Plan upon which such denial was based;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(iii)a description of any additional material or information necessary for the Claimant to perfect the claim, and an explanation of why such material or information is necessary;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(iv)an explanation of the claim review procedure set forth in Section 15.3 below; and</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(v)a statement of the Claimant’s right to bring a civil action under ERISA Section 502(a) following an adverse benefit determination on review.</w:t>
      </w:r>
    </w:p>
    <w:p>
      <w:pPr>
        <w:pStyle w:val="TextBody"/>
        <w:bidi w:val="0"/>
        <w:spacing w:lineRule="auto" w:line="240" w:before="0" w:after="240"/>
        <w:ind w:left="0" w:right="0" w:firstLine="720"/>
        <w:jc w:val="both"/>
        <w:rPr/>
      </w:pPr>
      <w:r>
        <w:rPr>
          <w:rFonts w:ascii="Times New Roman;sans-serif" w:hAnsi="Times New Roman;sans-serif"/>
          <w:b/>
          <w:color w:val="000000"/>
          <w:sz w:val="24"/>
        </w:rPr>
        <w:t>15.3.</w:t>
      </w:r>
      <w:r>
        <w:rPr>
          <w:rFonts w:ascii="Times New Roman;sans-serif" w:hAnsi="Times New Roman;sans-serif"/>
          <w:b/>
          <w:color w:val="000000"/>
          <w:sz w:val="24"/>
          <w:u w:val="single"/>
        </w:rPr>
        <w:t>Review of a Denied Claim</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On or before sixty (60) days after receiving a notice from the Committee that a claim has been denied, in whole or in part, a Claimant (or the Claimant’s duly authorized representative) may file with the Committee a written request for a review of the denial of the claim. The Claimant (or the Claimant’s duly authorized representative):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may, upon request and free of charge, have reasonable access to, and copies of, all documents, records and other information relevant (as defined in applicable ERISA regulations) to the claim for benefits;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may submit written comments or other documents; and/or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may request a hearing, which the Committee, in its sole discretion, may grant.</w:t>
      </w:r>
    </w:p>
    <w:p>
      <w:pPr>
        <w:pStyle w:val="TextBody"/>
        <w:bidi w:val="0"/>
        <w:spacing w:lineRule="auto" w:line="240" w:before="0" w:after="240"/>
        <w:ind w:left="0" w:right="0" w:firstLine="720"/>
        <w:jc w:val="both"/>
        <w:rPr/>
      </w:pPr>
      <w:r>
        <w:rPr>
          <w:rFonts w:ascii="Times New Roman;sans-serif" w:hAnsi="Times New Roman;sans-serif"/>
          <w:b/>
          <w:color w:val="000000"/>
          <w:sz w:val="24"/>
        </w:rPr>
        <w:t>15.4.</w:t>
      </w:r>
      <w:r>
        <w:rPr>
          <w:rFonts w:ascii="Times New Roman;sans-serif" w:hAnsi="Times New Roman;sans-serif"/>
          <w:b/>
          <w:color w:val="000000"/>
          <w:sz w:val="24"/>
          <w:u w:val="single"/>
        </w:rPr>
        <w:t>Decision on Review</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Committee shall render its decision on review promptly, and no later than sixty (60) days after the Committee receives the Claimant’s written request for a review of the denial of the claim. If the Committee determines that special circumstances require an extension of time for processing the claim, written notice of the extension shall be furnished to the Claimant prior to the termination of the initial sixty (60) day period. In no event shall such extension exceed a period of sixty (60) days from the end of the initial period. The extension notice shall indicate the special circumstances requiring an extension of time and the date by which the Committee expects to render the benefit determination. In rendering its decision, the Committee shall take into account all comments, documents, records and other information submitted by the Claimant relating to the claim, without regard to whether such information was submitted or considered in the initial benefit determination. The decision must be written in a manner calculated to be understood by the Claimant, and it must contain: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specific reasons for the decision;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specific reference(s) to the pertinent Plan provisions upon which the decision was based;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 statement of the Claimant’s right to bring a civil action under ERISA Section 502(a).</w:t>
      </w:r>
    </w:p>
    <w:p>
      <w:pPr>
        <w:pStyle w:val="TextBody"/>
        <w:bidi w:val="0"/>
        <w:spacing w:lineRule="auto" w:line="240" w:before="0" w:after="240"/>
        <w:ind w:left="0" w:right="0" w:firstLine="720"/>
        <w:jc w:val="both"/>
        <w:rPr/>
      </w:pPr>
      <w:r>
        <w:rPr>
          <w:rFonts w:ascii="Times New Roman;sans-serif" w:hAnsi="Times New Roman;sans-serif"/>
          <w:b/>
          <w:color w:val="000000"/>
          <w:sz w:val="24"/>
        </w:rPr>
        <w:t>15.5.</w:t>
      </w:r>
      <w:r>
        <w:rPr>
          <w:rFonts w:ascii="Times New Roman;sans-serif" w:hAnsi="Times New Roman;sans-serif"/>
          <w:b/>
          <w:color w:val="000000"/>
          <w:sz w:val="24"/>
          <w:u w:val="single"/>
        </w:rPr>
        <w:t>Legal Action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Claimant’s compliance with the foregoing provisions of this Article XV is a mandatory prerequisite to a Claimant’s right to commence any legal action with respect to any claim for benefits under this Plan.</w:t>
      </w:r>
    </w:p>
    <w:p>
      <w:pPr>
        <w:pStyle w:val="TextBody"/>
        <w:bidi w:val="0"/>
        <w:spacing w:lineRule="auto" w:line="240" w:before="0" w:after="240"/>
        <w:jc w:val="center"/>
        <w:rPr/>
      </w:pPr>
      <w:r>
        <w:rPr>
          <w:rFonts w:ascii="Times New Roman;sans-serif" w:hAnsi="Times New Roman;sans-serif"/>
          <w:b/>
          <w:color w:val="000000"/>
          <w:sz w:val="24"/>
        </w:rPr>
        <w:t>ARTICLE XVI</w:t>
      </w:r>
      <w:r>
        <w:rPr>
          <w:rFonts w:ascii="Times New Roman;sans-serif" w:hAnsi="Times New Roman;sans-serif"/>
          <w:b/>
          <w:color w:val="000000"/>
          <w:sz w:val="24"/>
        </w:rPr>
        <w:br/>
        <w:t>TRUST</w:t>
      </w:r>
    </w:p>
    <w:p>
      <w:pPr>
        <w:pStyle w:val="TextBody"/>
        <w:bidi w:val="0"/>
        <w:spacing w:lineRule="auto" w:line="240" w:before="0" w:after="240"/>
        <w:ind w:left="0" w:right="0" w:firstLine="720"/>
        <w:jc w:val="both"/>
        <w:rPr/>
      </w:pPr>
      <w:r>
        <w:rPr>
          <w:rFonts w:ascii="Times New Roman;sans-serif" w:hAnsi="Times New Roman;sans-serif"/>
          <w:b/>
          <w:color w:val="000000"/>
          <w:sz w:val="24"/>
        </w:rPr>
        <w:t>16.1.</w:t>
      </w:r>
      <w:r>
        <w:rPr>
          <w:rFonts w:ascii="Times New Roman;sans-serif" w:hAnsi="Times New Roman;sans-serif"/>
          <w:b/>
          <w:color w:val="000000"/>
          <w:sz w:val="24"/>
          <w:u w:val="single"/>
        </w:rPr>
        <w:t>Establishment of the Trust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In order to provide assets from which to fulfill its obligations to the Participants and their Beneficiaries under the Plan, the Company may establish </w:t>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trust by a trust agreement with a third party, the trustee, to which the Company may, in its discretion, contribute cash or other property, including securities issued by the Company, to provide for the benefit payments under the Plan.</w:t>
      </w:r>
    </w:p>
    <w:p>
      <w:pPr>
        <w:pStyle w:val="TextBody"/>
        <w:bidi w:val="0"/>
        <w:spacing w:lineRule="auto" w:line="240" w:before="0" w:after="240"/>
        <w:ind w:left="0" w:right="0" w:firstLine="720"/>
        <w:jc w:val="both"/>
        <w:rPr/>
      </w:pPr>
      <w:r>
        <w:rPr>
          <w:rFonts w:ascii="Times New Roman;sans-serif" w:hAnsi="Times New Roman;sans-serif"/>
          <w:b/>
          <w:color w:val="000000"/>
          <w:sz w:val="24"/>
        </w:rPr>
        <w:t>16.2.</w:t>
      </w:r>
      <w:r>
        <w:rPr>
          <w:rFonts w:ascii="Times New Roman;sans-serif" w:hAnsi="Times New Roman;sans-serif"/>
          <w:b/>
          <w:color w:val="000000"/>
          <w:sz w:val="24"/>
          <w:u w:val="single"/>
        </w:rPr>
        <w:t>Interrelationship of the Plan and the Trust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provisions of this Plan and the Plan Agreement shall govern the rights of a Participant to receive distributions pursuant to the Plan. The provisions of the Trust shall govern the rights of the Company, Participants and the creditors of the Employers to the assets transferred to the Trust.</w:t>
      </w:r>
    </w:p>
    <w:p>
      <w:pPr>
        <w:pStyle w:val="TextBody"/>
        <w:bidi w:val="0"/>
        <w:spacing w:lineRule="auto" w:line="240" w:before="0" w:after="240"/>
        <w:ind w:left="0" w:right="0" w:firstLine="720"/>
        <w:jc w:val="both"/>
        <w:rPr/>
      </w:pPr>
      <w:r>
        <w:rPr>
          <w:rFonts w:ascii="Times New Roman;sans-serif" w:hAnsi="Times New Roman;sans-serif"/>
          <w:b/>
          <w:color w:val="000000"/>
          <w:sz w:val="24"/>
        </w:rPr>
        <w:t>16.3.</w:t>
      </w:r>
      <w:r>
        <w:rPr>
          <w:rFonts w:ascii="Times New Roman;sans-serif" w:hAnsi="Times New Roman;sans-serif"/>
          <w:b/>
          <w:color w:val="000000"/>
          <w:sz w:val="24"/>
          <w:u w:val="single"/>
        </w:rPr>
        <w:t>Distributions From the Trust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Company’s obligations under the Plan may be satisfied with Trust assets distributed pursuant to the terms of the Trust, and any such distribution shall reduce the Company’s obligations under this Plan.</w:t>
      </w:r>
    </w:p>
    <w:p>
      <w:pPr>
        <w:pStyle w:val="TextBody"/>
        <w:bidi w:val="0"/>
        <w:spacing w:lineRule="auto" w:line="240" w:before="0" w:after="240"/>
        <w:jc w:val="center"/>
        <w:rPr/>
      </w:pPr>
      <w:r>
        <w:rPr>
          <w:rFonts w:ascii="Times New Roman;sans-serif" w:hAnsi="Times New Roman;sans-serif"/>
          <w:b/>
          <w:color w:val="000000"/>
          <w:sz w:val="24"/>
        </w:rPr>
        <w:t>ARTICLE XVII</w:t>
      </w:r>
      <w:r>
        <w:rPr>
          <w:rFonts w:ascii="Times New Roman;sans-serif" w:hAnsi="Times New Roman;sans-serif"/>
          <w:b/>
          <w:color w:val="000000"/>
          <w:sz w:val="24"/>
        </w:rPr>
        <w:br/>
        <w:t>MISCELLANEOUS</w:t>
      </w:r>
    </w:p>
    <w:p>
      <w:pPr>
        <w:pStyle w:val="TextBody"/>
        <w:bidi w:val="0"/>
        <w:spacing w:lineRule="auto" w:line="240" w:before="0" w:after="240"/>
        <w:ind w:left="0" w:right="0" w:firstLine="720"/>
        <w:jc w:val="both"/>
        <w:rPr/>
      </w:pPr>
      <w:r>
        <w:rPr>
          <w:rFonts w:ascii="Times New Roman;sans-serif" w:hAnsi="Times New Roman;sans-serif"/>
          <w:b/>
          <w:color w:val="000000"/>
          <w:sz w:val="24"/>
        </w:rPr>
        <w:t>17.1.</w:t>
      </w:r>
      <w:r>
        <w:rPr>
          <w:rFonts w:ascii="Times New Roman;sans-serif" w:hAnsi="Times New Roman;sans-serif"/>
          <w:b/>
          <w:color w:val="000000"/>
          <w:sz w:val="24"/>
          <w:u w:val="single"/>
        </w:rPr>
        <w:t>Status of Plan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Plan is intended to be a plan that is unfunded and is maintained by an employer primarily for the purpose of providing deferred compensation for a select group of management or highly compensated employees within the meaning of ERISA Sections 201(2), 301(a)(3) and 401(a)(1).</w:t>
      </w:r>
    </w:p>
    <w:p>
      <w:pPr>
        <w:pStyle w:val="TextBody"/>
        <w:bidi w:val="0"/>
        <w:spacing w:lineRule="auto" w:line="240" w:before="0" w:after="240"/>
        <w:ind w:left="0" w:right="0" w:firstLine="720"/>
        <w:jc w:val="both"/>
        <w:rPr/>
      </w:pPr>
      <w:r>
        <w:rPr>
          <w:rFonts w:ascii="Times New Roman;sans-serif" w:hAnsi="Times New Roman;sans-serif"/>
          <w:b/>
          <w:color w:val="000000"/>
          <w:sz w:val="24"/>
        </w:rPr>
        <w:t>17.2.</w:t>
      </w:r>
      <w:r>
        <w:rPr>
          <w:rFonts w:ascii="Times New Roman;sans-serif" w:hAnsi="Times New Roman;sans-serif"/>
          <w:b/>
          <w:color w:val="000000"/>
          <w:sz w:val="24"/>
          <w:u w:val="single"/>
        </w:rPr>
        <w:t>Unsecured General Creditor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Participants and their Beneficiaries, heirs, successors and assigns shall have no legal or equitable rights, interests or claims in any property or assets of the Company or any other Employer. For purposes of the payment of benefits under this Plan, any and all of an Employer’s assets shall be, and remain, the general, unpledged unrestricted assets of the Employer. The Company’s obligation under the Plan shall be merely that of an unfunded and unsecured promise to pay money in the future.</w:t>
      </w:r>
    </w:p>
    <w:p>
      <w:pPr>
        <w:pStyle w:val="TextBody"/>
        <w:bidi w:val="0"/>
        <w:spacing w:lineRule="auto" w:line="240" w:before="0" w:after="240"/>
        <w:ind w:left="0" w:right="0" w:firstLine="720"/>
        <w:jc w:val="both"/>
        <w:rPr/>
      </w:pPr>
      <w:r>
        <w:rPr>
          <w:rFonts w:ascii="Times New Roman;sans-serif" w:hAnsi="Times New Roman;sans-serif"/>
          <w:b/>
          <w:color w:val="000000"/>
          <w:sz w:val="24"/>
        </w:rPr>
        <w:t>17.3.</w:t>
      </w:r>
      <w:r>
        <w:rPr>
          <w:rFonts w:ascii="Times New Roman;sans-serif" w:hAnsi="Times New Roman;sans-serif"/>
          <w:b/>
          <w:color w:val="000000"/>
          <w:sz w:val="24"/>
          <w:u w:val="single"/>
        </w:rPr>
        <w:t>Company’s Liability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Company, and only the Company, shall be obligated to pay the benefits that are attributable to amounts credited to the Participant’s Account. The Company’s liability for the payment of benefits shall be defined only by the Plan and the Plan Agreement, as entered into between the Company and a Participant. The Company shall have no obligation to a Participant under the Plan except as expressly provided in the Plan and his or her Plan Agreement.</w:t>
      </w:r>
    </w:p>
    <w:p>
      <w:pPr>
        <w:pStyle w:val="TextBody"/>
        <w:bidi w:val="0"/>
        <w:spacing w:lineRule="auto" w:line="240" w:before="0" w:after="240"/>
        <w:ind w:left="0" w:right="0" w:firstLine="720"/>
        <w:jc w:val="both"/>
        <w:rPr/>
      </w:pPr>
      <w:r>
        <w:rPr>
          <w:rFonts w:ascii="Times New Roman;sans-serif" w:hAnsi="Times New Roman;sans-serif"/>
          <w:b/>
          <w:color w:val="000000"/>
          <w:sz w:val="24"/>
        </w:rPr>
        <w:t>17.4.</w:t>
      </w:r>
      <w:r>
        <w:rPr>
          <w:rFonts w:ascii="Times New Roman;sans-serif" w:hAnsi="Times New Roman;sans-serif"/>
          <w:b/>
          <w:color w:val="000000"/>
          <w:sz w:val="24"/>
          <w:u w:val="single"/>
        </w:rPr>
        <w:t>Nonassignability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Neither a Participant nor any other person shall have any right to commute, sell, assign, transfer, pledge, 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pStyle w:val="TextBody"/>
        <w:bidi w:val="0"/>
        <w:spacing w:lineRule="auto" w:line="240" w:before="0" w:after="240"/>
        <w:ind w:left="0" w:right="0" w:firstLine="720"/>
        <w:jc w:val="both"/>
        <w:rPr/>
      </w:pPr>
      <w:r>
        <w:rPr>
          <w:rFonts w:ascii="Times New Roman;sans-serif" w:hAnsi="Times New Roman;sans-serif"/>
          <w:b/>
          <w:color w:val="000000"/>
          <w:sz w:val="24"/>
        </w:rPr>
        <w:t>17.5.</w:t>
      </w:r>
      <w:r>
        <w:rPr>
          <w:rFonts w:ascii="Times New Roman;sans-serif" w:hAnsi="Times New Roman;sans-serif"/>
          <w:b/>
          <w:color w:val="000000"/>
          <w:sz w:val="24"/>
          <w:u w:val="single"/>
        </w:rPr>
        <w:t>Not a Contract of Employment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terms and conditions of this Plan shall not be deemed to constitute a contract of employment between any Employer and a Participant. Such employment is hereby acknowledged to be an “at will” employment relationship that can be terminated at any time for any reason, or no reason, with or without cause, and with or without notice, unless expressly provided in a written employment agreement. Nothing in this Plan shall be deemed to give a Participant the right to be retained in the service of any Employer, either as an Employee or a Director, or to interfere with the right of any Employer to discipline or discharge the Participant at any time.</w:t>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17.6.</w:t>
      </w:r>
      <w:r>
        <w:rPr>
          <w:rFonts w:ascii="Times New Roman;sans-serif" w:hAnsi="Times New Roman;sans-serif"/>
          <w:b/>
          <w:color w:val="000000"/>
          <w:sz w:val="24"/>
          <w:u w:val="single"/>
        </w:rPr>
        <w:t>Furnishing Information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Participant or his or her Beneficiary will cooperate with the Committee by furnishing any and all information requested by the Committee and take such other actions as may be requested in order to facilitate the administration of the Plan and the payments of benefits hereunder, including but not limited to taking such physical examinations as the Committee may deem necessary.</w:t>
      </w:r>
    </w:p>
    <w:p>
      <w:pPr>
        <w:pStyle w:val="TextBody"/>
        <w:bidi w:val="0"/>
        <w:spacing w:lineRule="auto" w:line="240" w:before="0" w:after="240"/>
        <w:ind w:left="0" w:right="0" w:firstLine="720"/>
        <w:jc w:val="both"/>
        <w:rPr/>
      </w:pPr>
      <w:r>
        <w:rPr>
          <w:rFonts w:ascii="Times New Roman;sans-serif" w:hAnsi="Times New Roman;sans-serif"/>
          <w:b/>
          <w:color w:val="000000"/>
          <w:sz w:val="24"/>
        </w:rPr>
        <w:t>17.7.</w:t>
      </w:r>
      <w:r>
        <w:rPr>
          <w:rFonts w:ascii="Times New Roman;sans-serif" w:hAnsi="Times New Roman;sans-serif"/>
          <w:b/>
          <w:color w:val="000000"/>
          <w:sz w:val="24"/>
          <w:u w:val="single"/>
        </w:rPr>
        <w:t>Terms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Whenever any words are used herein in the masculine, they shall be construed as though they were in the feminine in all cases where they would so apply; and whenever any words are used herein in the singular or in the plural, they shall be construed as though they were used in the plural or the singular, as the case may be, in all cases where they would so apply.</w:t>
      </w:r>
    </w:p>
    <w:p>
      <w:pPr>
        <w:pStyle w:val="TextBody"/>
        <w:bidi w:val="0"/>
        <w:spacing w:lineRule="auto" w:line="240" w:before="0" w:after="240"/>
        <w:ind w:left="0" w:right="0" w:firstLine="720"/>
        <w:jc w:val="both"/>
        <w:rPr/>
      </w:pPr>
      <w:r>
        <w:rPr>
          <w:rFonts w:ascii="Times New Roman;sans-serif" w:hAnsi="Times New Roman;sans-serif"/>
          <w:b/>
          <w:color w:val="000000"/>
          <w:sz w:val="24"/>
        </w:rPr>
        <w:t>17.8.</w:t>
      </w:r>
      <w:r>
        <w:rPr>
          <w:rFonts w:ascii="Times New Roman;sans-serif" w:hAnsi="Times New Roman;sans-serif"/>
          <w:b/>
          <w:color w:val="000000"/>
          <w:sz w:val="24"/>
          <w:u w:val="single"/>
        </w:rPr>
        <w:t>Captions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captions of the articles, Sections and paragraphs of this Plan are for convenience only and shall not control or affect the meaning or construction of any of its provisions.</w:t>
      </w:r>
    </w:p>
    <w:p>
      <w:pPr>
        <w:pStyle w:val="TextBody"/>
        <w:bidi w:val="0"/>
        <w:spacing w:lineRule="auto" w:line="240" w:before="0" w:after="240"/>
        <w:ind w:left="0" w:right="0" w:firstLine="720"/>
        <w:jc w:val="both"/>
        <w:rPr/>
      </w:pPr>
      <w:r>
        <w:rPr>
          <w:rFonts w:ascii="Times New Roman;sans-serif" w:hAnsi="Times New Roman;sans-serif"/>
          <w:b/>
          <w:color w:val="000000"/>
          <w:sz w:val="24"/>
        </w:rPr>
        <w:t>17.9.</w:t>
      </w:r>
      <w:r>
        <w:rPr>
          <w:rFonts w:ascii="Times New Roman;sans-serif" w:hAnsi="Times New Roman;sans-serif"/>
          <w:b/>
          <w:color w:val="000000"/>
          <w:sz w:val="24"/>
          <w:u w:val="single"/>
        </w:rPr>
        <w:t>Governing Law</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Subject to ERISA, the provisions of this Plan shall be construed and interpreted according to the internal laws of the State of Arizona without regard to its conflicts of laws principles.</w:t>
      </w:r>
    </w:p>
    <w:p>
      <w:pPr>
        <w:pStyle w:val="TextBody"/>
        <w:bidi w:val="0"/>
        <w:spacing w:lineRule="auto" w:line="240" w:before="0" w:after="240"/>
        <w:ind w:left="0" w:right="0" w:firstLine="720"/>
        <w:jc w:val="both"/>
        <w:rPr/>
      </w:pPr>
      <w:r>
        <w:rPr>
          <w:rFonts w:ascii="Times New Roman;sans-serif" w:hAnsi="Times New Roman;sans-serif"/>
          <w:b/>
          <w:color w:val="000000"/>
          <w:sz w:val="24"/>
        </w:rPr>
        <w:t>17.10.</w:t>
      </w:r>
      <w:r>
        <w:rPr>
          <w:rFonts w:ascii="Times New Roman;sans-serif" w:hAnsi="Times New Roman;sans-serif"/>
          <w:b/>
          <w:color w:val="000000"/>
          <w:sz w:val="24"/>
          <w:u w:val="single"/>
        </w:rPr>
        <w:t>Notice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Any notice or filing required or permitted to be given to the Committee under this Plan shall be sufficient if in writing and hand-delivered, or sent by registered or certified mail, to the address below:</w:t>
      </w:r>
    </w:p>
    <w:tbl>
      <w:tblPr>
        <w:tblW w:w="5775" w:type="dxa"/>
        <w:jc w:val="left"/>
        <w:tblInd w:w="0" w:type="dxa"/>
        <w:tblLayout w:type="fixed"/>
        <w:tblCellMar>
          <w:top w:w="28" w:type="dxa"/>
          <w:left w:w="28" w:type="dxa"/>
          <w:bottom w:w="28" w:type="dxa"/>
          <w:right w:w="28" w:type="dxa"/>
        </w:tblCellMar>
      </w:tblPr>
      <w:tblGrid>
        <w:gridCol w:w="1848"/>
        <w:gridCol w:w="1626"/>
        <w:gridCol w:w="2301"/>
      </w:tblGrid>
      <w:tr>
        <w:trPr/>
        <w:tc>
          <w:tcPr>
            <w:tcW w:w="184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Republic Services Deferred Compensation Plan Committee</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 Chief Legal Officer</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18500 North Allied Way</w:t>
            </w:r>
          </w:p>
          <w:p>
            <w:pPr>
              <w:pStyle w:val="TableContents"/>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Phoenix, Arizona 85054</w:t>
            </w:r>
          </w:p>
        </w:tc>
      </w:tr>
    </w:tbl>
    <w:p>
      <w:pPr>
        <w:pStyle w:val="TextBody"/>
        <w:bidi w:val="0"/>
        <w:spacing w:before="0" w:after="120"/>
        <w:jc w:val="both"/>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notice shall be deemed given as of the date of delivery or, if delivery is made by mail, as of the date shown on the postmark on the receipt for registration or certification.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notice or filing required or permitted to be given to a Participant under this Plan shall be sufficient if in writing and hand-delivered, or sent by mail, to the last known address of the Participant.</w:t>
      </w:r>
    </w:p>
    <w:p>
      <w:pPr>
        <w:pStyle w:val="TextBody"/>
        <w:bidi w:val="0"/>
        <w:spacing w:lineRule="auto" w:line="240" w:before="0" w:after="240"/>
        <w:ind w:left="0" w:right="0" w:firstLine="720"/>
        <w:jc w:val="both"/>
        <w:rPr/>
      </w:pPr>
      <w:r>
        <w:rPr>
          <w:rFonts w:ascii="Times New Roman;sans-serif" w:hAnsi="Times New Roman;sans-serif"/>
          <w:b/>
          <w:color w:val="000000"/>
          <w:sz w:val="24"/>
        </w:rPr>
        <w:t>17.11.</w:t>
      </w:r>
      <w:r>
        <w:rPr>
          <w:rFonts w:ascii="Times New Roman;sans-serif" w:hAnsi="Times New Roman;sans-serif"/>
          <w:b/>
          <w:color w:val="000000"/>
          <w:sz w:val="24"/>
          <w:u w:val="single"/>
        </w:rPr>
        <w:t>Successors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provisions of this Plan shall bind and inure to the benefit of the Participant’s Employer and its successors and assigns and the Participant and the Participant’s designated Beneficiaries.</w:t>
      </w:r>
    </w:p>
    <w:p>
      <w:pPr>
        <w:pStyle w:val="TextBody"/>
        <w:bidi w:val="0"/>
        <w:spacing w:lineRule="auto" w:line="240" w:before="0" w:after="240"/>
        <w:ind w:left="0" w:right="0" w:firstLine="720"/>
        <w:jc w:val="both"/>
        <w:rPr/>
      </w:pPr>
      <w:r>
        <w:rPr>
          <w:rFonts w:ascii="Times New Roman;sans-serif" w:hAnsi="Times New Roman;sans-serif"/>
          <w:b/>
          <w:color w:val="000000"/>
          <w:sz w:val="24"/>
        </w:rPr>
        <w:t>17.12.</w:t>
      </w:r>
      <w:r>
        <w:rPr>
          <w:rFonts w:ascii="Times New Roman;sans-serif" w:hAnsi="Times New Roman;sans-serif"/>
          <w:b/>
          <w:color w:val="000000"/>
          <w:sz w:val="24"/>
          <w:u w:val="single"/>
        </w:rPr>
        <w:t>Spouse’s Interest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interest in the benefits hereunder of a spouse of a Participant who has predeceased the Participant shall automatically pass to the Participant and shall not be transferable by such spouse in any manner, including but not limited to such spouse’s will, nor shall such interest pass under the laws of intestate succession.</w:t>
      </w:r>
    </w:p>
    <w:p>
      <w:pPr>
        <w:pStyle w:val="TextBody"/>
        <w:bidi w:val="0"/>
        <w:spacing w:lineRule="auto" w:line="240" w:before="0" w:after="240"/>
        <w:ind w:left="0" w:right="0" w:firstLine="720"/>
        <w:jc w:val="both"/>
        <w:rPr/>
      </w:pPr>
      <w:r>
        <w:rPr>
          <w:rFonts w:ascii="Times New Roman;sans-serif" w:hAnsi="Times New Roman;sans-serif"/>
          <w:b/>
          <w:color w:val="000000"/>
          <w:sz w:val="24"/>
        </w:rPr>
        <w:t>17.13.</w:t>
      </w:r>
      <w:r>
        <w:rPr>
          <w:rFonts w:ascii="Times New Roman;sans-serif" w:hAnsi="Times New Roman;sans-serif"/>
          <w:b/>
          <w:color w:val="000000"/>
          <w:sz w:val="24"/>
          <w:u w:val="single"/>
        </w:rPr>
        <w:t>Validity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case any provision of this Plan shall be illegal or invalid for any reason, said illegality or invalidity shall not affect the remaining parts hereof, but this Plan shall be construed and enforced as if such illegal or invalid provision had never been inserted herein.</w:t>
      </w:r>
    </w:p>
    <w:p>
      <w:pPr>
        <w:pStyle w:val="TextBody"/>
        <w:bidi w:val="0"/>
        <w:spacing w:lineRule="auto" w:line="240" w:before="0" w:after="240"/>
        <w:ind w:left="0" w:right="0" w:firstLine="720"/>
        <w:jc w:val="both"/>
        <w:rPr/>
      </w:pPr>
      <w:r>
        <w:rPr>
          <w:rFonts w:ascii="Times New Roman;sans-serif" w:hAnsi="Times New Roman;sans-serif"/>
          <w:b/>
          <w:color w:val="000000"/>
          <w:sz w:val="24"/>
        </w:rPr>
        <w:t>17.14.</w:t>
      </w:r>
      <w:r>
        <w:rPr>
          <w:rFonts w:ascii="Times New Roman;sans-serif" w:hAnsi="Times New Roman;sans-serif"/>
          <w:b/>
          <w:color w:val="000000"/>
          <w:sz w:val="24"/>
          <w:u w:val="single"/>
        </w:rPr>
        <w:t>Incompetent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If the Committee determines in its discretion that a benefit under this Plan is to be paid to a minor, a person declared incompetent or to a person incapable of </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handling the disposition of that person’s property, the Committee may direct payment of such benefit to the guardian, legal representative or person having the care and custody of such minor, incompetent or incapable person. The Committee may require proof of minority, incompetence, incapacity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for such payment amount.</w:t>
      </w:r>
    </w:p>
    <w:p>
      <w:pPr>
        <w:pStyle w:val="TextBody"/>
        <w:bidi w:val="0"/>
        <w:spacing w:lineRule="auto" w:line="240" w:before="0" w:after="240"/>
        <w:ind w:left="0" w:right="0" w:firstLine="720"/>
        <w:jc w:val="both"/>
        <w:rPr/>
      </w:pPr>
      <w:r>
        <w:rPr>
          <w:rFonts w:ascii="Times New Roman;sans-serif" w:hAnsi="Times New Roman;sans-serif"/>
          <w:b/>
          <w:color w:val="000000"/>
          <w:sz w:val="24"/>
        </w:rPr>
        <w:t>17.15.</w:t>
      </w:r>
      <w:r>
        <w:rPr>
          <w:rFonts w:ascii="Times New Roman;sans-serif" w:hAnsi="Times New Roman;sans-serif"/>
          <w:b/>
          <w:color w:val="000000"/>
          <w:sz w:val="24"/>
          <w:u w:val="single"/>
        </w:rPr>
        <w:t>Court Order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Committee is authorized to comply with any court order in any action in which the Plan or the Committee has been named as a party, including any action involving a determination of the rights or interests in a Participant’s benefits under the Plan; provided that the Plan shall be administered in accordance with applicable law and consistent with Code Section 409A. In addition, if necessary to comply with a qualified domestic relations order, as defined in Code Section 414(p)(1)(B), pursuant to which a court has determined that a spouse or former spouse of a Participant has an interest in the Participant’s benefits under the Plan, the Committee, in its sole discretion, shall have the right to immediately distribute the spouse’s or former spouse’s interest in the Participant’s benefits under the Plan to such spouse or former spouse.</w:t>
      </w:r>
    </w:p>
    <w:p>
      <w:pPr>
        <w:pStyle w:val="TextBody"/>
        <w:bidi w:val="0"/>
        <w:spacing w:lineRule="auto" w:line="240" w:before="0" w:after="240"/>
        <w:ind w:left="0" w:right="0" w:firstLine="720"/>
        <w:jc w:val="both"/>
        <w:rPr/>
      </w:pPr>
      <w:r>
        <w:rPr>
          <w:rFonts w:ascii="Times New Roman;sans-serif" w:hAnsi="Times New Roman;sans-serif"/>
          <w:b/>
          <w:color w:val="000000"/>
          <w:sz w:val="24"/>
        </w:rPr>
        <w:t>17.16.</w:t>
      </w:r>
      <w:r>
        <w:rPr>
          <w:rFonts w:ascii="Times New Roman;sans-serif" w:hAnsi="Times New Roman;sans-serif"/>
          <w:b/>
          <w:color w:val="000000"/>
          <w:sz w:val="24"/>
          <w:u w:val="single"/>
        </w:rPr>
        <w:t>Deduction Limitation on Benefit Payments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the Company reasonably anticipates that the Company’s deduction with respect to any distribution from this Plan would be limited or eliminated by application of Code Section 162(m), then to the extent deemed necessary by the Company to ensure that the entire amount of any distribution from this Plan is deductible, the Company may delay payment of any amount that would otherwise be distributed from this Plan. Any amounts for which distribution is delayed pursuant to this Section shall continue to be credited/debited with additional amounts in accordance with Section 3.9 above. The delayed amounts (and any amounts credited thereon) shall be distributed to the Participant (or his or her Beneficiary in the event of the Participant’s death) at the earliest date the Company reasonably anticipates that the deduction of the payment of the amount will not be limited or eliminated by application of Code Section 162(m).</w:t>
      </w:r>
    </w:p>
    <w:p>
      <w:pPr>
        <w:pStyle w:val="TextBody"/>
        <w:bidi w:val="0"/>
        <w:spacing w:lineRule="auto" w:line="240" w:before="0" w:after="240"/>
        <w:ind w:left="0" w:right="0" w:firstLine="720"/>
        <w:jc w:val="both"/>
        <w:rPr/>
      </w:pPr>
      <w:r>
        <w:rPr>
          <w:rFonts w:ascii="Times New Roman;sans-serif" w:hAnsi="Times New Roman;sans-serif"/>
          <w:b/>
          <w:color w:val="000000"/>
          <w:sz w:val="24"/>
        </w:rPr>
        <w:t>17.17.</w:t>
      </w:r>
      <w:r>
        <w:rPr>
          <w:rFonts w:ascii="Times New Roman;sans-serif" w:hAnsi="Times New Roman;sans-serif"/>
          <w:b/>
          <w:color w:val="000000"/>
          <w:sz w:val="24"/>
          <w:u w:val="single"/>
        </w:rPr>
        <w:t>Insurance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Company, on its own behalf or on behalf of the trustee of the Trust, and, in its sole discretion, may apply for and procure insurance on the life of the Participant, in such amounts and in such forms as the Company or the trustee of the Trust may choose. The Company or the trustee of the Trust, as the case may be, shall be the sole owner and beneficiary of any such insurance. The Participant shall have no interest whatsoever in any such policy or policies, and at the request of the Company shall submit to medical examinations and supply such information and execute such documents as may be required by the insurance company or companies to whom the Company has applied for insurance.</w:t>
      </w:r>
    </w:p>
    <w:p>
      <w:pPr>
        <w:pStyle w:val="TextBody"/>
        <w:bidi w:val="0"/>
        <w:spacing w:lineRule="auto" w:line="240" w:before="0" w:after="240"/>
        <w:ind w:left="0" w:right="0" w:firstLine="720"/>
        <w:jc w:val="both"/>
        <w:rPr/>
      </w:pPr>
      <w:r>
        <w:rPr>
          <w:rFonts w:ascii="Times New Roman;sans-serif" w:hAnsi="Times New Roman;sans-serif"/>
          <w:b/>
          <w:color w:val="000000"/>
          <w:sz w:val="24"/>
        </w:rPr>
        <w:t>17.18.</w:t>
      </w:r>
      <w:r>
        <w:rPr>
          <w:rFonts w:ascii="Times New Roman;sans-serif" w:hAnsi="Times New Roman;sans-serif"/>
          <w:b/>
          <w:color w:val="000000"/>
          <w:sz w:val="24"/>
          <w:u w:val="single"/>
        </w:rPr>
        <w:t>Small Amounts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Committee may, in its discretion, require a mandatory lump sum payment of amounts deferred under the Plan that do not exceed a specified amount, provided that any exercise of the Committee’s discretion is evidenced in writing, no later than the date of such payment, and provided that (a) the payment results in termination and liquidation of the Participant’s interest under the Plan, including all other arrangements with respect to which deferrals of compensation are treated as having been deferred under a single nonqualified deferred compensation plan under Treasury Regulation Section 1.409A-1(c)(2); and (b) the payment is not greater than the applicable dollar amount under Code Section 402(g)(1)(B).</w:t>
      </w:r>
    </w:p>
    <w:p>
      <w:pPr>
        <w:pStyle w:val="TextBody"/>
        <w:bidi w:val="0"/>
        <w:spacing w:lineRule="auto" w:line="240" w:before="0" w:after="240"/>
        <w:ind w:left="0" w:right="0" w:firstLine="720"/>
        <w:jc w:val="both"/>
        <w:rPr/>
      </w:pPr>
      <w:r>
        <w:rPr>
          <w:rFonts w:ascii="Times New Roman;sans-serif" w:hAnsi="Times New Roman;sans-serif"/>
          <w:b/>
          <w:color w:val="000000"/>
          <w:sz w:val="24"/>
        </w:rPr>
        <w:t>17.19.</w:t>
      </w:r>
      <w:r>
        <w:rPr>
          <w:rFonts w:ascii="Times New Roman;sans-serif" w:hAnsi="Times New Roman;sans-serif"/>
          <w:b/>
          <w:color w:val="000000"/>
          <w:sz w:val="24"/>
          <w:u w:val="single"/>
        </w:rPr>
        <w:t>Code Section 409A.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This Plan shall be administered in a manner that does not violate the requirements of Code Section 409A. Consistent with the foregoing, and in order to transition the </w:t>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Plan to the requirements of Code Section 409A and related Treasury Regulations, the Committee made available to Participants certain transition relief described more fully in Appendix A of this Plan. Notwithstanding any provision of the Plan to the contrary, in the event that the Company determines that any provision of the Plan may cause amounts deferred under the Plan to become immediately taxable to any Participant under Code Section 409A, the Company may (i) adopt such amendments to the Plan, including amendments with retroactive effect, that the Company determines is necessary or appropriate to preserve the intended tax treatment of the Plan benefits provided by the Plan, and/or (ii) take such other actions as the Company determines necessary or appropriate to comply with the requirements of Code Section 409A and related Treasury Regulations. In no event shall the Company, any Employer, the Committee, or any director, member, officer or employee thereof, be responsible for any tax, penalty, fee or cost attributable to a violation of Code Section 409A.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any portion of a Participant’s Account Balance under this Plan is required to be included in income by the Participant prior to receipt due to a failure of this Plan to meet the requirement of Code Section 409A, the Participant may petition the Committee or Administrator, as applicable, for a distribution of that portion of his or her Account Balance that is required to be included in his or her income. Upon the grant of such a petition, the grant of which shall be at the Committees’ sole discretion, the Company shall distribute to the Participant immediately available funds in an amount equal to the portion of his or her Account Balance required to be included in income as a result of the failure of the Plan to meet the requirements of Code Section 409A, which amount shall not exceed the Participant’s unpaid vested Account Balance under the Plan. If the petition is granted, such distribution shall be made within ninety (90) days of the date when the Participant’s petition is granted. Such a distribution shall affect and reduce the Participant’s benefits to be paid under this Plan.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17.1.</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signed this Plan document as of January 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480"/>
              <w:jc w:val="left"/>
              <w:rPr>
                <w:color w:val="000000"/>
              </w:rPr>
            </w:pPr>
            <w:r>
              <w:rPr>
                <w:color w:val="000000"/>
              </w:rPr>
              <w:t>    </w:t>
            </w:r>
            <w:r>
              <w:rPr>
                <w:rFonts w:ascii="Times New Roman;sans-serif" w:hAnsi="Times New Roman;sans-serif"/>
                <w:b/>
                <w:color w:val="000000"/>
                <w:sz w:val="24"/>
              </w:rPr>
              <w:t>REPUBLIC SERVICES, INC.</w:t>
            </w:r>
          </w:p>
          <w:p>
            <w:pPr>
              <w:pStyle w:val="TableContents"/>
              <w:bidi w:val="0"/>
              <w:spacing w:lineRule="atLeast" w:line="273" w:before="6" w:after="283"/>
              <w:ind w:left="0" w:right="0" w:hanging="3345"/>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Catharine D. Ellingsen        </w:t>
            </w:r>
          </w:p>
          <w:p>
            <w:pPr>
              <w:pStyle w:val="TableContents"/>
              <w:bidi w:val="0"/>
              <w:spacing w:lineRule="atLeast" w:line="273" w:before="6" w:after="283"/>
              <w:ind w:left="0" w:right="0" w:hanging="3345"/>
              <w:jc w:val="both"/>
              <w:rPr>
                <w:rFonts w:ascii="Times New Roman;sans-serif" w:hAnsi="Times New Roman;sans-serif"/>
                <w:b w:val="false"/>
                <w:color w:val="000000"/>
                <w:sz w:val="24"/>
              </w:rPr>
            </w:pPr>
            <w:r>
              <w:rPr>
                <w:rFonts w:ascii="Times New Roman;sans-serif" w:hAnsi="Times New Roman;sans-serif"/>
                <w:b w:val="false"/>
                <w:color w:val="000000"/>
                <w:sz w:val="24"/>
              </w:rPr>
              <w:t>Name: Catharine D. Ellingsen        </w:t>
            </w:r>
          </w:p>
          <w:p>
            <w:pPr>
              <w:pStyle w:val="TableContents"/>
              <w:bidi w:val="0"/>
              <w:spacing w:lineRule="atLeast" w:line="273" w:before="6" w:after="283"/>
              <w:ind w:left="0" w:right="0" w:hanging="630"/>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Vice President, Chief Legal Officer, Chief Ethics &amp; Compliance Officer and Corporate Secretary</w:t>
            </w:r>
          </w:p>
        </w:tc>
      </w:tr>
    </w:tbl>
    <w:p>
      <w:pPr>
        <w:pStyle w:val="TextBody"/>
        <w:bidi w:val="0"/>
        <w:spacing w:before="0" w:after="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A</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LIMITED TRANSITION RELIEF MADE AVAILABLE IN ACCORDANCE WITH </w:t>
        <w:br/>
        <w:t xml:space="preserve">CODE SECTION 409A AND RELATED TREASURY GUIDANCE AND REGULATIONS AND </w:t>
        <w:br/>
        <w:t>CERTAIN FORMER ALLIED PLAN PARTICIPANT SPECIAL TRANSITION RULES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provided below, the capitalized terms below shall have the same meaning as provided in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Opportunity to Make New Distribution Elections.</w:t>
      </w:r>
      <w:r>
        <w:rPr>
          <w:color w:val="000000"/>
        </w:rPr>
        <w:t xml:space="preserve"> </w:t>
      </w:r>
      <w:r>
        <w:rPr>
          <w:rFonts w:ascii="Times New Roman;sans-serif" w:hAnsi="Times New Roman;sans-serif"/>
          <w:b w:val="false"/>
          <w:color w:val="000000"/>
          <w:sz w:val="24"/>
        </w:rPr>
        <w:t>Notwithstanding the required deadline for the submission of an initial distribution election described in Articles IV, V, VI and VII, the Committee may, as permitted by Code Section 409A and related Treasury guidance or Regulations, provide a limited period in which Participants may make new distribution elections, by submitting an Election Form on or before the deadline established by the Committee, which in no event shall be later than December 31, 2008. Any distribution election made in accordance with the requirements established by the Committee, pursuant to this Section, shall not be treated as a change in the form or timing of a Participant’s benefit payment for purposes of Code Section 409A or the Plan.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interpret all provisions relating to an election submitted in accordance with this Section in a manner that is consistent with Code Section 409A and related Treasury guidance or Regulations. If any distribution election submitted in accordance with this Section either (i) relates to payments that a Participant would otherwise receive in the calendar year of the election, or (ii) would cause payments to be made in the calendar year of the election, such election shall not be effective.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Former Allied Plan Participants.</w:t>
      </w:r>
      <w:r>
        <w:rPr>
          <w:color w:val="000000"/>
        </w:rPr>
        <w:t xml:space="preserve"> </w:t>
      </w:r>
      <w:r>
        <w:rPr>
          <w:rFonts w:ascii="Times New Roman;sans-serif" w:hAnsi="Times New Roman;sans-serif"/>
          <w:b w:val="false"/>
          <w:color w:val="000000"/>
          <w:sz w:val="24"/>
        </w:rPr>
        <w:t>Effective on such date as determined by the Company, Participant’s accounts under the Allied Plan attributable to pre-January 1, 2009 deferrals and contributions to the Allied Plan, shall be transferred to this Plan and included in such Participant’s Account Balance under this Plan. Unless otherwise changed after such transfer in accordance with the terms of this Plan, the payment of the transferred amounts (as adjusted for amounts credited or debited to such amounts pursuant to this Plan less all distributions that relate to the transferred amounts) shall be made in accordance with the time and form of payment as elected under the Allied Plan even if such time and form of payment is not otherwise permitted under this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1</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Appendix 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Appendix A</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10.18</w:t>
      </w:r>
    </w:p>
    <w:p>
      <w:pPr>
        <w:pStyle w:val="TextBody"/>
        <w:bidi w:val="0"/>
        <w:spacing w:before="0" w:after="0"/>
        <w:jc w:val="left"/>
        <w:rPr/>
      </w:pPr>
      <w:r>
        <w:rPr/>
        <w:drawing>
          <wp:inline distT="0" distB="0" distL="0" distR="0">
            <wp:extent cx="1819275" cy="904875"/>
            <wp:effectExtent l="0" t="0" r="0" b="0"/>
            <wp:docPr id="1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 descr=""/>
                    <pic:cNvPicPr>
                      <a:picLocks noChangeAspect="1" noChangeArrowheads="1"/>
                    </pic:cNvPicPr>
                  </pic:nvPicPr>
                  <pic:blipFill>
                    <a:blip r:embed="rId126"/>
                    <a:stretch>
                      <a:fillRect/>
                    </a:stretch>
                  </pic:blipFill>
                  <pic:spPr bwMode="auto">
                    <a:xfrm>
                      <a:off x="0" y="0"/>
                      <a:ext cx="1819275" cy="904875"/>
                    </a:xfrm>
                    <a:prstGeom prst="rect">
                      <a:avLst/>
                    </a:prstGeom>
                  </pic:spPr>
                </pic:pic>
              </a:graphicData>
            </a:graphic>
          </wp:inline>
        </w:drawing>
      </w:r>
    </w:p>
    <w:p>
      <w:pPr>
        <w:pStyle w:val="TextBody"/>
        <w:bidi w:val="0"/>
        <w:spacing w:before="0" w:after="144"/>
        <w:jc w:val="center"/>
        <w:rPr/>
      </w:pPr>
      <w:r>
        <w:rPr/>
      </w:r>
    </w:p>
    <w:p>
      <w:pPr>
        <w:pStyle w:val="TextBody"/>
        <w:bidi w:val="0"/>
        <w:spacing w:before="0" w:after="144"/>
        <w:jc w:val="center"/>
        <w:rPr/>
      </w:pPr>
      <w:r>
        <w:rPr/>
      </w:r>
    </w:p>
    <w:p>
      <w:pPr>
        <w:pStyle w:val="TextBody"/>
        <w:bidi w:val="0"/>
        <w:spacing w:lineRule="auto" w:line="352" w:before="0" w:after="144"/>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312" w:before="36" w:after="283"/>
        <w:jc w:val="center"/>
        <w:rPr>
          <w:rFonts w:ascii="Times New Roman;sans-serif" w:hAnsi="Times New Roman;sans-serif"/>
          <w:b/>
          <w:color w:val="000000"/>
          <w:sz w:val="20"/>
        </w:rPr>
      </w:pPr>
      <w:r>
        <w:rPr>
          <w:rFonts w:ascii="Times New Roman;sans-serif" w:hAnsi="Times New Roman;sans-serif"/>
          <w:b/>
          <w:color w:val="000000"/>
          <w:sz w:val="20"/>
        </w:rPr>
        <w:t>PERFORMANCE SHARE AGREEMENT</w:t>
      </w:r>
    </w:p>
    <w:p>
      <w:pPr>
        <w:pStyle w:val="TextBody"/>
        <w:bidi w:val="0"/>
        <w:spacing w:lineRule="auto" w:line="312" w:before="36" w:after="283"/>
        <w:jc w:val="center"/>
        <w:rPr>
          <w:rFonts w:ascii="Times New Roman;sans-serif" w:hAnsi="Times New Roman;sans-serif"/>
          <w:b/>
          <w:color w:val="000000"/>
          <w:sz w:val="20"/>
        </w:rPr>
      </w:pPr>
      <w:r>
        <w:rPr>
          <w:rFonts w:ascii="Times New Roman;sans-serif" w:hAnsi="Times New Roman;sans-serif"/>
          <w:b/>
          <w:color w:val="000000"/>
          <w:sz w:val="20"/>
        </w:rPr>
        <w:t>(Executive Officer)</w:t>
      </w:r>
    </w:p>
    <w:p>
      <w:pPr>
        <w:pStyle w:val="TextBody"/>
        <w:bidi w:val="0"/>
        <w:spacing w:before="36" w:after="283"/>
        <w:jc w:val="center"/>
        <w:rPr/>
      </w:pPr>
      <w:r>
        <w:rPr/>
      </w:r>
    </w:p>
    <w:tbl>
      <w:tblPr>
        <w:tblW w:w="4364" w:type="dxa"/>
        <w:jc w:val="left"/>
        <w:tblInd w:w="0" w:type="dxa"/>
        <w:tblLayout w:type="fixed"/>
        <w:tblCellMar>
          <w:top w:w="28" w:type="dxa"/>
          <w:left w:w="28" w:type="dxa"/>
          <w:bottom w:w="28" w:type="dxa"/>
          <w:right w:w="28" w:type="dxa"/>
        </w:tblCellMar>
      </w:tblPr>
      <w:tblGrid>
        <w:gridCol w:w="1397"/>
        <w:gridCol w:w="1228"/>
        <w:gridCol w:w="1739"/>
      </w:tblGrid>
      <w:tr>
        <w:trPr/>
        <w:tc>
          <w:tcPr>
            <w:tcW w:w="139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4" w:space="0" w:color="004A7C"/>
              <w:left w:val="single" w:sz="4" w:space="0" w:color="004A7C"/>
              <w:right w:val="single" w:sz="4" w:space="0" w:color="004A7C"/>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Recipient Name : </w:t>
            </w:r>
            <w:r>
              <w:rPr>
                <w:rFonts w:ascii="Times New Roman;sans-serif" w:hAnsi="Times New Roman;sans-serif"/>
                <w:b w:val="false"/>
                <w:color w:val="000000"/>
                <w:sz w:val="20"/>
              </w:rPr>
              <w:t>/$ParticipantName$/</w:t>
            </w:r>
          </w:p>
        </w:tc>
      </w:tr>
      <w:tr>
        <w:trPr/>
        <w:tc>
          <w:tcPr>
            <w:tcW w:w="436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Date : </w:t>
            </w:r>
            <w:r>
              <w:rPr>
                <w:rFonts w:ascii="Times New Roman;sans-serif" w:hAnsi="Times New Roman;sans-serif"/>
                <w:b w:val="false"/>
                <w:color w:val="000000"/>
                <w:sz w:val="20"/>
              </w:rPr>
              <w:t>/$GrantDate$/</w:t>
            </w:r>
          </w:p>
        </w:tc>
      </w:tr>
      <w:tr>
        <w:trPr/>
        <w:tc>
          <w:tcPr>
            <w:tcW w:w="436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Type : </w:t>
            </w:r>
            <w:r>
              <w:rPr>
                <w:rFonts w:ascii="Times New Roman;sans-serif" w:hAnsi="Times New Roman;sans-serif"/>
                <w:b w:val="false"/>
                <w:color w:val="000000"/>
                <w:sz w:val="20"/>
              </w:rPr>
              <w:t>/$GrantType$/</w:t>
            </w:r>
          </w:p>
        </w:tc>
      </w:tr>
      <w:tr>
        <w:trPr/>
        <w:tc>
          <w:tcPr>
            <w:tcW w:w="436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Performance Shares Granted : </w:t>
            </w:r>
            <w:r>
              <w:rPr>
                <w:rFonts w:ascii="Times New Roman;sans-serif" w:hAnsi="Times New Roman;sans-serif"/>
                <w:b w:val="false"/>
                <w:color w:val="000000"/>
                <w:sz w:val="20"/>
              </w:rPr>
              <w:t>/$AwardsGranted$/</w:t>
            </w:r>
          </w:p>
        </w:tc>
      </w:tr>
      <w:tr>
        <w:trPr/>
        <w:tc>
          <w:tcPr>
            <w:tcW w:w="4364" w:type="dxa"/>
            <w:gridSpan w:val="3"/>
            <w:tcBorders>
              <w:left w:val="single" w:sz="4" w:space="0" w:color="004A7C"/>
              <w:bottom w:val="single" w:sz="4" w:space="0" w:color="004A7C"/>
              <w:right w:val="single" w:sz="4" w:space="0" w:color="004A7C"/>
            </w:tcBorders>
            <w:tcMar>
              <w:top w:w="0" w:type="dxa"/>
              <w:bottom w:w="3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Plan Name : </w:t>
            </w:r>
            <w:r>
              <w:rPr>
                <w:rFonts w:ascii="Times New Roman;sans-serif" w:hAnsi="Times New Roman;sans-serif"/>
                <w:b w:val="false"/>
                <w:color w:val="000000"/>
                <w:sz w:val="20"/>
              </w:rPr>
              <w:t>/$PlanName$/</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color w:val="000000"/>
                <w:sz w:val="20"/>
              </w:rPr>
              <w:t xml:space="preserve">Settlement Method : </w:t>
            </w:r>
            <w:r>
              <w:rPr>
                <w:rFonts w:ascii="Times New Roman;sans-serif" w:hAnsi="Times New Roman;sans-serif"/>
                <w:b w:val="false"/>
                <w:color w:val="000000"/>
                <w:sz w:val="20"/>
              </w:rPr>
              <w:t>/$GrantTxt6$/</w:t>
            </w:r>
          </w:p>
        </w:tc>
      </w:tr>
    </w:tbl>
    <w:p>
      <w:pPr>
        <w:pStyle w:val="TextBody"/>
        <w:bidi w:val="0"/>
        <w:spacing w:before="36" w:after="283"/>
        <w:jc w:val="center"/>
        <w:rPr/>
      </w:pPr>
      <w:r>
        <w:rPr/>
      </w:r>
    </w:p>
    <w:p>
      <w:pPr>
        <w:pStyle w:val="TextBody"/>
        <w:bidi w:val="0"/>
        <w:spacing w:lineRule="auto" w:line="288" w:before="120" w:after="12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THIS PERFORMANCE SHARE AGREEMENT (the “Agreement”), dated as of the Grant Date shown above, between Republic Services, Inc., a Delaware corporation (the “Company”) and Participant (the “Participant”), is made pursuant and subject to the provisions of the Republic Services, Inc. 2021 Stock Incentive Plan, and any future amendments thereto (the “Plan”). The Plan, as it may be amended from time to time, is incorporated in this Agreement by reference.</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All capitalized terms used in this Agreement but not expressly defined shall have the meaning ascribed to them in the Plan, a copy of which is being provided as part of the grant acceptance materials and is incorporated in this Agreement by reference. All references to the Company in this Agreement shall also be deemed to include references to any and all entities directly or indirectly controlled by the Company and which are consolidated with the Company for financial accounting purposes.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2.</w:t>
      </w:r>
      <w:r>
        <w:rPr>
          <w:color w:val="000000"/>
        </w:rPr>
        <w:t>    </w:t>
      </w:r>
      <w:r>
        <w:rPr>
          <w:rFonts w:ascii="Times New Roman;sans-serif" w:hAnsi="Times New Roman;sans-serif"/>
          <w:b w:val="false"/>
          <w:color w:val="000000"/>
          <w:sz w:val="20"/>
          <w:u w:val="single"/>
        </w:rPr>
        <w:t>Award of Performance Shares</w:t>
      </w:r>
      <w:r>
        <w:rPr>
          <w:rFonts w:ascii="Times New Roman;sans-serif" w:hAnsi="Times New Roman;sans-serif"/>
          <w:b w:val="false"/>
          <w:color w:val="000000"/>
          <w:sz w:val="20"/>
        </w:rPr>
        <w:t>. Subject to the terms and conditions of the Plan and to the terms and conditions set forth in this Agreement, the Company on this date awards to the Participant the target number of Performance Shares equal to the number of Performance Shares Granted as shown in the box above (the “Performance Shares Granted”). The actual number of Performance Shares earned by the Participant shall be from 0% to 220% of the target Performance Shares Granted. The Performance Shares shall be considered a “Long Term Award” or a “long term incentive grant” under any employment agreement or the Company’s Executive Separation Policy (“Separation Policy”), as applicable to the Participant.</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Vesting Schedule</w:t>
      </w:r>
      <w:r>
        <w:rPr>
          <w:rFonts w:ascii="Times New Roman;sans-serif" w:hAnsi="Times New Roman;sans-serif"/>
          <w:b w:val="false"/>
          <w:color w:val="000000"/>
          <w:sz w:val="20"/>
        </w:rPr>
        <w:t xml:space="preserve">. Subject to the terms and conditions of this Agreement, the Performance Shares shall be subject to a three-year performance period, consisting of the Company’s fiscal years 2025, 2026 and 2027 (the “Performance Period”), after which the number of Performance Shares earned (the “Earned Performance Shares”) shall be determined as provided in </w:t>
      </w:r>
      <w:r>
        <w:rPr>
          <w:rFonts w:ascii="Times New Roman;sans-serif" w:hAnsi="Times New Roman;sans-serif"/>
          <w:b w:val="false"/>
          <w:color w:val="000000"/>
          <w:sz w:val="20"/>
          <w:u w:val="single"/>
        </w:rPr>
        <w:t>Appendix A</w:t>
      </w:r>
      <w:r>
        <w:rPr>
          <w:rFonts w:ascii="Times New Roman;sans-serif" w:hAnsi="Times New Roman;sans-serif"/>
          <w:b w:val="false"/>
          <w:color w:val="000000"/>
          <w:sz w:val="20"/>
        </w:rPr>
        <w:t>. Except as otherwise provided below, the number of Earned Performance Shares, if any, shall become vested as of the final date of the Performance Period (the “Vesting Date”) if the Participant remains in continuous service with the Company for the period beginning on the Grant Date and ending on the Vesting Date.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Acceleration of Vesting on Account of Death, Disability, Retirement, or Termination of Employment, or for Other Reasons</w:t>
      </w:r>
      <w:r>
        <w:rPr>
          <w:rFonts w:ascii="Times New Roman;sans-serif" w:hAnsi="Times New Roman;sans-serif"/>
          <w:b w:val="false"/>
          <w:color w:val="000000"/>
          <w:sz w:val="20"/>
        </w:rPr>
        <w:t>. Except to the extent described in Section 3(b)(v):</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Death or Disability</w:t>
      </w:r>
      <w:r>
        <w:rPr>
          <w:rFonts w:ascii="Times New Roman;sans-serif" w:hAnsi="Times New Roman;sans-serif"/>
          <w:b w:val="false"/>
          <w:color w:val="000000"/>
          <w:sz w:val="20"/>
        </w:rPr>
        <w:t xml:space="preserve">. In the event that the Participant’s continuous service with the Company terminates by reason of the Participant’s death or Disability prior to the Vesting Date, the Participant shall vest in a pro-rated portion of the Earned Performance Shares, which shall be the product of (1) the number of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2</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58"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Earned Performance Shares, and (2) a fraction, the numerator of which is the number of months of the Performance Period which have elapsed since the first day of the Performance Period to the end of the month in which the Participant’s continuous service with the Company terminates by reason of the Participant’s death or Disability and the denominator of which is the total number of months in the Performance Period.</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(ii)    </w:t>
      </w:r>
      <w:r>
        <w:rPr>
          <w:rFonts w:ascii="Times New Roman;sans-serif" w:hAnsi="Times New Roman;sans-serif"/>
          <w:b w:val="false"/>
          <w:color w:val="000000"/>
          <w:sz w:val="20"/>
          <w:u w:val="single"/>
        </w:rPr>
        <w:t>Retirement</w:t>
      </w:r>
      <w:r>
        <w:rPr>
          <w:rFonts w:ascii="Times New Roman;sans-serif" w:hAnsi="Times New Roman;sans-serif"/>
          <w:b w:val="false"/>
          <w:color w:val="000000"/>
          <w:sz w:val="20"/>
        </w:rPr>
        <w:t>. In the event that the Participant’s continuous service with the Company terminates by reason of the Participant’s retirement prior to the Vesting Date, the Participant shall vest in the full number of Earned Performance Shares, if, at the time of such retirement:</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(A)    the Participant is at least fifty-five (55) years old and has completed twenty (20) years of continuous service with the Company; is at least fifty-six (56) years old and has completed ten (10) years of continuous service with the Company; is at least sixty (60) years old and has completed at least five (5) years of continuous service with the Company; or is at least sixty-five (65) years old (without regard to years of service), and in any of these cases has provided the Company not less than one (1) year prior written notice of Participant’s intent to retire; and</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(B)    the Company does not provide the Participant with written notice on or before the anticipated retirement date that the Company intends or has grounds to terminate the Participant’s continuous service for Cause.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determining years of continuous service, service shall include service in any capacity as an employee or a director with any entity whose financial statements are required to be consolidated with the financial statements of the Company, including service with any such entity prior to the date on which the entity’s financial statements were required to be so consolidated. The Participant agrees to make himself or herself reasonably available to the Company to assist any successor to his or her positions with the Company with any transition or other services as may be reasonably requested by the Board during the period beginning on the date the Participant’s continuous service with the Company terminates by reason of the Participant’s retirement and ending on the last day of the Performance Period.</w:t>
      </w:r>
    </w:p>
    <w:p>
      <w:pPr>
        <w:pStyle w:val="TextBody"/>
        <w:bidi w:val="0"/>
        <w:spacing w:lineRule="auto" w:line="288" w:before="120" w:after="120"/>
        <w:ind w:left="0" w:right="0" w:firstLine="720"/>
        <w:jc w:val="both"/>
        <w:rPr/>
      </w:pPr>
      <w:r>
        <w:rPr>
          <w:color w:val="000000"/>
        </w:rPr>
        <w:t>        </w:t>
      </w:r>
      <w:r>
        <w:rPr>
          <w:rFonts w:ascii="Times New Roman;sans-serif" w:hAnsi="Times New Roman;sans-serif"/>
          <w:b w:val="false"/>
          <w:color w:val="000000"/>
          <w:sz w:val="20"/>
        </w:rPr>
        <w:t>(iii)    </w:t>
      </w:r>
      <w:r>
        <w:rPr>
          <w:rFonts w:ascii="Times New Roman;sans-serif" w:hAnsi="Times New Roman;sans-serif"/>
          <w:b w:val="false"/>
          <w:color w:val="000000"/>
          <w:sz w:val="20"/>
          <w:u w:val="single"/>
        </w:rPr>
        <w:t>Termination Without Cause</w:t>
      </w:r>
      <w:r>
        <w:rPr>
          <w:rFonts w:ascii="Times New Roman;sans-serif" w:hAnsi="Times New Roman;sans-serif"/>
          <w:b w:val="false"/>
          <w:color w:val="000000"/>
          <w:sz w:val="20"/>
        </w:rPr>
        <w:t xml:space="preserve">. In the event that the Participant’s continuous service with the Company is terminated prior to the Vesting Date by the Company without Cause, the Participant shall vest in a pro-rated portion of the Earned Performance Shares, which shall be the product of (1) the number of the Earned Performance Shares, and (2) a fraction, the numerator of which is the number of months of the Performance Period which have elapsed since the first day of the Performance Period to the end of the month in which the Participant’s continuous service with the Company is terminated by the Company without Cause and the denominator of which is the total number of months in the Performance Period. </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(iv)    </w:t>
      </w:r>
      <w:r>
        <w:rPr>
          <w:rFonts w:ascii="Times New Roman;sans-serif" w:hAnsi="Times New Roman;sans-serif"/>
          <w:b w:val="false"/>
          <w:color w:val="000000"/>
          <w:sz w:val="20"/>
          <w:u w:val="single"/>
        </w:rPr>
        <w:t>Termination for Good Reason</w:t>
      </w:r>
      <w:r>
        <w:rPr>
          <w:rFonts w:ascii="Times New Roman;sans-serif" w:hAnsi="Times New Roman;sans-serif"/>
          <w:b w:val="false"/>
          <w:color w:val="000000"/>
          <w:sz w:val="20"/>
        </w:rPr>
        <w:t>.</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(A)    In the event that the Participant’s continuous service with the Company is terminated prior to the Vesting Date by the Participant for Good Reason, the Participant shall vest in a pro-rated portion of the Earned Performance Shares, which shall be the product of (1) the number of the Earned Performance Shares, and (2) a fraction, the numerator of which is the number of months of the Performance Period which have elapsed since the first day of the Performance Period to the end of the month in which the Participant’s continuous service with the Company is terminated by the Participant for Good Reason and the denominator of which is the total number of months in the Performance Period.</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(B)    For purposes of this Agreement, “Good Reason” shall have the equivalent meaning or the same meaning as “good reason” or “for good reason” set forth in any employment or other agreement for the performance of services between the Participant and the Company or, in the absence of any such agreement, as set forth under the Separation Policy.</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(v)    </w:t>
      </w:r>
      <w:r>
        <w:rPr>
          <w:rFonts w:ascii="Times New Roman;sans-serif" w:hAnsi="Times New Roman;sans-serif"/>
          <w:b w:val="false"/>
          <w:color w:val="000000"/>
          <w:sz w:val="20"/>
          <w:u w:val="single"/>
        </w:rPr>
        <w:t>Employment Agreement</w:t>
      </w:r>
      <w:r>
        <w:rPr>
          <w:rFonts w:ascii="Times New Roman;sans-serif" w:hAnsi="Times New Roman;sans-serif"/>
          <w:b w:val="false"/>
          <w:color w:val="000000"/>
          <w:sz w:val="20"/>
        </w:rPr>
        <w:t>. In the event that the Participant has entered into any employment agreement between the Participant and the Company that is in effect on the date on which the Participant’s continuous service with the Company is terminated and such employment agreement provides benefits upon the Participant’s retirement and/or termination of employment, the applicable provisions of such employment agreement relating to the Participant’s retirement and/or termination of employment shall apply, notwithstanding any provision in Section 3(b)(ii), (iii) or (iv) of this Agreement to the contrary.</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3</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59"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Terms and Conditions</w:t>
      </w:r>
      <w:r>
        <w:rPr>
          <w:rFonts w:ascii="Times New Roman;sans-serif" w:hAnsi="Times New Roman;sans-serif"/>
          <w:b w:val="false"/>
          <w:color w:val="000000"/>
          <w:sz w:val="20"/>
        </w:rPr>
        <w:t>. This award of Performance Shares is subject to the following terms and conditions: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Payment for Performance Shares; Forfeiture of Performance Shares; Deferral of Performance Shares</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 Except as otherwise provided in paragraph (ii) of this Section 4(a), Section 4(d), Section 5(b) or Section 14, 50% of the Earned Performance Shares that become vested pursuant to Section 3 shall be settled in shares of Common Stock (the “Stock-Settled Performance Shares”), and 50% of the Earned Performance Shares that become vested pursuant to Section 3 shall be settled in cash (the “Cash-Settled Performance Shares”). With respect to each Stock-Settled Performance Share, the Participant shall receive one share of Common Stock for each of the Stock-Settled Performance Shares awarded hereunder, free and clear of the restrictions set forth in this Agreement, except for any restrictions necessary to comply with federal and state securities laws. With respect to each Cash-Settled Performance Share, the Participant shall receive cash equal to (1) the Fair Market Value of the Common Stock on the date of payment in accordance with the following sentence (or such earlier date designated by the Committee), multiplied by (2) the number of Cash-Settled Performance Shares awarded hereunder. Except as otherwise provided in paragraph (ii) of this Section 4(a) or Section 5(b), cash and certificates (or other indicia of ownership) representing shares of Common Stock shall be delivered to the Participant in the calendar year following the calendar year in which the Performance Period ends, but in no event later than March 15 of the calendar year following the calendar year in which the Performance Period ends (the “Settlement Date”). Any Performance Shares that are not vested as of the Participant’s separation from service, within the meaning of Section 409A of the Code and applicable Treasury Regulations (the “Separation from Service”), and that are not eligible to become vested pursuant to Section 3(b), shall automatically and immediately be forfeited on the date of the Participant’s Separation from Service.</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The Participant may elect to defer the Performance Shares pursuant to the Republic Services, Inc. Deferred Compensation Plan, as may be amended from time to time (the “Deferred Compensation Plan”), and if the Participant properly and timely does so: (1) the portion elected by the Participant of the Performance Shares that shall be settled in shares of Common Stock shall be automatically converted into a corresponding number of units under the Republic Services Stock Unit Fund (the “Units”), and shall be credited to the Participant’s “Account Balance” (as defined in the Deferred Compensation Plan) in accordance with Section 3.9(c) of the Deferred Compensation Plan; and (2) the portion elected by the Participant of the Performance Shares that shall be settled in cash shall be, as of the date that would have qualified as the Settlement Date, credited to the Participant’s Account Balance under the Deferred Compensation Plan and allocated to any of the available “Measurement Funds” (as defined in the Deferred Compensation Plan) elected by the Participant in accordance with Section 3.9 of the Deferred Compensation Plan and shall be payable at the times provided for under the Deferred Compensation Plan. The Units shall remain subject to the vesting and forfeiture provisions set forth in Sections 3, 4(g) and 4(j) of this Agreement. The Units shall be payable in actual shares of Common Stock at the times provided for under the Deferred Compensation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Hypothetical Nature of Performance Shares</w:t>
      </w:r>
      <w:r>
        <w:rPr>
          <w:rFonts w:ascii="Times New Roman;sans-serif" w:hAnsi="Times New Roman;sans-serif"/>
          <w:b w:val="false"/>
          <w:color w:val="000000"/>
          <w:sz w:val="20"/>
        </w:rPr>
        <w:t>. The Performance Shares do not represent an equity security of the Company and do not carry any voting or dividend rights, except the right to receive Dividend Equivalents in accordance with Section 4(c).</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Dividend Equivalents</w:t>
      </w:r>
      <w:r>
        <w:rPr>
          <w:rFonts w:ascii="Times New Roman;sans-serif" w:hAnsi="Times New Roman;sans-serif"/>
          <w:b w:val="false"/>
          <w:color w:val="000000"/>
          <w:sz w:val="20"/>
        </w:rPr>
        <w:t xml:space="preserve">. The Participant shall receive Dividend Equivalents in the form of additional Performance Shares or fractional Performance Shares each time a dividend or other distribution is paid on the Company’s Common Stock. The number of Performance Shares awarded for a cash dividend or non-cash dividend other than a stock dividend shall be determined by (i) multiplying the number of Performance Shares that may be earned by the Participant pursuant to this Agreement as of the dividend record date by the amount of the dividend per share of Common Stock and (ii) dividing the product so determined by the Fair Market Value of the Common Stock on the dividend payment date. The number of Performance Shares awarded for a stock dividend shall be determined by multiplying the number of Performance Shares that may be earned by the Participant pursuant to this Agreement as of the dividend record date by the number of additional shares of Common Stock actually paid as a dividend per share of Common Stock. Any additional Performance Shares awarded pursuant to this Section 4(c) shall be awarded as of effective the date the dividend was paid, and shall have the same status, and shall be subject to the same terms and conditions (including without limitation the performance conditions set forth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4</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0"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pPr>
      <w:r>
        <w:rPr>
          <w:rFonts w:ascii="Times New Roman;sans-serif" w:hAnsi="Times New Roman;sans-serif"/>
          <w:b w:val="false"/>
          <w:color w:val="000000"/>
          <w:sz w:val="20"/>
        </w:rPr>
        <w:t>in Appendix A that must be satisfied for those Performance Shares to which they relate to become Earned Performance Shares, and the vesting and forfeiture provisions and the settlement form (</w:t>
      </w:r>
      <w:r>
        <w:rPr>
          <w:rFonts w:ascii="Times New Roman;sans-serif" w:hAnsi="Times New Roman;sans-serif"/>
          <w:b w:val="false"/>
          <w:i/>
          <w:color w:val="000000"/>
          <w:sz w:val="20"/>
        </w:rPr>
        <w:t>i.e.,</w:t>
      </w:r>
      <w:r>
        <w:rPr>
          <w:color w:val="000000"/>
        </w:rPr>
        <w:t xml:space="preserve"> </w:t>
      </w:r>
      <w:r>
        <w:rPr>
          <w:rFonts w:ascii="Times New Roman;sans-serif" w:hAnsi="Times New Roman;sans-serif"/>
          <w:b w:val="false"/>
          <w:color w:val="000000"/>
          <w:sz w:val="20"/>
        </w:rPr>
        <w:t>cash or shares of Common Stock)) under this Agreement as the Performance Shares to which they relate, and shall be distributed on the same payment date referred to in Section 4(a) as the Performance Shares to which they relate (or if later, as of the applicable dividend payment date) or alternatively, at the times provided for under the Deferred Compensation Plan to the extent the Participant elected to defer some or all of the Performance Shares to which the Dividend Equivalents relate under the Deferred Compensation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Tax Withholding</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 The Participant shall pay to the Company, or make arrangements satisfactory to the Committee for payment of, any federal, state or local taxes of any kind required by law to be withheld with respect to the grant of Performance Shares (including without limitation the vesting thereof) and any Dividend Equivalents or other distributions made by the Company to the Participant with respect to the Performance Shares as and when the Company determines those amounts to be due, and the Company shall, to the extent permitted by law, have the right to deduct from any payment of any kind otherwise due to Participant any federal, state, or local taxes of any kind required by law to be withheld with respect to the Performance Shares or any Dividend Equivalents or other distributions made by the Company to the Participant with respect to any Performance Shares.</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The Participant agrees that his or her minimum withholding tax obligation with respect to the granting, vesting or settlement of the Stock-Settled Performance Shares and any Dividend Equivalents or other distributions made by the Company to the Participant with respect to the Stock-Settled Performance Shares will be satisfied (provided that the Participant has enough vesting or vested shares available) by the Company’s withholding a portion of the shares of Common Stock otherwise deliverable to the Participant, such shares being valued at their Fair Market Value as of the date on which the taxable event that gives rise to the withholding requirement occurs. The Participant further agrees that each time the Company withholds shares to satisfy his or her minimum withholding tax obligation, the Company will round up to the nearest whole number of shares (with any over withholding applied to federal income tax). For example, if 9.6 shares are required to satisfy the minimum withholding tax obligation, the Company will round up to 10 shares. Notwithstanding the foregoing, if the Company determines to allow fractional shares of Common Stock to be distributed or made available under the Company’s compensation and benefit plans, the foregoing rounding rules will cease to apply, and the Company instead will withhold a portion of the shares and fractional shares of Common Stock otherwise deliverable to the Participant, such shares and fractional shares being valued at their Fair Market Value as of the date of the taxable event that gives rise to the withholding requirement occurs. By accepting this Agreement, the Participant consents to this method of tax withholding, including the Company rounding up to the nearest whole number of shares (as applicable).</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(iii) The Participant agrees that his or her minimum withholding tax obligation with respect to the granting, vesting or settlement of the Cash-Settled Performance Shares and any Dividend Equivalents or other distributions made by the Company to the Participant with respect to the Cash-Settled Performance Shares will be satisfied by the Company’s withholding a portion of the cash otherwise deliverable to the Participant.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No</w:t>
      </w:r>
      <w:r>
        <w:rPr>
          <w:color w:val="000000"/>
          <w:u w:val="single"/>
        </w:rPr>
        <w:t xml:space="preserve"> </w:t>
      </w:r>
      <w:r>
        <w:rPr>
          <w:rFonts w:ascii="Times New Roman;sans-serif" w:hAnsi="Times New Roman;sans-serif"/>
          <w:b w:val="false"/>
          <w:color w:val="000000"/>
          <w:sz w:val="20"/>
          <w:u w:val="single"/>
        </w:rPr>
        <w:t>Right to Continued Employment or Service</w:t>
      </w:r>
      <w:r>
        <w:rPr>
          <w:rFonts w:ascii="Times New Roman;sans-serif" w:hAnsi="Times New Roman;sans-serif"/>
          <w:b w:val="false"/>
          <w:color w:val="000000"/>
          <w:sz w:val="20"/>
        </w:rPr>
        <w:t>. This Agreement does not confer upon the Participant any right with respect to continuance of employment or service by the Company, nor shall it interfere in any way with the right of the Company to terminate the Participant’s employment at any time.</w:t>
      </w:r>
    </w:p>
    <w:p>
      <w:pPr>
        <w:pStyle w:val="TextBody"/>
        <w:bidi w:val="0"/>
        <w:spacing w:before="120" w:after="120"/>
        <w:ind w:left="0" w:right="0" w:firstLine="1440"/>
        <w:jc w:val="both"/>
        <w:rPr/>
      </w:pPr>
      <w:r>
        <w:rPr/>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Transferability of Awards</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 xml:space="preserve">(i) </w:t>
      </w:r>
      <w:r>
        <w:rPr>
          <w:rFonts w:ascii="Times New Roman;sans-serif" w:hAnsi="Times New Roman;sans-serif"/>
          <w:b w:val="false"/>
          <w:color w:val="000000"/>
          <w:sz w:val="20"/>
          <w:u w:val="single"/>
        </w:rPr>
        <w:t>Restrictions on Transfer</w:t>
      </w:r>
      <w:r>
        <w:rPr>
          <w:rFonts w:ascii="Times New Roman;sans-serif" w:hAnsi="Times New Roman;sans-serif"/>
          <w:b w:val="false"/>
          <w:color w:val="000000"/>
          <w:sz w:val="20"/>
        </w:rPr>
        <w:t>. No Performance Shares shall be transferable or assignable by the Participant, other than by will or the laws of descent and distribution or pursuant to a domestic relations order within the meaning of Section 414(p)(1)(B) of the Code.</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 xml:space="preserve">(ii) </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xml:space="preserve">. No transfer permitted under Section 4(f)(i) of any Performance Shares shall be effective to bind the Company unless the Committee shall have been furnished with (1) a Notice of Performance Share Transfer in the form required by the Committee executed and dated by the Participant (or the executor or personal representative of the deceased Participant’s estate) and a copy of the will, assignment or transfer document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5</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1"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and/or such evidence as the Committee may deem necessary to establish the validity of the transfer, and (2) the Statement of Acknowledgement in the form required by the Committee executed and dated by the transferee which states that the transferee will comply with all the terms and conditions of the Plan and the Agreement relating to the Performance Shares that are or would have been applicable to the Participant.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Forfeiture by Reason of Detrimental Activity</w:t>
      </w:r>
      <w:r>
        <w:rPr>
          <w:rFonts w:ascii="Times New Roman;sans-serif" w:hAnsi="Times New Roman;sans-serif"/>
          <w:b w:val="false"/>
          <w:color w:val="000000"/>
          <w:sz w:val="20"/>
        </w:rPr>
        <w:t>. The Performance Shares shall be subject to Section 17(n) of the Plan. Notwithstanding any other provision of this Agreement to the contrary, if the Participant engages in any Detrimental Activity at any time prior to or during the one year period after the latest date on which any portion of the Performance Shares become vested but prior to a Change in Control, the Company shall, upon the recommendation of the Committee in its sole and absolute discretion, be entitled to (i) immediately terminate and cancel any portion of the Performance Shares that have not previously been settled with shares of Common Stock or cash, and/or (ii) require within two (2) years after the latest date on which any portion of the Performance Shares are settled but prior to a Change in Control that the Participant (1) return to the Company any shares of Common Stock that were distributed to the Participant in settlement of the Performance Shares, or if such shares of Common Stock are not still owned by the Participant, that the Participant pay to the Company an amount equal to the Fair Market Value of such shares of Common Stock on the date they were issued, and (2) return to the Company any cash or other property (other than Common Stock) received by the Participant from the Company pursuant to this Agreement.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(h)    </w:t>
      </w:r>
      <w:r>
        <w:rPr>
          <w:rFonts w:ascii="Times New Roman;sans-serif" w:hAnsi="Times New Roman;sans-serif"/>
          <w:b w:val="false"/>
          <w:color w:val="000000"/>
          <w:sz w:val="20"/>
          <w:u w:val="single"/>
        </w:rPr>
        <w:t>Right to Set Off</w:t>
      </w:r>
      <w:r>
        <w:rPr>
          <w:rFonts w:ascii="Times New Roman;sans-serif" w:hAnsi="Times New Roman;sans-serif"/>
          <w:b w:val="false"/>
          <w:color w:val="000000"/>
          <w:sz w:val="20"/>
        </w:rPr>
        <w:t>. By accepting this Agreement, the Participant consents to a deduction from any amounts the Company owes the Participant from time to time (including amounts owed to the Participant as wages or other compensation, for any benefits, or vacation pay, as well as any other amounts owed to the Participant by the Company), up to the dollar amount the Participant owes the Company under Section 4(g) or 4(j). Whether or not the Company elects to make any set off in whole or in part, if the Company does not recover by means of set off the full amount the Participant owes the Company calculated as set forth in Section 4(h), the Participant agrees to pay immediately the unpaid balance to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Board of Director Discretion</w:t>
      </w:r>
      <w:r>
        <w:rPr>
          <w:rFonts w:ascii="Times New Roman;sans-serif" w:hAnsi="Times New Roman;sans-serif"/>
          <w:b w:val="false"/>
          <w:color w:val="000000"/>
          <w:sz w:val="20"/>
        </w:rPr>
        <w:t>. The Participant may be released from his or her obligations under Sections 4(g) and 4(h) only if the Board, or a duly authorized committee thereof, determines, in its sole and absolute discretion, that such action is not adverse to the interests of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(j)    </w:t>
      </w:r>
      <w:r>
        <w:rPr>
          <w:rFonts w:ascii="Times New Roman;sans-serif" w:hAnsi="Times New Roman;sans-serif"/>
          <w:b w:val="false"/>
          <w:color w:val="000000"/>
          <w:sz w:val="20"/>
          <w:u w:val="single"/>
        </w:rPr>
        <w:t>Clawback Policy</w:t>
      </w:r>
      <w:r>
        <w:rPr>
          <w:rFonts w:ascii="Times New Roman;sans-serif" w:hAnsi="Times New Roman;sans-serif"/>
          <w:b w:val="false"/>
          <w:color w:val="000000"/>
          <w:sz w:val="20"/>
        </w:rPr>
        <w:t>. Notwithstanding anything to the contrary contained, in consideration of the grant of this award, the Participant agrees that this award and any payments under it will be subject to forfeiture or repayment to the extent provided for in the Republic Services, Inc. Clawback Policy, as it may be amended or restated from time to time, or in accordance with any rules or regulations adopted by the Securities and Exchange Commission and the New York Stock Exchange pursuant to Section 10D of the Securities Exchange Act of 1934 or other applicable law.</w:t>
      </w:r>
    </w:p>
    <w:p>
      <w:pPr>
        <w:pStyle w:val="TextBody"/>
        <w:bidi w:val="0"/>
        <w:spacing w:lineRule="auto" w:line="288" w:before="120" w:after="120"/>
        <w:ind w:left="0" w:right="0" w:hanging="360"/>
        <w:jc w:val="both"/>
        <w:rPr/>
      </w:pPr>
      <w:r>
        <w:rPr>
          <w:rFonts w:ascii="Times New Roman;sans-serif" w:hAnsi="Times New Roman;sans-serif"/>
          <w:b w:val="false"/>
          <w:color w:val="000000"/>
          <w:sz w:val="20"/>
        </w:rPr>
        <w:t>5.    </w:t>
      </w:r>
      <w:r>
        <w:rPr>
          <w:rFonts w:ascii="Times New Roman;sans-serif" w:hAnsi="Times New Roman;sans-serif"/>
          <w:b w:val="false"/>
          <w:color w:val="000000"/>
          <w:sz w:val="20"/>
          <w:u w:val="single"/>
        </w:rPr>
        <w:t>Change of Control or Capital Structure</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Change in Capital Structure</w:t>
      </w:r>
      <w:r>
        <w:rPr>
          <w:rFonts w:ascii="Times New Roman;sans-serif" w:hAnsi="Times New Roman;sans-serif"/>
          <w:b w:val="false"/>
          <w:color w:val="000000"/>
          <w:sz w:val="20"/>
        </w:rPr>
        <w:t>. Subject to any required action by the shareholders of the Company, the number of Performance Shares covered by this award shall be proportionately adjusted and the terms of the restrictions on such Performance Shares shall be adjusted as the Committee shall determine to be equitably required for any increase or decrease in the number of issued and outstanding shares of Common Stock of the Company resulting from any stock dividend (but only on the Common Stock), stock split, subdivision, combination, reclassification, recapitalization or general issuance to the holders of Common Stock of rights to purchase Common Stock at substantially below Fair Market Value or any change in the number of such shares outstanding effected without receipt of cash or property or labor or services by the Company or for any spin-off, spin-out, split-up, split-off or other distribution of assets to shareholders.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Change in Control</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If, within one year after a Change in Control, the Company terminates the Participant’s continuous service with the Company without Cause, the Performance Shares will immediately vest as if all target performance goals had been met and will be paid at target by the Company to the Participant at such time as the Company would have been required to make such payments if the termination of employment had not occurred. In the event this Section 5(b)(i) conflicts with Section 3(b)(iii), this Section 5(b)(i) shall control.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6</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2"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Except as provided in Section 5(b)(i), the award of Performance Shares shall not become vested in the event that a Change in Control occurs, except to the extent required in any employment agreement between the Company and the Participant or under the Separation Policy, as applicable. In the event of a change in the Common Stock as presently constituted, which is limited to a change in all of its authorized shares without par value into the same number of shares with par value, the shares resulting from any such change shall be deemed to be the Common Stock within the meaning of the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Other Adjustments</w:t>
      </w:r>
      <w:r>
        <w:rPr>
          <w:rFonts w:ascii="Times New Roman;sans-serif" w:hAnsi="Times New Roman;sans-serif"/>
          <w:b w:val="false"/>
          <w:color w:val="000000"/>
          <w:sz w:val="20"/>
        </w:rPr>
        <w:t>. The award of Performance Shares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6.    </w:t>
      </w:r>
      <w:r>
        <w:rPr>
          <w:rFonts w:ascii="Times New Roman;sans-serif" w:hAnsi="Times New Roman;sans-serif"/>
          <w:b w:val="false"/>
          <w:color w:val="000000"/>
          <w:sz w:val="20"/>
          <w:u w:val="single"/>
        </w:rPr>
        <w:t>Governing Law and Venue</w:t>
      </w:r>
      <w:r>
        <w:rPr>
          <w:rFonts w:ascii="Times New Roman;sans-serif" w:hAnsi="Times New Roman;sans-serif"/>
          <w:b w:val="false"/>
          <w:color w:val="000000"/>
          <w:sz w:val="20"/>
        </w:rPr>
        <w:t>. This Agreement shall be governed by and construed in accordance with the laws of the State of Delaware, without regard to its principles of conflict of laws. The parties agree that any action, suit or proceeding arising out of or related to this Agreement or the relationship of the Participant and the Company, shall be instituted only in the state or federal courts located in Maricopa County in the State of Arizona, and each party waives any objection which such party may now or hereafter have to such venue or jurisdictional court in any action, suit, or proceeding. Any and all services of process and any other notice in any such action, suit or proceeding shall be effective against any party if given by mail (registered or certified where possible, return receipt requested), postage prepaid, mailed to such party at the address set forth in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7.    </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The invalidity or enforceability of any one or more provisions of this Agreement shall not affect the validity or enforceability of any other provision of this Agreement, which shall remain in full force and effect. In the event that a court of competent jurisdiction should determine that any time period provided for in Section 4(g) or 4(j) is unenforceable, then such period shall be reduced to the longest period of time which such court shall deem enforceable, taking into consideration the purpose and intent of the Plan to serve the interests of the Company and its shareholders.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8.    </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or other communications with respect to the Performance Shares shall be deemed given and delivered in person or mailed by registered or certified mail (return receipt requested, postage prepaid) to the Company’s Stock Administrator at the following address (or such other address, as shall be specified by like notice of a change of address) and shall be effective upon receipt:</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Stock Administrator</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Republic Services, Inc.</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18500 N. Allied Way</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Phoenix, AZ 85054</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9.    </w:t>
      </w:r>
      <w:r>
        <w:rPr>
          <w:rFonts w:ascii="Times New Roman;sans-serif" w:hAnsi="Times New Roman;sans-serif"/>
          <w:b w:val="false"/>
          <w:color w:val="000000"/>
          <w:sz w:val="20"/>
          <w:u w:val="single"/>
        </w:rPr>
        <w:t>Waiver</w:t>
      </w:r>
      <w:r>
        <w:rPr>
          <w:rFonts w:ascii="Times New Roman;sans-serif" w:hAnsi="Times New Roman;sans-serif"/>
          <w:b w:val="false"/>
          <w:color w:val="000000"/>
          <w:sz w:val="20"/>
        </w:rPr>
        <w:t>. The failure of any party at any time to require strict performance of any condition, promise, agreement or understanding set forth in this Agreement shall not be construed as a waiver or relinquishment of the right to require strict performance of the same condition, promise, agreement or understanding at a subsequent time.</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10.    </w:t>
      </w:r>
      <w:r>
        <w:rPr>
          <w:rFonts w:ascii="Times New Roman;sans-serif" w:hAnsi="Times New Roman;sans-serif"/>
          <w:b w:val="false"/>
          <w:color w:val="000000"/>
          <w:sz w:val="20"/>
          <w:u w:val="single"/>
        </w:rPr>
        <w:t>Interpretation/Provisions of Plan Control</w:t>
      </w:r>
      <w:r>
        <w:rPr>
          <w:rFonts w:ascii="Times New Roman;sans-serif" w:hAnsi="Times New Roman;sans-serif"/>
          <w:b w:val="false"/>
          <w:color w:val="000000"/>
          <w:sz w:val="20"/>
        </w:rPr>
        <w:t>. In the event of any conflict between the provisions of the Plan and the provisions of this Agreement, the provisions of the Plan shall govern. The Participant hereby accepts as final, conclusive and binding, any decisions by the Committee with respect to the interpretation or administration of the Plan and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11.    </w:t>
      </w:r>
      <w:r>
        <w:rPr>
          <w:rFonts w:ascii="Times New Roman;sans-serif" w:hAnsi="Times New Roman;sans-serif"/>
          <w:b w:val="false"/>
          <w:color w:val="000000"/>
          <w:sz w:val="20"/>
          <w:u w:val="single"/>
        </w:rPr>
        <w:t>Participant Bound by Plan</w:t>
      </w:r>
      <w:r>
        <w:rPr>
          <w:rFonts w:ascii="Times New Roman;sans-serif" w:hAnsi="Times New Roman;sans-serif"/>
          <w:b w:val="false"/>
          <w:color w:val="000000"/>
          <w:sz w:val="20"/>
        </w:rPr>
        <w:t>. The Participant hereby acknowledges receipt of a copy of the Plan and agrees to be bound by all the terms, conditions and provisions thereof.</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12.    </w:t>
      </w:r>
      <w:r>
        <w:rPr>
          <w:rFonts w:ascii="Times New Roman;sans-serif" w:hAnsi="Times New Roman;sans-serif"/>
          <w:b w:val="false"/>
          <w:color w:val="000000"/>
          <w:sz w:val="20"/>
          <w:u w:val="single"/>
        </w:rPr>
        <w:t>Binding Effect</w:t>
      </w:r>
      <w:r>
        <w:rPr>
          <w:rFonts w:ascii="Times New Roman;sans-serif" w:hAnsi="Times New Roman;sans-serif"/>
          <w:b w:val="false"/>
          <w:color w:val="000000"/>
          <w:sz w:val="20"/>
        </w:rPr>
        <w:t>. Subject to the limitations stated in this Agreement and in the Plan, this Agreement shall be binding upon and inure to the benefit of the successors and assigns of the Company and the Participant’s heirs, legatees, distributees and personal representatives.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13.    </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xml:space="preserve">. This Agreement may be signed in any number of counterparts, each of which shall be an original, with the same effect as if the signatures thereto and hereto were upon the same instrument. The facsimile or email transmission of a signed signature page or an electronic acceptance of the Agreement, by any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7</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3"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party to the other(s), shall constitute valid execution and acceptance of this Agreement by the signing/transmitting party.</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14.    </w:t>
      </w:r>
      <w:r>
        <w:rPr>
          <w:rFonts w:ascii="Times New Roman;sans-serif" w:hAnsi="Times New Roman;sans-serif"/>
          <w:b w:val="false"/>
          <w:color w:val="000000"/>
          <w:sz w:val="20"/>
          <w:u w:val="single"/>
        </w:rPr>
        <w:t>Section 409A</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It is the intention of both the Company and the Participant that the benefits and rights to which the Participant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Participant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Participant and on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u w:val="single"/>
        </w:rPr>
        <w:t>No Representations as to Section 409A Compliance</w:t>
      </w:r>
      <w:r>
        <w:rPr>
          <w:rFonts w:ascii="Times New Roman;sans-serif" w:hAnsi="Times New Roman;sans-serif"/>
          <w:b w:val="false"/>
          <w:color w:val="000000"/>
          <w:sz w:val="20"/>
        </w:rPr>
        <w:t>. Notwithstanding the foregoing, the Company does not make any representation to the Participant that the Performance Shares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Separation from Service</w:t>
      </w:r>
      <w:r>
        <w:rPr>
          <w:rFonts w:ascii="Times New Roman;sans-serif" w:hAnsi="Times New Roman;sans-serif"/>
          <w:b w:val="false"/>
          <w:color w:val="000000"/>
          <w:sz w:val="20"/>
        </w:rPr>
        <w:t>. If and to the extent permitted by Treasury Regulations Section 1.409A-1(h)(5) or other applicable law, the Participant provides services both as an employee of the Company and as a member of the Board, the services provided as a member of the Board shall not be taken into account in determining whether the Participant has incurred a Separation from Service for purposes of Section 4(a).</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6 Month Delay for Specified Employees</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If the Participant is a “Specified Employee,”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For purposes of this provision, the Participant shall be considered to be a “Specified Employee” if, at the time of his or her Separation from Service, the Participant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No Acceleration of Payments</w:t>
      </w:r>
      <w:r>
        <w:rPr>
          <w:rFonts w:ascii="Times New Roman;sans-serif" w:hAnsi="Times New Roman;sans-serif"/>
          <w:b w:val="false"/>
          <w:color w:val="000000"/>
          <w:sz w:val="20"/>
        </w:rPr>
        <w:t>. Neither the Company nor the Participant,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15.    </w:t>
      </w:r>
      <w:r>
        <w:rPr>
          <w:rFonts w:ascii="Times New Roman;sans-serif" w:hAnsi="Times New Roman;sans-serif"/>
          <w:b w:val="false"/>
          <w:color w:val="000000"/>
          <w:sz w:val="20"/>
          <w:u w:val="single"/>
        </w:rPr>
        <w:t>Fractional Performance Shares</w:t>
      </w:r>
      <w:r>
        <w:rPr>
          <w:rFonts w:ascii="Times New Roman;sans-serif" w:hAnsi="Times New Roman;sans-serif"/>
          <w:b w:val="false"/>
          <w:color w:val="000000"/>
          <w:sz w:val="20"/>
        </w:rPr>
        <w:t>. Notwithstanding any provisions in this Agreement to the contrary, no full share of Common Stock or cash will be issued for a fractional Stock-Settled Performance Share unless the fractional Stock-Settled Performance Share is for at least one-half of a Performance Share; provided that if the Company determines to allow fractional shares of Common Stock to be distributed or made available under the Company’s compensation and benefit plans, any fractional share of Common Stock due under this Plan shall be distributed in the form of a fractional share of Common Stock, and the foregoing rounding rules shall cease to apply.</w:t>
      </w:r>
    </w:p>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Company has caused this Agreement to be signed by a duly authorized officer, and the Participant has affixed his or her signature hereto.</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8</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4"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color w:val="000000"/>
        </w:rPr>
      </w:pPr>
      <w:r>
        <w:rPr>
          <w:color w:val="000000"/>
        </w:rPr>
        <w:t>                            </w: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_________________________</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Jon Vander Ark </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Chief Executive Officer and President</w:t>
      </w:r>
    </w:p>
    <w:p>
      <w:pPr>
        <w:pStyle w:val="TextBody"/>
        <w:bidi w:val="0"/>
        <w:spacing w:before="0" w:after="240"/>
        <w:jc w:val="center"/>
        <w:rPr/>
      </w:pPr>
      <w:r>
        <w:rPr/>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9</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5"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i/>
          <w:color w:val="000000"/>
          <w:sz w:val="20"/>
        </w:rPr>
      </w:pPr>
      <w:r>
        <w:rPr>
          <w:rFonts w:ascii="Times New Roman;sans-serif" w:hAnsi="Times New Roman;sans-serif"/>
          <w:b/>
          <w:i/>
          <w:color w:val="000000"/>
          <w:sz w:val="20"/>
        </w:rPr>
        <w:t>APPENDIX A</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provides the calculation for determining the number of Earned Performance Shares based on the Company’s achievement of target levels of cash flow value creation (“CFVC”), return on invested capital (“ROIC”) and total shareholder return relative to the S&amp;P 500 Index (“RTSR”) over the Performance Period, as determined as soon as practicable after the end of the Performance Period by the Committee. The Committee may, in its sole and absolute discretion, use negative discretion to decrease, but not increase, the number of Earned Performance Shares otherwise payable to the Participant based upon such performance. For example, negative discretion may be used in the event of certain infrequent or unusual gain from an unexpected event that would favorably impact the number of Earned Performance Shares absent the use of negative discretion. All determinations by the Committee shall be final, conclusive and binding.</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Criterion, Target, Threshold and Maximum for the Performance Shares shall be as follows:</w:t>
      </w:r>
    </w:p>
    <w:p>
      <w:pPr>
        <w:pStyle w:val="TextBody"/>
        <w:bidi w:val="0"/>
        <w:spacing w:before="0" w:after="0"/>
        <w:jc w:val="both"/>
        <w:rPr/>
      </w:pPr>
      <w:r>
        <w:rPr/>
      </w:r>
    </w:p>
    <w:tbl>
      <w:tblPr>
        <w:tblW w:w="4534" w:type="dxa"/>
        <w:jc w:val="center"/>
        <w:tblInd w:w="0" w:type="dxa"/>
        <w:tblLayout w:type="fixed"/>
        <w:tblCellMar>
          <w:top w:w="28" w:type="dxa"/>
          <w:left w:w="28" w:type="dxa"/>
          <w:bottom w:w="28" w:type="dxa"/>
          <w:right w:w="28" w:type="dxa"/>
        </w:tblCellMar>
      </w:tblPr>
      <w:tblGrid>
        <w:gridCol w:w="446"/>
        <w:gridCol w:w="392"/>
        <w:gridCol w:w="393"/>
        <w:gridCol w:w="310"/>
        <w:gridCol w:w="310"/>
        <w:gridCol w:w="311"/>
        <w:gridCol w:w="445"/>
        <w:gridCol w:w="445"/>
        <w:gridCol w:w="446"/>
        <w:gridCol w:w="303"/>
        <w:gridCol w:w="303"/>
        <w:gridCol w:w="430"/>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CRITERION</w:t>
            </w:r>
          </w:p>
        </w:tc>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TARGET</w:t>
            </w:r>
          </w:p>
        </w:tc>
        <w:tc>
          <w:tcPr>
            <w:tcW w:w="13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THRESHOLD</w:t>
            </w:r>
          </w:p>
        </w:tc>
        <w:tc>
          <w:tcPr>
            <w:tcW w:w="103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Maximum</w:t>
            </w:r>
          </w:p>
        </w:tc>
      </w:tr>
      <w:tr>
        <w:trPr/>
        <w:tc>
          <w:tcPr>
            <w:tcW w:w="12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CFVC</w:t>
            </w:r>
          </w:p>
        </w:tc>
        <w:tc>
          <w:tcPr>
            <w:tcW w:w="9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ROIC</w:t>
            </w:r>
          </w:p>
        </w:tc>
        <w:tc>
          <w:tcPr>
            <w:tcW w:w="93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CFVC target and ROIC target are each met but not exceeded, the Earned Performance Shares will be paid at target, subject to adjustment for RTSR as set forth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Performance Shares Escalator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ROIC target is met and the CFVC target is exceeded, prior to adjusting for the RTSR multiplier, the Performance Share Grant payout (“PSU Grant Unadjusted Payout”) will be calculated at an amount above target. The multiplying factor applied to target PSU Grant Unadjusted Payout is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CFVC Multiplying Factor to PSU Grant Unadjusted Payout</w:t>
      </w:r>
      <w:r>
        <w:rPr>
          <w:color w:val="000000"/>
        </w:rPr>
        <w:t xml:space="preserve"> </w:t>
      </w:r>
      <w:r>
        <w:rPr>
          <w:rFonts w:ascii="Times New Roman;sans-serif" w:hAnsi="Times New Roman;sans-serif"/>
          <w:b w:val="false"/>
          <w:color w:val="000000"/>
          <w:sz w:val="20"/>
        </w:rPr>
        <w:t>(intermediate results will be interpolated):</w:t>
      </w:r>
    </w:p>
    <w:p>
      <w:pPr>
        <w:pStyle w:val="TextBody"/>
        <w:bidi w:val="0"/>
        <w:spacing w:before="0" w:after="0"/>
        <w:jc w:val="both"/>
        <w:rPr/>
      </w:pPr>
      <w:r>
        <w:rPr/>
      </w:r>
    </w:p>
    <w:tbl>
      <w:tblPr>
        <w:tblW w:w="4125" w:type="dxa"/>
        <w:jc w:val="center"/>
        <w:tblInd w:w="0" w:type="dxa"/>
        <w:tblLayout w:type="fixed"/>
        <w:tblCellMar>
          <w:top w:w="28" w:type="dxa"/>
          <w:left w:w="28" w:type="dxa"/>
          <w:bottom w:w="28" w:type="dxa"/>
          <w:right w:w="28" w:type="dxa"/>
        </w:tblCellMar>
      </w:tblPr>
      <w:tblGrid>
        <w:gridCol w:w="646"/>
        <w:gridCol w:w="568"/>
        <w:gridCol w:w="571"/>
        <w:gridCol w:w="684"/>
        <w:gridCol w:w="684"/>
        <w:gridCol w:w="97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Achievement</w:t>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Multiplying Factor</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100% (Target)</w:t>
            </w:r>
          </w:p>
        </w:tc>
      </w:tr>
      <w:tr>
        <w:trPr/>
        <w:tc>
          <w:tcPr>
            <w:tcW w:w="178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200% (Maximum)</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Performance Shares Payout if Targets not Met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either or both targets are not met, the PSU Grant Unadjusted Payout will be calculated at an amount at or below target. Each criterion will be averaged and weighted 50%. If ROIC target is not met and the calculation results in the PSU Grant Unadjusted Payout above target, the PSU Grant Unadjusted Payout will be limited to target.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CFVC Multiplying Factor to PSU Grant Unadjusted Payout</w:t>
      </w:r>
      <w:r>
        <w:rPr>
          <w:color w:val="000000"/>
        </w:rPr>
        <w:t xml:space="preserve"> </w:t>
      </w:r>
      <w:r>
        <w:rPr>
          <w:rFonts w:ascii="Times New Roman;sans-serif" w:hAnsi="Times New Roman;sans-serif"/>
          <w:b w:val="false"/>
          <w:color w:val="000000"/>
          <w:sz w:val="20"/>
        </w:rPr>
        <w:t>(intermediate results will be interpolated on a straight-line basis):</w:t>
      </w:r>
    </w:p>
    <w:p>
      <w:pPr>
        <w:pStyle w:val="TextBody"/>
        <w:bidi w:val="0"/>
        <w:spacing w:before="0" w:after="160"/>
        <w:jc w:val="left"/>
        <w:rPr/>
      </w:pPr>
      <w:r>
        <w:rPr/>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10</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66"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1.45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tbl>
      <w:tblPr>
        <w:tblW w:w="4125" w:type="dxa"/>
        <w:jc w:val="center"/>
        <w:tblInd w:w="0" w:type="dxa"/>
        <w:tblLayout w:type="fixed"/>
        <w:tblCellMar>
          <w:top w:w="28" w:type="dxa"/>
          <w:left w:w="28" w:type="dxa"/>
          <w:bottom w:w="28" w:type="dxa"/>
          <w:right w:w="28" w:type="dxa"/>
        </w:tblCellMar>
      </w:tblPr>
      <w:tblGrid>
        <w:gridCol w:w="646"/>
        <w:gridCol w:w="568"/>
        <w:gridCol w:w="571"/>
        <w:gridCol w:w="684"/>
        <w:gridCol w:w="684"/>
        <w:gridCol w:w="97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Achievement</w:t>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Multiplying Factor</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 (Threshold)</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100% (Target)</w:t>
            </w:r>
          </w:p>
        </w:tc>
      </w:tr>
      <w:tr>
        <w:trPr/>
        <w:tc>
          <w:tcPr>
            <w:tcW w:w="178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200% (Maximum)</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ROIC Multiplying Factor to PSU Grant Unadjusted Payout</w:t>
      </w:r>
      <w:r>
        <w:rPr>
          <w:color w:val="000000"/>
        </w:rPr>
        <w:t xml:space="preserve"> </w:t>
      </w:r>
      <w:r>
        <w:rPr>
          <w:rFonts w:ascii="Times New Roman;sans-serif" w:hAnsi="Times New Roman;sans-serif"/>
          <w:b w:val="false"/>
          <w:color w:val="000000"/>
          <w:sz w:val="20"/>
        </w:rPr>
        <w:t>(intermediate results will be interpolated on a straight-line basis):</w:t>
      </w:r>
    </w:p>
    <w:p>
      <w:pPr>
        <w:pStyle w:val="TextBody"/>
        <w:bidi w:val="0"/>
        <w:spacing w:before="0" w:after="0"/>
        <w:jc w:val="both"/>
        <w:rPr/>
      </w:pPr>
      <w:r>
        <w:rPr/>
      </w:r>
    </w:p>
    <w:tbl>
      <w:tblPr>
        <w:tblW w:w="4303" w:type="dxa"/>
        <w:jc w:val="center"/>
        <w:tblInd w:w="0" w:type="dxa"/>
        <w:tblLayout w:type="fixed"/>
        <w:tblCellMar>
          <w:top w:w="28" w:type="dxa"/>
          <w:left w:w="28" w:type="dxa"/>
          <w:bottom w:w="28" w:type="dxa"/>
          <w:right w:w="28" w:type="dxa"/>
        </w:tblCellMar>
      </w:tblPr>
      <w:tblGrid>
        <w:gridCol w:w="635"/>
        <w:gridCol w:w="558"/>
        <w:gridCol w:w="561"/>
        <w:gridCol w:w="745"/>
        <w:gridCol w:w="745"/>
        <w:gridCol w:w="1059"/>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ROIC Achievement</w:t>
            </w:r>
          </w:p>
        </w:tc>
        <w:tc>
          <w:tcPr>
            <w:tcW w:w="25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ROIC </w:t>
            </w:r>
          </w:p>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Multiplying Factor</w:t>
            </w:r>
          </w:p>
        </w:tc>
      </w:tr>
      <w:tr>
        <w:trPr/>
        <w:tc>
          <w:tcPr>
            <w:tcW w:w="175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175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 (Threshold)</w:t>
            </w:r>
          </w:p>
        </w:tc>
      </w:tr>
      <w:tr>
        <w:trPr/>
        <w:tc>
          <w:tcPr>
            <w:tcW w:w="175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100% (Target and Maximum)</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Adjustment for RTSR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PSU Grant Unadjusted Payout shall be adjusted further for RTSR performance to determine the payout of the 2025-2027 PSU Grant. The adjustment will be done by multiplying the PSU Grant Unadjusted Payout by the TSR Multiplier on Unadjusted Payout as follows:</w:t>
      </w:r>
    </w:p>
    <w:p>
      <w:pPr>
        <w:pStyle w:val="TextBody"/>
        <w:bidi w:val="0"/>
        <w:spacing w:before="0" w:after="0"/>
        <w:jc w:val="both"/>
        <w:rPr/>
      </w:pPr>
      <w:r>
        <w:rPr/>
      </w:r>
    </w:p>
    <w:tbl>
      <w:tblPr>
        <w:tblW w:w="5114" w:type="dxa"/>
        <w:jc w:val="center"/>
        <w:tblInd w:w="0" w:type="dxa"/>
        <w:tblLayout w:type="fixed"/>
        <w:tblCellMar>
          <w:top w:w="28" w:type="dxa"/>
          <w:left w:w="28" w:type="dxa"/>
          <w:bottom w:w="28" w:type="dxa"/>
          <w:right w:w="28" w:type="dxa"/>
        </w:tblCellMar>
      </w:tblPr>
      <w:tblGrid>
        <w:gridCol w:w="647"/>
        <w:gridCol w:w="568"/>
        <w:gridCol w:w="570"/>
        <w:gridCol w:w="975"/>
        <w:gridCol w:w="975"/>
        <w:gridCol w:w="137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RTSR Performance</w:t>
            </w:r>
          </w:p>
        </w:tc>
        <w:tc>
          <w:tcPr>
            <w:tcW w:w="33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TSR Multiplier on Unadjusted Payout</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78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0"/>
        </w:rPr>
        <w:t>Definitions</w:t>
      </w:r>
      <w:r>
        <w:rPr>
          <w:rFonts w:ascii="Times New Roman;sans-serif" w:hAnsi="Times New Roman;sans-serif"/>
          <w:b w:val="false"/>
          <w:color w:val="000000"/>
          <w:sz w:val="20"/>
        </w:rPr>
        <w:t>:</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CFVC” shall mean Cash Flow Value Creation, a three</w:t>
      </w:r>
      <w:r>
        <w:rPr>
          <w:rFonts w:ascii="Times New Roman;sans-serif" w:hAnsi="Times New Roman;sans-serif"/>
          <w:b w:val="false"/>
          <w:color w:val="0000FF"/>
          <w:sz w:val="24"/>
          <w:u w:val="single"/>
        </w:rPr>
        <w:t>-</w:t>
      </w:r>
      <w:r>
        <w:rPr>
          <w:rFonts w:ascii="Times New Roman;sans-serif" w:hAnsi="Times New Roman;sans-serif"/>
          <w:b w:val="false"/>
          <w:color w:val="000000"/>
          <w:sz w:val="20"/>
        </w:rPr>
        <w:t>year cumulative, total dollar measure that increases over the three</w:t>
      </w:r>
      <w:r>
        <w:rPr>
          <w:rFonts w:ascii="Times New Roman;sans-serif" w:hAnsi="Times New Roman;sans-serif"/>
          <w:b w:val="false"/>
          <w:color w:val="0000FF"/>
          <w:sz w:val="24"/>
          <w:u w:val="single"/>
        </w:rPr>
        <w:t>-</w:t>
      </w:r>
      <w:r>
        <w:rPr>
          <w:rFonts w:ascii="Times New Roman;sans-serif" w:hAnsi="Times New Roman;sans-serif"/>
          <w:b w:val="false"/>
          <w:color w:val="000000"/>
          <w:sz w:val="20"/>
        </w:rPr>
        <w:t>year time period to reach a predetermined goal.</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ROIC” shall mean Return on Invested Capital, an investment return measure which is established for the attainment of a predetermined target over a three</w:t>
      </w:r>
      <w:r>
        <w:rPr>
          <w:rFonts w:ascii="Times New Roman;sans-serif" w:hAnsi="Times New Roman;sans-serif"/>
          <w:b w:val="false"/>
          <w:color w:val="0000FF"/>
          <w:sz w:val="24"/>
          <w:u w:val="single"/>
        </w:rPr>
        <w:t>-</w:t>
      </w:r>
      <w:r>
        <w:rPr>
          <w:rFonts w:ascii="Times New Roman;sans-serif" w:hAnsi="Times New Roman;sans-serif"/>
          <w:b w:val="false"/>
          <w:color w:val="000000"/>
          <w:sz w:val="20"/>
        </w:rPr>
        <w:t>year period</w:t>
      </w:r>
      <w:r>
        <w:rPr>
          <w:rFonts w:ascii="Times New Roman;sans-serif" w:hAnsi="Times New Roman;sans-serif"/>
          <w:b/>
          <w:color w:val="000000"/>
          <w:sz w:val="20"/>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0"/>
        </w:rPr>
        <w:t>CFVC” and “ROIC” shall be prepared on a consistent basis, adjusted by the Committee, in its discretion, for the impact of:</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(i)the loss on extinguishment of debt;</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(ii)gains and losses (or related impairments) from divestitures, impairments of goodwill and other costs and impairments resulting from exiting a business;</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(iii)gains or losses associated with withdrawal from or termination of one or more benefit plans;</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(iv)material changes caused by new accounting rules or new interpretations of previous accounting rules; and</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(v)similar events or circumstances.</w:t>
      </w:r>
    </w:p>
    <w:p>
      <w:pPr>
        <w:pStyle w:val="TextBody"/>
        <w:bidi w:val="0"/>
        <w:jc w:val="both"/>
        <w:rPr/>
      </w:pPr>
      <w:r>
        <w:rPr/>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11</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1.45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jc w:val="both"/>
        <w:rPr>
          <w:color w:val="000000"/>
        </w:rPr>
      </w:pPr>
      <w:r>
        <w:rPr>
          <w:color w:val="000000"/>
        </w:rPr>
        <w:t>“</w:t>
      </w:r>
      <w:r>
        <w:rPr>
          <w:rFonts w:ascii="Times New Roman;sans-serif" w:hAnsi="Times New Roman;sans-serif"/>
          <w:b w:val="false"/>
          <w:color w:val="000000"/>
          <w:sz w:val="20"/>
        </w:rPr>
        <w:t>RTSR” shall be calculated based on the percentile of performance over the three-year cycle compared to the performance of the S&amp;P 500.</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1819275" cy="904875"/>
            <wp:effectExtent l="0" t="0" r="0" b="0"/>
            <wp:docPr id="16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 descr=""/>
                    <pic:cNvPicPr>
                      <a:picLocks noChangeAspect="1" noChangeArrowheads="1"/>
                    </pic:cNvPicPr>
                  </pic:nvPicPr>
                  <pic:blipFill>
                    <a:blip r:embed="rId127"/>
                    <a:stretch>
                      <a:fillRect/>
                    </a:stretch>
                  </pic:blipFill>
                  <pic:spPr bwMode="auto">
                    <a:xfrm>
                      <a:off x="0" y="0"/>
                      <a:ext cx="1819275" cy="904875"/>
                    </a:xfrm>
                    <a:prstGeom prst="rect">
                      <a:avLst/>
                    </a:prstGeom>
                  </pic:spPr>
                </pic:pic>
              </a:graphicData>
            </a:graphic>
          </wp:inline>
        </w:drawing>
      </w:r>
      <w:r>
        <w:rPr>
          <w:rFonts w:ascii="Cambria;sans-serif" w:hAnsi="Cambria;sans-serif"/>
          <w:b w:val="false"/>
          <w:color w:val="000000"/>
          <w:sz w:val="20"/>
        </w:rPr>
        <w:t>1</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69"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3.45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before="0" w:after="144"/>
        <w:jc w:val="center"/>
        <w:rPr/>
      </w:pPr>
      <w:r>
        <w:rPr/>
      </w:r>
    </w:p>
    <w:p>
      <w:pPr>
        <w:pStyle w:val="TextBody"/>
        <w:bidi w:val="0"/>
        <w:spacing w:before="0" w:after="144"/>
        <w:jc w:val="left"/>
        <w:rPr/>
      </w:pPr>
      <w:r>
        <w:rPr/>
      </w:r>
    </w:p>
    <w:p>
      <w:pPr>
        <w:pStyle w:val="TextBody"/>
        <w:bidi w:val="0"/>
        <w:spacing w:before="0" w:after="144"/>
        <w:jc w:val="left"/>
        <w:rPr/>
      </w:pPr>
      <w:r>
        <w:rPr/>
      </w:r>
    </w:p>
    <w:p>
      <w:pPr>
        <w:pStyle w:val="TextBody"/>
        <w:bidi w:val="0"/>
        <w:spacing w:lineRule="auto" w:line="352" w:before="0" w:after="144"/>
        <w:jc w:val="right"/>
        <w:rPr>
          <w:rFonts w:ascii="Times New Roman;sans-serif" w:hAnsi="Times New Roman;sans-serif"/>
          <w:b/>
          <w:color w:val="000000"/>
          <w:sz w:val="20"/>
        </w:rPr>
      </w:pPr>
      <w:r>
        <w:rPr>
          <w:rFonts w:ascii="Times New Roman;sans-serif" w:hAnsi="Times New Roman;sans-serif"/>
          <w:b/>
          <w:color w:val="000000"/>
          <w:sz w:val="20"/>
        </w:rPr>
        <w:t>EXHIBIT 10.19</w:t>
      </w:r>
    </w:p>
    <w:p>
      <w:pPr>
        <w:pStyle w:val="TextBody"/>
        <w:bidi w:val="0"/>
        <w:spacing w:before="0" w:after="144"/>
        <w:jc w:val="left"/>
        <w:rPr/>
      </w:pPr>
      <w:r>
        <w:rPr/>
      </w:r>
    </w:p>
    <w:p>
      <w:pPr>
        <w:pStyle w:val="TextBody"/>
        <w:bidi w:val="0"/>
        <w:spacing w:lineRule="auto" w:line="352" w:before="0" w:after="144"/>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312" w:before="36" w:after="283"/>
        <w:jc w:val="center"/>
        <w:rPr>
          <w:rFonts w:ascii="Times New Roman;sans-serif" w:hAnsi="Times New Roman;sans-serif"/>
          <w:b/>
          <w:color w:val="000000"/>
          <w:sz w:val="20"/>
        </w:rPr>
      </w:pPr>
      <w:r>
        <w:rPr>
          <w:rFonts w:ascii="Times New Roman;sans-serif" w:hAnsi="Times New Roman;sans-serif"/>
          <w:b/>
          <w:color w:val="000000"/>
          <w:sz w:val="20"/>
        </w:rPr>
        <w:t>PERFORMANCE SHARE AGREEMENT</w:t>
      </w:r>
    </w:p>
    <w:p>
      <w:pPr>
        <w:pStyle w:val="TextBody"/>
        <w:bidi w:val="0"/>
        <w:spacing w:lineRule="auto" w:line="312" w:before="36" w:after="283"/>
        <w:jc w:val="center"/>
        <w:rPr>
          <w:rFonts w:ascii="Times New Roman;sans-serif" w:hAnsi="Times New Roman;sans-serif"/>
          <w:b/>
          <w:color w:val="000000"/>
          <w:sz w:val="20"/>
        </w:rPr>
      </w:pPr>
      <w:r>
        <w:rPr>
          <w:rFonts w:ascii="Times New Roman;sans-serif" w:hAnsi="Times New Roman;sans-serif"/>
          <w:b/>
          <w:color w:val="000000"/>
          <w:sz w:val="20"/>
        </w:rPr>
        <w:t>(Other Executive)</w:t>
      </w:r>
    </w:p>
    <w:p>
      <w:pPr>
        <w:pStyle w:val="TextBody"/>
        <w:bidi w:val="0"/>
        <w:spacing w:before="36" w:after="283"/>
        <w:jc w:val="center"/>
        <w:rPr/>
      </w:pPr>
      <w:r>
        <w:rPr/>
      </w:r>
    </w:p>
    <w:tbl>
      <w:tblPr>
        <w:tblW w:w="4364" w:type="dxa"/>
        <w:jc w:val="left"/>
        <w:tblInd w:w="0" w:type="dxa"/>
        <w:tblLayout w:type="fixed"/>
        <w:tblCellMar>
          <w:top w:w="28" w:type="dxa"/>
          <w:left w:w="28" w:type="dxa"/>
          <w:bottom w:w="28" w:type="dxa"/>
          <w:right w:w="28" w:type="dxa"/>
        </w:tblCellMar>
      </w:tblPr>
      <w:tblGrid>
        <w:gridCol w:w="1397"/>
        <w:gridCol w:w="1228"/>
        <w:gridCol w:w="1739"/>
      </w:tblGrid>
      <w:tr>
        <w:trPr/>
        <w:tc>
          <w:tcPr>
            <w:tcW w:w="139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4" w:space="0" w:color="004A7C"/>
              <w:left w:val="single" w:sz="4" w:space="0" w:color="004A7C"/>
              <w:right w:val="single" w:sz="4" w:space="0" w:color="004A7C"/>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Recipient Name : </w:t>
            </w:r>
            <w:r>
              <w:rPr>
                <w:rFonts w:ascii="Times New Roman;sans-serif" w:hAnsi="Times New Roman;sans-serif"/>
                <w:b w:val="false"/>
                <w:color w:val="000000"/>
                <w:sz w:val="20"/>
              </w:rPr>
              <w:t>/$ParticipantName$/</w:t>
            </w:r>
          </w:p>
        </w:tc>
      </w:tr>
      <w:tr>
        <w:trPr/>
        <w:tc>
          <w:tcPr>
            <w:tcW w:w="436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Date : </w:t>
            </w:r>
            <w:r>
              <w:rPr>
                <w:rFonts w:ascii="Times New Roman;sans-serif" w:hAnsi="Times New Roman;sans-serif"/>
                <w:b w:val="false"/>
                <w:color w:val="000000"/>
                <w:sz w:val="20"/>
              </w:rPr>
              <w:t>/$GrantDate$/</w:t>
            </w:r>
          </w:p>
        </w:tc>
      </w:tr>
      <w:tr>
        <w:trPr/>
        <w:tc>
          <w:tcPr>
            <w:tcW w:w="436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Type : </w:t>
            </w:r>
            <w:r>
              <w:rPr>
                <w:rFonts w:ascii="Times New Roman;sans-serif" w:hAnsi="Times New Roman;sans-serif"/>
                <w:b w:val="false"/>
                <w:color w:val="000000"/>
                <w:sz w:val="20"/>
              </w:rPr>
              <w:t>/$GrantType$/</w:t>
            </w:r>
          </w:p>
        </w:tc>
      </w:tr>
      <w:tr>
        <w:trPr/>
        <w:tc>
          <w:tcPr>
            <w:tcW w:w="436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Performance Shares Granted : </w:t>
            </w:r>
            <w:r>
              <w:rPr>
                <w:rFonts w:ascii="Times New Roman;sans-serif" w:hAnsi="Times New Roman;sans-serif"/>
                <w:b w:val="false"/>
                <w:color w:val="000000"/>
                <w:sz w:val="20"/>
              </w:rPr>
              <w:t>/$AwardsGranted$/</w:t>
            </w:r>
          </w:p>
        </w:tc>
      </w:tr>
      <w:tr>
        <w:trPr/>
        <w:tc>
          <w:tcPr>
            <w:tcW w:w="4364" w:type="dxa"/>
            <w:gridSpan w:val="3"/>
            <w:tcBorders>
              <w:left w:val="single" w:sz="4" w:space="0" w:color="004A7C"/>
              <w:bottom w:val="single" w:sz="4" w:space="0" w:color="004A7C"/>
              <w:right w:val="single" w:sz="4" w:space="0" w:color="004A7C"/>
            </w:tcBorders>
            <w:tcMar>
              <w:top w:w="0" w:type="dxa"/>
              <w:bottom w:w="3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Plan Name : </w:t>
            </w:r>
            <w:r>
              <w:rPr>
                <w:rFonts w:ascii="Times New Roman;sans-serif" w:hAnsi="Times New Roman;sans-serif"/>
                <w:b w:val="false"/>
                <w:color w:val="000000"/>
                <w:sz w:val="20"/>
              </w:rPr>
              <w:t>/$PlanName$/</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color w:val="000000"/>
                <w:sz w:val="20"/>
              </w:rPr>
              <w:t xml:space="preserve">Settlement Method : </w:t>
            </w:r>
            <w:r>
              <w:rPr>
                <w:rFonts w:ascii="Times New Roman;sans-serif" w:hAnsi="Times New Roman;sans-serif"/>
                <w:b w:val="false"/>
                <w:color w:val="000000"/>
                <w:sz w:val="20"/>
              </w:rPr>
              <w:t>/$GrantTxt6$/</w:t>
            </w:r>
          </w:p>
        </w:tc>
      </w:tr>
    </w:tbl>
    <w:p>
      <w:pPr>
        <w:pStyle w:val="TextBody"/>
        <w:bidi w:val="0"/>
        <w:spacing w:before="36" w:after="283"/>
        <w:jc w:val="center"/>
        <w:rPr/>
      </w:pPr>
      <w:r>
        <w:rPr/>
      </w:r>
    </w:p>
    <w:p>
      <w:pPr>
        <w:pStyle w:val="TextBody"/>
        <w:bidi w:val="0"/>
        <w:spacing w:lineRule="auto" w:line="288" w:before="120" w:after="12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THIS PERFORMANCE SHARE AGREEMENT (the “Agreement”), dated as of Grant Date shown above, between Republic Services, Inc., a Delaware corporation (the “Company”) and Participant (the “Participant”), is made pursuant and subject to the provisions of the Republic Services, Inc. 2021 Stock Incentive Plan, and any future amendments thereto (the “Plan”). The Plan, as it may be amended from time to time, is incorporated in this Agreement by reference.</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All capitalized terms used in this Agreement but not expressly defined shall have the meaning ascribed to them in the Plan, a copy of which is being provided as part of the grant acceptance materials and is incorporated in this Agreement by reference. All references to the Company in this Agreement shall also be deemed to include references to any and all entities directly or indirectly controlled by the Company and which are consolidated with the Company for financial accounting purposes.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Award of Performance Shares</w:t>
      </w:r>
      <w:r>
        <w:rPr>
          <w:rFonts w:ascii="Times New Roman;sans-serif" w:hAnsi="Times New Roman;sans-serif"/>
          <w:b w:val="false"/>
          <w:color w:val="000000"/>
          <w:sz w:val="20"/>
        </w:rPr>
        <w:t>. Subject to the terms and conditions of the Plan and to the terms and conditions set forth in this Agreement, the Company on this date awards to the Participant the target number of Performance Shares equal to the number of Performance Shares Granted as shown in the box above (the “Performance Shares Granted”). The actual number of Performance Shares earned by the Participant shall be from 0% to 220% of the target Performance Shares Granted. The Performance Shares shall be considered a “Long Term Award” or a “long term incentive grant” under any employment agreement or the Company’s Executive Separation Policy (“Separation Policy”), as applicable to the Participant.</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Vesting Schedule</w:t>
      </w:r>
      <w:r>
        <w:rPr>
          <w:rFonts w:ascii="Times New Roman;sans-serif" w:hAnsi="Times New Roman;sans-serif"/>
          <w:b w:val="false"/>
          <w:color w:val="000000"/>
          <w:sz w:val="20"/>
        </w:rPr>
        <w:t xml:space="preserve">. Subject to the terms and conditions of this Agreement, the Performance Shares shall be subject to a three-year performance period, consisting of the Company’s fiscal years 2025, 2026 and 2027 (the “Performance Period”), after which the number of Performance Shares earned (the “Earned Performance Shares”) shall be determined as provided in </w:t>
      </w:r>
      <w:r>
        <w:rPr>
          <w:rFonts w:ascii="Times New Roman;sans-serif" w:hAnsi="Times New Roman;sans-serif"/>
          <w:b w:val="false"/>
          <w:color w:val="000000"/>
          <w:sz w:val="20"/>
          <w:u w:val="single"/>
        </w:rPr>
        <w:t>Appendix A</w:t>
      </w:r>
      <w:r>
        <w:rPr>
          <w:rFonts w:ascii="Times New Roman;sans-serif" w:hAnsi="Times New Roman;sans-serif"/>
          <w:b w:val="false"/>
          <w:color w:val="000000"/>
          <w:sz w:val="20"/>
        </w:rPr>
        <w:t>. Except as otherwise provided below, the number of Earned Performance Shares, if any, shall become vested as of the final date of the Performance Period (the “Vesting Date”) if the Participant remains in continuous service with the Company for the period beginning on the Grant Date and ending on the Vesting Date.</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2</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8620"/>
                <wp:effectExtent l="0" t="0" r="0" b="0"/>
                <wp:wrapNone/>
                <wp:docPr id="170" name="Frame167"/>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60"/>
                              <w:jc w:val="center"/>
                              <w:rPr/>
                            </w:pPr>
                            <w:r>
                              <w:rPr/>
                            </w:r>
                            <w:r>
                              <w:br w:type="page"/>
                            </w:r>
                          </w:p>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before="0" w:after="60"/>
                        <w:jc w:val="center"/>
                        <w:rPr/>
                      </w:pPr>
                      <w:r>
                        <w:rPr/>
                      </w:r>
                    </w:p>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Acceleration of Vesting on Account of Death, Disability, Retirement, or Termination of Employment, or for Other Reasons</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Death or Disability</w:t>
      </w:r>
      <w:r>
        <w:rPr>
          <w:rFonts w:ascii="Times New Roman;sans-serif" w:hAnsi="Times New Roman;sans-serif"/>
          <w:b w:val="false"/>
          <w:color w:val="000000"/>
          <w:sz w:val="20"/>
        </w:rPr>
        <w:t>. In the event that the Participant’s continuous service with the Company terminates by reason of the Participant’s death or Disability prior to the Vesting Date, the Participant shall vest in a pro-rated portion of the Earned Performance Shares, which shall be the product of (1) the number of the Earned Performance Shares, and (2) a fraction, the numerator of which is the number of months of the Performance Period which have elapsed since the first day of the Performance Period to the end of the month in which the Participant’s continuous service with the Company terminates by reason of the Participant’s death or Disability and the denominator of which is the total number of months in the Performance Period.</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(ii)    </w:t>
      </w:r>
      <w:r>
        <w:rPr>
          <w:rFonts w:ascii="Times New Roman;sans-serif" w:hAnsi="Times New Roman;sans-serif"/>
          <w:b w:val="false"/>
          <w:color w:val="000000"/>
          <w:sz w:val="20"/>
          <w:u w:val="single"/>
        </w:rPr>
        <w:t>Retirement</w:t>
      </w:r>
      <w:r>
        <w:rPr>
          <w:rFonts w:ascii="Times New Roman;sans-serif" w:hAnsi="Times New Roman;sans-serif"/>
          <w:b w:val="false"/>
          <w:color w:val="000000"/>
          <w:sz w:val="20"/>
        </w:rPr>
        <w:t xml:space="preserve">. In the event that the Participant’s continuous service with the Company terminates by reason of the Participant’s retirement prior to the Vesting Date, the Participant shall vest in the full number of Earned Performance Shares, if, at the time of such retirement: </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(A)    the Participant is at least fifty-five (55) years old and has completed twenty (20) years of continuous service with the Company; is at least fifty-six (56) years old and has completed ten (10) years of continuous service with the Company; is at least sixty (60) years old and has completed at least five (5) years of continuous service with the Company; or is at least sixty-five (65) years old (without regard to years of service), and in any of these cases has provided the Company not less than one (1) year prior written notice of Participant’s intent to retire; and</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(B)    the Company does not provide the Participant with written notice on or before the anticipated retirement date that the Company intends or has grounds to terminate the Participant’s continuous service for Cause.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determining years of continuous service, service shall include service in any capacity as an employee or a director with any entity whose financial statements are required to be consolidated with the financial statements of the Company, including service with any such entity prior to the date on which the entity’s financial statements were required to be so consolidated. The Participant agrees to make himself or herself reasonably available to the Company to assist any successor to his or her positions with the Company with any transition or other services as may be reasonably requested by the Board during the period beginning on the date the Participant’s continuous service with the Company terminates by reason of the Participant’s retirement and ending on the last day of the Performance Period.     </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(iii)    </w:t>
      </w:r>
      <w:r>
        <w:rPr>
          <w:rFonts w:ascii="Times New Roman;sans-serif" w:hAnsi="Times New Roman;sans-serif"/>
          <w:b w:val="false"/>
          <w:color w:val="000000"/>
          <w:sz w:val="20"/>
          <w:u w:val="single"/>
        </w:rPr>
        <w:t>Termination Without Cause</w:t>
      </w:r>
      <w:r>
        <w:rPr>
          <w:rFonts w:ascii="Times New Roman;sans-serif" w:hAnsi="Times New Roman;sans-serif"/>
          <w:b w:val="false"/>
          <w:color w:val="000000"/>
          <w:sz w:val="20"/>
        </w:rPr>
        <w:t>. In the event that the Participant’s continuous service with the Company is terminated prior to the Vesting Date by the Company without Cause, the Participant shall vest in a pro-rated portion of the Earned Performance Shares, which shall be the product of (1) the number of the Earned Performance Shares, and (2) a fraction, the numerator of which is the number of months of the Performance Period which have elapsed since the first day of the Performance Period to the end of the month in which the Participant’s continuous service with the Company is terminated by the Company without Cause and the denominator of which is the total number of months in the Performance Period.</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Terms and Conditions</w:t>
      </w:r>
      <w:r>
        <w:rPr>
          <w:rFonts w:ascii="Times New Roman;sans-serif" w:hAnsi="Times New Roman;sans-serif"/>
          <w:b w:val="false"/>
          <w:color w:val="000000"/>
          <w:sz w:val="20"/>
        </w:rPr>
        <w:t>. This award of Performance Shares is subject to the following terms and conditions: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Payment for Performance Shares; Forfeiture of Performance Shares; Deferral of Performance Shares</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Except as otherwise provided in paragraph (ii) of this Section 4(a), Section 4(d), Section 5(b) or Section 14, 100% of the Earned Performance Shares that become vested pursuant to Section 3 shall be settled in shares of Common Stock (the “Stock-Settled Performance Shares”). With respect to each Stock-Settled Performance Share, the Participant shall receive one share of Common Stock for each of the Stock-Settled Performance Shares awarded hereunder, free and clear of the restrictions set forth in this Agreement, except for any restrictions necessary to comply with federal and state securities laws. Except as otherwise provided in paragraph (ii) of this Section 4(a) or Section 5(b), certificates (or other indicia of ownership) representing shares of Common Stock shall be delivered to the Participant in the calendar year following the calendar year in which the Performance Period ends, but in no event later than March 15 of the calendar year following the calendar year in which the Performance Period ends (the “Settlement Date”). Any Performance Shares that are not vested as of the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3</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1"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Participant’s separation from service, within the meaning of Section 409A of the Code and applicable Treasury Regulations (the “Separation from Service”), and that are not eligible to become vested pursuant to Section 3(b), shall automatically and immediately be forfeited on the date of the Participant’s Separation from Service.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The Participant may elect to defer the Performance Shares pursuant to the Republic Services, Inc. Deferred Compensation Plan, as may be amended from time to time (the “Deferred Compensation Plan”), and if the Participant properly and timely does so the Performance Shares deferred by the Participant shall be automatically converted into a corresponding number of units under the Republic Services Stock Unit Fund (the “Units”), shall be credited to the Participant’s “Account Balance” (as defined in the Deferred Compensation Plan) in accordance with Section 3.9(c) of the Deferred Compensation Plan and shall be payable at the times provided for under the Deferred Compensation Plan. The Units shall remain subject to the vesting and forfeiture provisions set forth in Sections 3, 4(g) and 4(j) of this Agreement. The Units shall be payable in actual shares of Common Stock at the times provided for under the Deferred Compensation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Hypothetical Nature of Performance Shares</w:t>
      </w:r>
      <w:r>
        <w:rPr>
          <w:rFonts w:ascii="Times New Roman;sans-serif" w:hAnsi="Times New Roman;sans-serif"/>
          <w:b w:val="false"/>
          <w:color w:val="000000"/>
          <w:sz w:val="20"/>
        </w:rPr>
        <w:t xml:space="preserve">. The Performance Shares do not represent an equity security of the Company and do not carry any voting or dividend rights, except the right to receive Dividend Equivalents in accordance with Section 4(c).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Dividend Equivalents</w:t>
      </w:r>
      <w:r>
        <w:rPr>
          <w:rFonts w:ascii="Times New Roman;sans-serif" w:hAnsi="Times New Roman;sans-serif"/>
          <w:b w:val="false"/>
          <w:color w:val="000000"/>
          <w:sz w:val="20"/>
        </w:rPr>
        <w:t>. The Participant shall receive Dividend Equivalents in the form of additional Performance Shares or fractional Performance Shares each time a dividend or other distribution is paid on the Company’s Common Stock. The number of Performance Shares awarded for a cash dividend or non-cash dividend other than a stock dividend shall be determined by (i) multiplying the number of Performance Shares that may be earned by the Participant pursuant to this Agreement as of the dividend record date by the amount of the dividend per share of Common Stock and (ii) dividing the product so determined by the Fair Market Value of the Common Stock on the dividend payment date. The number of Performance Shares awarded for a stock dividend shall be determined by multiplying the number of Performance Shares that may be earned by the Participant pursuant to this Agreement as of the dividend record date by the number of additional shares of Common Stock actually paid as a dividend per share of Common Stock. Any additional Performance Shares awarded pursuant to this Section 4(c) shall be awarded effective as of the date the dividend was paid, and shall have the same status, and shall be subject to the same terms and conditions (including without limitation the performance conditions set forth in Appendix A that must be satisfied for those Performance Shares to which they relate to become Earned Performance Shares, and the vesting and forfeiture provisions and the settlement form (</w:t>
      </w:r>
      <w:r>
        <w:rPr>
          <w:rFonts w:ascii="Times New Roman;sans-serif" w:hAnsi="Times New Roman;sans-serif"/>
          <w:b w:val="false"/>
          <w:i/>
          <w:color w:val="000000"/>
          <w:sz w:val="20"/>
        </w:rPr>
        <w:t>i.e.,</w:t>
      </w:r>
      <w:r>
        <w:rPr>
          <w:color w:val="000000"/>
        </w:rPr>
        <w:t xml:space="preserve"> </w:t>
      </w:r>
      <w:r>
        <w:rPr>
          <w:rFonts w:ascii="Times New Roman;sans-serif" w:hAnsi="Times New Roman;sans-serif"/>
          <w:b w:val="false"/>
          <w:color w:val="000000"/>
          <w:sz w:val="20"/>
        </w:rPr>
        <w:t xml:space="preserve">shares of Common Stock)) under this Agreement as the Performance Shares to which they relate, and shall be distributed on the same payment date referred to in Section 4(a) as the Performance Shares to which they relate (or if later, as of the applicable dividend payment date) or alternatively, at the times provided for under the Deferred Compensation Plan to the extent the Participant elected to defer some or all of the Performance Shares to which the Dividend Equivalents relate under the Deferred Compensation Plan.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Tax Withholding</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    The Participant shall pay to the Company, or make arrangements satisfactory to the Committee for payment of, any federal, state or local taxes of any kind required by law to be withheld with respect to the grant of Performance Shares (including without limitation the vesting thereof) and any Dividend Equivalents or other distributions made by the Company to the Participant with respect to the Performance Shares as and when the Company determines those amounts to be due, and the Company shall, to the extent permitted by law, have the right to deduct from any payment of any kind otherwise due to Participant any federal, state, or local taxes of any kind required by law to be withheld with respect to the Performance Shares or any Dividend Equivalents or other distributions made by the Company to the Participant with respect to any Performance Shares.</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The Participant agrees that his or her minimum withholding tax obligation with respect to the granting, vesting or settlement of the Stock-Settled Performance Shares and any Dividend Equivalents or other distributions made by the Company to the Participant with respect to the Stock-Settled Performance Shares will be satisfied (provided that the Participant has enough vesting or vested shares available) by the Company’s withholding a portion of the shares of Common Stock otherwise deliverable to the Participant, such shares being valued at their Fair Market Value as of the date on which the taxable event that gives rise to the withholding requirement occurs. The Participant further agrees that each time the Company withholds shares to satisfy his or her minimum withholding tax obligation, the Company will round up to the nearest whole number of shares (with any over withholding applied to federal income tax). For example, if 9.6 shares are required to satisfy the minimum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4</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2"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withholding tax obligation, the Company will round up to 10 shares. Notwithstanding the foregoing, if the Company determines to allow fractional shares of Common Stock to be distributed or made available under the Company’s compensation and benefit plans, the foregoing rounding rules will cease to apply, and the Company instead will withhold a portion of the shares and fractional shares of Common Stock otherwise deliverable to the Participant, such shares and fractional shares being valued at their Fair Market Value as of the date of the taxable event that gives rise to the withholding requirement occurs. By accepting this Agreement, the Participant consents to this method of tax withholding, including the Company rounding up to the nearest whole number of shares (as applicable).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No</w:t>
      </w:r>
      <w:r>
        <w:rPr>
          <w:color w:val="000000"/>
          <w:u w:val="single"/>
        </w:rPr>
        <w:t xml:space="preserve"> </w:t>
      </w:r>
      <w:r>
        <w:rPr>
          <w:rFonts w:ascii="Times New Roman;sans-serif" w:hAnsi="Times New Roman;sans-serif"/>
          <w:b w:val="false"/>
          <w:color w:val="000000"/>
          <w:sz w:val="20"/>
          <w:u w:val="single"/>
        </w:rPr>
        <w:t>Right to Continued Employment or Service</w:t>
      </w:r>
      <w:r>
        <w:rPr>
          <w:rFonts w:ascii="Times New Roman;sans-serif" w:hAnsi="Times New Roman;sans-serif"/>
          <w:b w:val="false"/>
          <w:color w:val="000000"/>
          <w:sz w:val="20"/>
        </w:rPr>
        <w:t>. This Agreement does not confer upon the Participant any right with respect to continuance of employment or service by the Company, nor shall it interfere in any way with the right of the Company to terminate the Participant’s employment at any time.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Transferability of Awards</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(i)    </w:t>
      </w:r>
      <w:r>
        <w:rPr>
          <w:rFonts w:ascii="Times New Roman;sans-serif" w:hAnsi="Times New Roman;sans-serif"/>
          <w:b w:val="false"/>
          <w:color w:val="000000"/>
          <w:sz w:val="20"/>
          <w:u w:val="single"/>
        </w:rPr>
        <w:t>Restrictions on Transfer</w:t>
      </w:r>
      <w:r>
        <w:rPr>
          <w:rFonts w:ascii="Times New Roman;sans-serif" w:hAnsi="Times New Roman;sans-serif"/>
          <w:b w:val="false"/>
          <w:color w:val="000000"/>
          <w:sz w:val="20"/>
        </w:rPr>
        <w:t xml:space="preserve">. No Performance Shares shall be transferable or assignable by the Participant, other than by will or the laws of descent and distribution or pursuant to a domestic relations order within the meaning of Section 414(p)(1)(B) of the Code. </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(ii)    </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No transfer permitted under Section 4(f)(i) of any Performance Shares, shall be effective to bind the Company unless the Committee shall have been furnished with (1) a Notice of Performance Share Transfer in the form required by the Committee executed and dated by the Participant (or the executor or personal representative of the deceased Participant’s estate) and a copy of the will, assignment or transfer document and/or such evidence as the Committee may deem necessary to establish the validity of the transfer, and (2) the Statement of Acknowledgement in the form required by the Committee executed and dated by the transferee which states that the transferee will comply with all the terms and conditions of the Plan and the Agreement relating to the Performance Shares that are or would have been applicable to the Participant.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Forfeiture by Reason of Detrimental Activity</w:t>
      </w:r>
      <w:r>
        <w:rPr>
          <w:rFonts w:ascii="Times New Roman;sans-serif" w:hAnsi="Times New Roman;sans-serif"/>
          <w:b w:val="false"/>
          <w:color w:val="000000"/>
          <w:sz w:val="20"/>
        </w:rPr>
        <w:t>. The Performance Shares shall be subject to Section 17(n) of the Plan. Notwithstanding any other provision of this Agreement to the contrary, if the Participant engages in any Detrimental Activity at any time prior to or during the one year period after the latest date on which any portion of the Performance Shares become vested but prior to a Change in Control, the Company shall, upon the recommendation of the Committee in its sole and absolute discretion, be entitled to (i) immediately terminate and cancel any portion of the Performance Shares that have not previously been settled with shares of Common Stock, and/or (ii) require within two (2) years after the latest date on which the Performance Shares are settled but prior to a Change in Control that the Participant return to the Company any shares of Common Stock that were distributed to the Participant in settlement of the Performance Shares, or if such shares of Common Stock are not still owned by the Participant, that the Participant pay to the Company an amount equal to the Fair Market Value of such shares of Common Stock on the date they were issued.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(h)    </w:t>
      </w:r>
      <w:r>
        <w:rPr>
          <w:rFonts w:ascii="Times New Roman;sans-serif" w:hAnsi="Times New Roman;sans-serif"/>
          <w:b w:val="false"/>
          <w:color w:val="000000"/>
          <w:sz w:val="20"/>
          <w:u w:val="single"/>
        </w:rPr>
        <w:t>Right to Set Off</w:t>
      </w:r>
      <w:r>
        <w:rPr>
          <w:rFonts w:ascii="Times New Roman;sans-serif" w:hAnsi="Times New Roman;sans-serif"/>
          <w:b w:val="false"/>
          <w:color w:val="000000"/>
          <w:sz w:val="20"/>
        </w:rPr>
        <w:t>. By accepting this Agreement, the Participant consents to a deduction from any amounts the Company owes the Participant from time to time (including amounts owed to the Participant as wages or other compensation, for any benefits, or vacation pay, as well as any other amounts owed to the Participant by the Company), up to the dollar amount the Participant owes the Company under Section 4(g) or 4(j). Whether or not the Company elects to make any set off in whole or in part, if the Company does not recover by means of set off the full amount the Participant owes the Company calculated as set forth in Section 4(h), the Participant agrees to pay immediately the unpaid balance to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Board of Director Discretion</w:t>
      </w:r>
      <w:r>
        <w:rPr>
          <w:rFonts w:ascii="Times New Roman;sans-serif" w:hAnsi="Times New Roman;sans-serif"/>
          <w:b w:val="false"/>
          <w:color w:val="000000"/>
          <w:sz w:val="20"/>
        </w:rPr>
        <w:t>. The Participant may be released from his or her obligations under Sections 4(g) and 4(h) only if the Board, or a duly authorized committee thereof, determines, in its sole and absolute discretion, that such action is not adverse to the interests of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(j)    </w:t>
      </w:r>
      <w:r>
        <w:rPr>
          <w:rFonts w:ascii="Times New Roman;sans-serif" w:hAnsi="Times New Roman;sans-serif"/>
          <w:b w:val="false"/>
          <w:color w:val="000000"/>
          <w:sz w:val="20"/>
          <w:u w:val="single"/>
        </w:rPr>
        <w:t>Clawback Policy</w:t>
      </w:r>
      <w:r>
        <w:rPr>
          <w:rFonts w:ascii="Times New Roman;sans-serif" w:hAnsi="Times New Roman;sans-serif"/>
          <w:b w:val="false"/>
          <w:color w:val="000000"/>
          <w:sz w:val="20"/>
        </w:rPr>
        <w:t xml:space="preserve">. Notwithstanding anything to the contrary contained, in consideration of the grant of this award, the Participant agrees that this award and any payments under it will be subject to forfeiture or repayment to the extent provided for in the Republic Clawback Policy, as it may be amended or restated from time to time, or in accordance with any rules or regulations adopted by the Securities and Exchange Commission and the New York Stock Exchange pursuant to Section 10D of the Securities Exchange Act of 1934 or other applicable law.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5</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both"/>
        <w:rPr/>
      </w:pPr>
      <w:r>
        <w:rPr>
          <w:rFonts w:ascii="Times New Roman;sans-serif" w:hAnsi="Times New Roman;sans-serif"/>
          <w:b w:val="false"/>
          <w:color w:val="000000"/>
          <w:sz w:val="24"/>
        </w:rPr>
        <w:t>5.    </w:t>
      </w:r>
      <w:r>
        <w:rPr>
          <w:rFonts w:ascii="Times New Roman;sans-serif" w:hAnsi="Times New Roman;sans-serif"/>
          <w:b w:val="false"/>
          <w:color w:val="000000"/>
          <w:sz w:val="20"/>
          <w:u w:val="single"/>
        </w:rPr>
        <w:t>Change of Control or Capital Structure</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Change in Capital Structure</w:t>
      </w:r>
      <w:r>
        <w:rPr>
          <w:rFonts w:ascii="Times New Roman;sans-serif" w:hAnsi="Times New Roman;sans-serif"/>
          <w:b w:val="false"/>
          <w:color w:val="000000"/>
          <w:sz w:val="20"/>
        </w:rPr>
        <w:t>. Subject to any required action by the shareholders of the Company, the number of Performance Shares covered by this award shall be proportionately adjusted and the terms of the restrictions on such Performance Shares shall be adjusted as the Committee shall determine to be equitably required for any increase or decrease in the number of issued and outstanding shares of Common Stock of the Company resulting from any stock dividend (but only on the Common Stock), stock split, subdivision, combination, reclassification, recapitalization or general issuance to the holders of Common Stock of rights to purchase Common Stock at substantially below Fair Market Value or any change in the number of such shares outstanding effected without receipt of cash or property or labor or services by the Company or for any spin-off, spin-out, split-up, split-off or other distribution of assets to shareholders.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Change in Control</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If, within one year after a Change in Control, the Company terminates the Participant’s continuous service with the Company without Cause, the Performance Shares will immediately vest as if all target performance goals had been met and will be paid at target by the Company to the Participant at such time as the Company would have been required to make such payments if the termination of employment had not occurred. In the event this Section 5(b)(i) conflicts with Section 3(b)(iii), this Section 5(b)(i) shall control. </w:t>
      </w:r>
    </w:p>
    <w:p>
      <w:pPr>
        <w:pStyle w:val="TextBody"/>
        <w:bidi w:val="0"/>
        <w:spacing w:lineRule="auto" w:line="288" w:before="120" w:after="12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Except as provided in Section 5(b)(i), the award of Performance Shares shall not become vested in the event that a Change in Control occurs, except to the extent required in any employment agreement between the Company and the Participant or under the Separation Policy, as applicable. In the event of a change in the Common Stock as presently constituted, which is limited to a change in all of its authorized shares without par value into the same number of shares with par value, the shares resulting from any such change shall be deemed to be the Common Stock within the meaning of the Plan.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Other Adjustments</w:t>
      </w:r>
      <w:r>
        <w:rPr>
          <w:rFonts w:ascii="Times New Roman;sans-serif" w:hAnsi="Times New Roman;sans-serif"/>
          <w:b w:val="false"/>
          <w:color w:val="000000"/>
          <w:sz w:val="20"/>
        </w:rPr>
        <w:t>. The award of Performance Shares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6.    </w:t>
      </w:r>
      <w:r>
        <w:rPr>
          <w:rFonts w:ascii="Times New Roman;sans-serif" w:hAnsi="Times New Roman;sans-serif"/>
          <w:b w:val="false"/>
          <w:color w:val="000000"/>
          <w:sz w:val="20"/>
          <w:u w:val="single"/>
        </w:rPr>
        <w:t>Governing Law and Venue</w:t>
      </w:r>
      <w:r>
        <w:rPr>
          <w:rFonts w:ascii="Times New Roman;sans-serif" w:hAnsi="Times New Roman;sans-serif"/>
          <w:b w:val="false"/>
          <w:color w:val="000000"/>
          <w:sz w:val="20"/>
        </w:rPr>
        <w:t>. This Agreement shall be governed by and construed in accordance with the laws of the State of Delaware, without regard to its principles of conflict of laws. The parties agree that any action, suit or proceeding arising out of or related to this Agreement or the relationship of the Participant and the Company, shall be instituted only in the state or federal courts located in Maricopa County in the State of Arizona, and each party waives any objection which such party may now or hereafter have to such venue or jurisdictional court in any action, suit, or proceeding. Any and all services of process and any other notice in any such action, suit or proceeding shall be effective against any party if given by mail (registered or certified where possible, return receipt requested), postage prepaid, mailed to such party at the address set forth in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7.    </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The invalidity or enforceability of any one or more provisions of this Agreement shall not affect the validity or enforceability of any other provision of this Agreement, which shall remain in full force and effect. In the event that a court of competent jurisdiction should determine that any time period provided for in Section 4(g) or 4(j) is unenforceable, then such period shall be reduced to the longest period of time which such court shall deem enforceable, taking into consideration the purpose and intent of the Plan to serve the interests of the Company and its shareholders.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8.    </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or other communications with respect to the Performance Shares shall be deemed given and delivered in person or mailed by registered or certified mail (return receipt requested, postage prepaid) to the Company’s Stock Administrator at the following address (or such other address, as shall be specified by like notice of a change of address) and shall be effective upon receipt:</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Stock Administrator</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Republic Services, Inc.</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18500 N. Allied Way</w:t>
      </w:r>
    </w:p>
    <w:p>
      <w:pPr>
        <w:pStyle w:val="TextBody"/>
        <w:bidi w:val="0"/>
        <w:spacing w:lineRule="auto" w:line="288" w:before="0" w:after="120"/>
        <w:jc w:val="both"/>
        <w:rPr>
          <w:color w:val="000000"/>
        </w:rPr>
      </w:pPr>
      <w:r>
        <w:rPr>
          <w:color w:val="000000"/>
        </w:rPr>
        <w:t>                    </w:t>
      </w:r>
      <w:r>
        <w:rPr>
          <w:rFonts w:ascii="Times New Roman;sans-serif" w:hAnsi="Times New Roman;sans-serif"/>
          <w:b w:val="false"/>
          <w:color w:val="000000"/>
          <w:sz w:val="20"/>
        </w:rPr>
        <w:t>Phoenix, AZ 85054</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9.    </w:t>
      </w:r>
      <w:r>
        <w:rPr>
          <w:rFonts w:ascii="Times New Roman;sans-serif" w:hAnsi="Times New Roman;sans-serif"/>
          <w:b w:val="false"/>
          <w:color w:val="000000"/>
          <w:sz w:val="20"/>
          <w:u w:val="single"/>
        </w:rPr>
        <w:t>Waiver</w:t>
      </w:r>
      <w:r>
        <w:rPr>
          <w:rFonts w:ascii="Times New Roman;sans-serif" w:hAnsi="Times New Roman;sans-serif"/>
          <w:b w:val="false"/>
          <w:color w:val="000000"/>
          <w:sz w:val="20"/>
        </w:rPr>
        <w:t xml:space="preserve">. The failure of any party at any time to require strict performance of any condition, promise, agreement or understanding set forth in this Agreement shall not be construed as a waiver or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6</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relinquishment of the right to require strict performance of the same condition, promise, agreement or understanding at a subsequent time.</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10.    </w:t>
      </w:r>
      <w:r>
        <w:rPr>
          <w:rFonts w:ascii="Times New Roman;sans-serif" w:hAnsi="Times New Roman;sans-serif"/>
          <w:b w:val="false"/>
          <w:color w:val="000000"/>
          <w:sz w:val="20"/>
          <w:u w:val="single"/>
        </w:rPr>
        <w:t>Interpretation/Provisions of Plan Control</w:t>
      </w:r>
      <w:r>
        <w:rPr>
          <w:rFonts w:ascii="Times New Roman;sans-serif" w:hAnsi="Times New Roman;sans-serif"/>
          <w:b w:val="false"/>
          <w:color w:val="000000"/>
          <w:sz w:val="20"/>
        </w:rPr>
        <w:t>. In the event of any conflict between the provisions of the Plan and the provisions of this Agreement, the provisions of the Plan shall govern. The Participant hereby accepts as final, conclusive and binding, any decisions by the Committee with respect to the interpretation or administration of the Plan and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11.    </w:t>
      </w:r>
      <w:r>
        <w:rPr>
          <w:rFonts w:ascii="Times New Roman;sans-serif" w:hAnsi="Times New Roman;sans-serif"/>
          <w:b w:val="false"/>
          <w:color w:val="000000"/>
          <w:sz w:val="20"/>
          <w:u w:val="single"/>
        </w:rPr>
        <w:t>Participant Bound by Plan</w:t>
      </w:r>
      <w:r>
        <w:rPr>
          <w:rFonts w:ascii="Times New Roman;sans-serif" w:hAnsi="Times New Roman;sans-serif"/>
          <w:b w:val="false"/>
          <w:color w:val="000000"/>
          <w:sz w:val="20"/>
        </w:rPr>
        <w:t>. The Participant hereby acknowledges receipt of a copy of the Plan and agrees to be bound by all the terms, conditions and provisions thereof.</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12.    </w:t>
      </w:r>
      <w:r>
        <w:rPr>
          <w:rFonts w:ascii="Times New Roman;sans-serif" w:hAnsi="Times New Roman;sans-serif"/>
          <w:b w:val="false"/>
          <w:color w:val="000000"/>
          <w:sz w:val="20"/>
          <w:u w:val="single"/>
        </w:rPr>
        <w:t>Binding Effect</w:t>
      </w:r>
      <w:r>
        <w:rPr>
          <w:rFonts w:ascii="Times New Roman;sans-serif" w:hAnsi="Times New Roman;sans-serif"/>
          <w:b w:val="false"/>
          <w:color w:val="000000"/>
          <w:sz w:val="20"/>
        </w:rPr>
        <w:t>. Subject to the limitations stated in this Agreement and in the Plan, this Agreement shall be binding upon and inure to the benefit of the successors and assigns of the Company and the Participant’s heirs, legatees, distributees and personal representatives.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13.    </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Agreement may be signed in any number of counterparts, each of which shall be an original, with the same effect as if the signatures thereto and hereto were upon the same instrument. The facsimile or email transmission of a signed signature page or an electronic acceptance of the Agreement, by any party to the other(s), shall constitute valid execution and acceptance of this Agreement by the signing/transmitting party.</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14.    </w:t>
      </w:r>
      <w:r>
        <w:rPr>
          <w:rFonts w:ascii="Times New Roman;sans-serif" w:hAnsi="Times New Roman;sans-serif"/>
          <w:b w:val="false"/>
          <w:color w:val="000000"/>
          <w:sz w:val="20"/>
          <w:u w:val="single"/>
        </w:rPr>
        <w:t>Section 409A</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It is the intention of both the Company and the Participant that the benefits and rights to which the Participant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Participant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Participant and on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u w:val="single"/>
        </w:rPr>
        <w:t>No Representations as to Section 409A Compliance</w:t>
      </w:r>
      <w:r>
        <w:rPr>
          <w:rFonts w:ascii="Times New Roman;sans-serif" w:hAnsi="Times New Roman;sans-serif"/>
          <w:b w:val="false"/>
          <w:color w:val="000000"/>
          <w:sz w:val="20"/>
        </w:rPr>
        <w:t>. Notwithstanding the foregoing, the Company does not make any representation to the Participant that the Performance Shares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Separation from Service</w:t>
      </w:r>
      <w:r>
        <w:rPr>
          <w:rFonts w:ascii="Times New Roman;sans-serif" w:hAnsi="Times New Roman;sans-serif"/>
          <w:b w:val="false"/>
          <w:color w:val="000000"/>
          <w:sz w:val="20"/>
        </w:rPr>
        <w:t>. If and to the extent permitted by Treasury Regulations Section 1.409A-1(h)(5) or other applicable law, the Participant provides services both as an employee of the Company and as a member of the Board, the services provided as a member of the Board shall not be taken into account in determining whether the Participant has incurred a Separation from Service for purposes of Section 4(a).</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6 Month Delay for Specified Employees</w:t>
      </w:r>
      <w:r>
        <w:rPr>
          <w:rFonts w:ascii="Times New Roman;sans-serif" w:hAnsi="Times New Roman;sans-serif"/>
          <w:b w:val="false"/>
          <w:color w:val="000000"/>
          <w:sz w:val="20"/>
        </w:rPr>
        <w:t>.</w:t>
      </w:r>
      <w:r>
        <w:rPr>
          <w:color w:val="000000"/>
        </w:rPr>
        <w:t xml:space="preserv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If the Participant is a “Specified Employee,”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For purposes of this provision, the Participant shall be considered to be a “Specified Employee” if, at the time of his or her Separation from Service, the Participant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7</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75"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No Acceleration of Payments</w:t>
      </w:r>
      <w:r>
        <w:rPr>
          <w:rFonts w:ascii="Times New Roman;sans-serif" w:hAnsi="Times New Roman;sans-serif"/>
          <w:b w:val="false"/>
          <w:color w:val="000000"/>
          <w:sz w:val="20"/>
        </w:rPr>
        <w:t>. Neither the Company nor the Participant,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15.    </w:t>
      </w:r>
      <w:r>
        <w:rPr>
          <w:rFonts w:ascii="Times New Roman;sans-serif" w:hAnsi="Times New Roman;sans-serif"/>
          <w:b w:val="false"/>
          <w:color w:val="000000"/>
          <w:sz w:val="20"/>
          <w:u w:val="single"/>
        </w:rPr>
        <w:t>Fractional Performance Shares</w:t>
      </w:r>
      <w:r>
        <w:rPr>
          <w:rFonts w:ascii="Times New Roman;sans-serif" w:hAnsi="Times New Roman;sans-serif"/>
          <w:b w:val="false"/>
          <w:color w:val="000000"/>
          <w:sz w:val="20"/>
        </w:rPr>
        <w:t>. Notwithstanding any provisions in this Agreement to the contrary, no full share of Common Stock or cash will be issued for a fractional Stock-Settled Performance Share unless the fractional Stock-Settled Performance Share is for at least one-half of a Performance Share; provided that if the Company determines to allow fractional shares of Common Stock to be distributed or made available under the Company’s compensation and benefit plans, any fractional share of Common Stock due under this Plan shall be distributed in the form of a fractional share of Common Stock, and the foregoing rounding rules shall cease to apply.</w:t>
      </w:r>
    </w:p>
    <w:p>
      <w:pPr>
        <w:pStyle w:val="TextBody"/>
        <w:bidi w:val="0"/>
        <w:spacing w:lineRule="auto" w:line="288" w:before="120" w:after="120"/>
        <w:ind w:left="0" w:right="0" w:firstLine="72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Company has caused this Agreement to be signed by a duly authorized officer, and the Participant has affixed his or her signature hereto.</w:t>
      </w:r>
    </w:p>
    <w:p>
      <w:pPr>
        <w:pStyle w:val="TextBody"/>
        <w:bidi w:val="0"/>
        <w:spacing w:lineRule="auto" w:line="288" w:before="120" w:after="120"/>
        <w:jc w:val="left"/>
        <w:rPr>
          <w:color w:val="000000"/>
        </w:rPr>
      </w:pPr>
      <w:r>
        <w:rPr>
          <w:color w:val="000000"/>
        </w:rPr>
        <w:t>                            </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_____________________________</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By: Jon Vander Ark</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Chief Executive Officer and President</w:t>
      </w:r>
    </w:p>
    <w:p>
      <w:pPr>
        <w:pStyle w:val="TextBody"/>
        <w:bidi w:val="0"/>
        <w:spacing w:before="0" w:after="240"/>
        <w:jc w:val="center"/>
        <w:rPr/>
      </w:pPr>
      <w:r>
        <w:rPr/>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8</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76"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i/>
          <w:color w:val="000000"/>
          <w:sz w:val="20"/>
        </w:rPr>
      </w:pPr>
      <w:r>
        <w:rPr>
          <w:rFonts w:ascii="Times New Roman;sans-serif" w:hAnsi="Times New Roman;sans-serif"/>
          <w:b/>
          <w:i/>
          <w:color w:val="000000"/>
          <w:sz w:val="20"/>
        </w:rPr>
        <w:t>APPENDIX A</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provides the calculation for determining the number of Earned Performance Shares based on the Company’s achievement of target levels of cash flow value creation (“CFVC”), return on invested capital (“ROIC”) and total shareholder return relative to the S&amp;P 500 Index (“RTSR”) over the Performance Period, as determined as soon as practicable after the end of the Performance Period by the Committee. The Committee may, in its sole and absolute discretion, use negative discretion to decrease, but not increase, the number of Earned Performance Shares otherwise payable to the Participant based upon such performance. For example, negative discretion may be used in the event of certain infrequent or unusual gain from an unexpected event that would favorably impact the number of Earned Performance Shares absent the use of negative discretion. All determinations by the Committee shall be final, conclusive and binding.</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Criterion, Target, Threshold and Maximum for the Performance Shares shall be as follows:</w:t>
      </w:r>
    </w:p>
    <w:p>
      <w:pPr>
        <w:pStyle w:val="TextBody"/>
        <w:bidi w:val="0"/>
        <w:spacing w:before="0" w:after="0"/>
        <w:jc w:val="both"/>
        <w:rPr/>
      </w:pPr>
      <w:r>
        <w:rPr/>
      </w:r>
    </w:p>
    <w:tbl>
      <w:tblPr>
        <w:tblW w:w="4534" w:type="dxa"/>
        <w:jc w:val="center"/>
        <w:tblInd w:w="0" w:type="dxa"/>
        <w:tblLayout w:type="fixed"/>
        <w:tblCellMar>
          <w:top w:w="28" w:type="dxa"/>
          <w:left w:w="28" w:type="dxa"/>
          <w:bottom w:w="28" w:type="dxa"/>
          <w:right w:w="28" w:type="dxa"/>
        </w:tblCellMar>
      </w:tblPr>
      <w:tblGrid>
        <w:gridCol w:w="446"/>
        <w:gridCol w:w="392"/>
        <w:gridCol w:w="393"/>
        <w:gridCol w:w="310"/>
        <w:gridCol w:w="310"/>
        <w:gridCol w:w="311"/>
        <w:gridCol w:w="445"/>
        <w:gridCol w:w="445"/>
        <w:gridCol w:w="446"/>
        <w:gridCol w:w="303"/>
        <w:gridCol w:w="303"/>
        <w:gridCol w:w="430"/>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CRITERION</w:t>
            </w:r>
          </w:p>
        </w:tc>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TARGET</w:t>
            </w:r>
          </w:p>
        </w:tc>
        <w:tc>
          <w:tcPr>
            <w:tcW w:w="13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THRESHOLD</w:t>
            </w:r>
          </w:p>
        </w:tc>
        <w:tc>
          <w:tcPr>
            <w:tcW w:w="103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Maximum</w:t>
            </w:r>
          </w:p>
        </w:tc>
      </w:tr>
      <w:tr>
        <w:trPr/>
        <w:tc>
          <w:tcPr>
            <w:tcW w:w="12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CFVC</w:t>
            </w:r>
          </w:p>
        </w:tc>
        <w:tc>
          <w:tcPr>
            <w:tcW w:w="9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ROIC</w:t>
            </w:r>
          </w:p>
        </w:tc>
        <w:tc>
          <w:tcPr>
            <w:tcW w:w="93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CFVC target and ROIC target are each met but not exceeded, the Earned Performance Shares will be paid at target, subject to adjustment for RTSR as set forth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Performance Shares Escalator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ROIC target is met and the CFVC target is exceeded, prior to adjusting for the RTSR multiplier, the Performance Share Grant payout (“PSU Grant Unadjusted Payout”) will be calculated at an amount above target. The multiplying factor applied to target PSU Grant Unadjusted Payout is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CFVC Multiplying Factor to PSU Grant Unadjusted Payout</w:t>
      </w:r>
      <w:r>
        <w:rPr>
          <w:color w:val="000000"/>
        </w:rPr>
        <w:t xml:space="preserve"> </w:t>
      </w:r>
      <w:r>
        <w:rPr>
          <w:rFonts w:ascii="Times New Roman;sans-serif" w:hAnsi="Times New Roman;sans-serif"/>
          <w:b w:val="false"/>
          <w:color w:val="000000"/>
          <w:sz w:val="20"/>
        </w:rPr>
        <w:t>(intermediate results will be interpolated):</w:t>
      </w:r>
    </w:p>
    <w:p>
      <w:pPr>
        <w:pStyle w:val="TextBody"/>
        <w:bidi w:val="0"/>
        <w:spacing w:before="0" w:after="0"/>
        <w:jc w:val="both"/>
        <w:rPr/>
      </w:pPr>
      <w:r>
        <w:rPr/>
      </w:r>
    </w:p>
    <w:tbl>
      <w:tblPr>
        <w:tblW w:w="4125" w:type="dxa"/>
        <w:jc w:val="center"/>
        <w:tblInd w:w="0" w:type="dxa"/>
        <w:tblLayout w:type="fixed"/>
        <w:tblCellMar>
          <w:top w:w="28" w:type="dxa"/>
          <w:left w:w="28" w:type="dxa"/>
          <w:bottom w:w="28" w:type="dxa"/>
          <w:right w:w="28" w:type="dxa"/>
        </w:tblCellMar>
      </w:tblPr>
      <w:tblGrid>
        <w:gridCol w:w="646"/>
        <w:gridCol w:w="568"/>
        <w:gridCol w:w="571"/>
        <w:gridCol w:w="684"/>
        <w:gridCol w:w="684"/>
        <w:gridCol w:w="97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Achievement</w:t>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Multiplying Factor</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100% (Target)</w:t>
            </w:r>
          </w:p>
        </w:tc>
      </w:tr>
      <w:tr>
        <w:trPr/>
        <w:tc>
          <w:tcPr>
            <w:tcW w:w="178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200% (Maximum)</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Performance Shares Payout if Targets not Met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either or both targets are not met, the PSU Grant Unadjusted Payout will be calculated at an amount at or below target. Each criterion will be averaged and weighted 50%. If ROIC target is not met and the calculation results in the PSU Grant Unadjusted Payout above target, the PSU Grant Unadjusted Payout will be limited to target.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CFVC Multiplying Factor to PSU Grant Unadjusted Payout</w:t>
      </w:r>
      <w:r>
        <w:rPr>
          <w:color w:val="000000"/>
        </w:rPr>
        <w:t xml:space="preserve"> </w:t>
      </w:r>
      <w:r>
        <w:rPr>
          <w:rFonts w:ascii="Times New Roman;sans-serif" w:hAnsi="Times New Roman;sans-serif"/>
          <w:b w:val="false"/>
          <w:color w:val="000000"/>
          <w:sz w:val="20"/>
        </w:rPr>
        <w:t>(intermediate results will be interpolated on a straight-line basis):</w:t>
      </w:r>
    </w:p>
    <w:p>
      <w:pPr>
        <w:pStyle w:val="TextBody"/>
        <w:bidi w:val="0"/>
        <w:spacing w:before="0" w:after="160"/>
        <w:jc w:val="left"/>
        <w:rPr/>
      </w:pPr>
      <w:r>
        <w:rPr/>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9</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77"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tbl>
      <w:tblPr>
        <w:tblW w:w="4125" w:type="dxa"/>
        <w:jc w:val="center"/>
        <w:tblInd w:w="0" w:type="dxa"/>
        <w:tblLayout w:type="fixed"/>
        <w:tblCellMar>
          <w:top w:w="28" w:type="dxa"/>
          <w:left w:w="28" w:type="dxa"/>
          <w:bottom w:w="28" w:type="dxa"/>
          <w:right w:w="28" w:type="dxa"/>
        </w:tblCellMar>
      </w:tblPr>
      <w:tblGrid>
        <w:gridCol w:w="646"/>
        <w:gridCol w:w="568"/>
        <w:gridCol w:w="571"/>
        <w:gridCol w:w="684"/>
        <w:gridCol w:w="684"/>
        <w:gridCol w:w="97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Achievement</w:t>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Multiplying Factor</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 (Threshold)</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100% (Target)</w:t>
            </w:r>
          </w:p>
        </w:tc>
      </w:tr>
      <w:tr>
        <w:trPr/>
        <w:tc>
          <w:tcPr>
            <w:tcW w:w="178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200% (Maximum)</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ROIC Multiplying Factor to PSU Grant Unadjusted Payout</w:t>
      </w:r>
      <w:r>
        <w:rPr>
          <w:color w:val="000000"/>
        </w:rPr>
        <w:t xml:space="preserve"> </w:t>
      </w:r>
      <w:r>
        <w:rPr>
          <w:rFonts w:ascii="Times New Roman;sans-serif" w:hAnsi="Times New Roman;sans-serif"/>
          <w:b w:val="false"/>
          <w:color w:val="000000"/>
          <w:sz w:val="20"/>
        </w:rPr>
        <w:t>(intermediate results will be interpolated on a straight-line basis):</w:t>
      </w:r>
    </w:p>
    <w:p>
      <w:pPr>
        <w:pStyle w:val="TextBody"/>
        <w:bidi w:val="0"/>
        <w:spacing w:before="0" w:after="0"/>
        <w:jc w:val="both"/>
        <w:rPr/>
      </w:pPr>
      <w:r>
        <w:rPr/>
      </w:r>
    </w:p>
    <w:tbl>
      <w:tblPr>
        <w:tblW w:w="4303" w:type="dxa"/>
        <w:jc w:val="center"/>
        <w:tblInd w:w="0" w:type="dxa"/>
        <w:tblLayout w:type="fixed"/>
        <w:tblCellMar>
          <w:top w:w="28" w:type="dxa"/>
          <w:left w:w="28" w:type="dxa"/>
          <w:bottom w:w="28" w:type="dxa"/>
          <w:right w:w="28" w:type="dxa"/>
        </w:tblCellMar>
      </w:tblPr>
      <w:tblGrid>
        <w:gridCol w:w="635"/>
        <w:gridCol w:w="558"/>
        <w:gridCol w:w="561"/>
        <w:gridCol w:w="745"/>
        <w:gridCol w:w="745"/>
        <w:gridCol w:w="1059"/>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ROIC Achievement</w:t>
            </w:r>
          </w:p>
        </w:tc>
        <w:tc>
          <w:tcPr>
            <w:tcW w:w="25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ROIC </w:t>
            </w:r>
          </w:p>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Multiplying Factor</w:t>
            </w:r>
          </w:p>
        </w:tc>
      </w:tr>
      <w:tr>
        <w:trPr/>
        <w:tc>
          <w:tcPr>
            <w:tcW w:w="175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175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 (Threshold)</w:t>
            </w:r>
          </w:p>
        </w:tc>
      </w:tr>
      <w:tr>
        <w:trPr/>
        <w:tc>
          <w:tcPr>
            <w:tcW w:w="175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100% (Target and Maximum)</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Adjustment for RTSR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PSU Grant Unadjusted Payout shall be adjusted further for RTSR performance to determine the payout of the 2025-2027 PSU Grant. The adjustment will be done by multiplying the PSU Grant Unadjusted Payout by the TSR Multiplier on Unadjusted Payout as follows:</w:t>
      </w:r>
    </w:p>
    <w:p>
      <w:pPr>
        <w:pStyle w:val="TextBody"/>
        <w:bidi w:val="0"/>
        <w:spacing w:before="0" w:after="0"/>
        <w:jc w:val="both"/>
        <w:rPr/>
      </w:pPr>
      <w:r>
        <w:rPr/>
      </w:r>
    </w:p>
    <w:tbl>
      <w:tblPr>
        <w:tblW w:w="5114" w:type="dxa"/>
        <w:jc w:val="center"/>
        <w:tblInd w:w="0" w:type="dxa"/>
        <w:tblLayout w:type="fixed"/>
        <w:tblCellMar>
          <w:top w:w="28" w:type="dxa"/>
          <w:left w:w="28" w:type="dxa"/>
          <w:bottom w:w="28" w:type="dxa"/>
          <w:right w:w="28" w:type="dxa"/>
        </w:tblCellMar>
      </w:tblPr>
      <w:tblGrid>
        <w:gridCol w:w="647"/>
        <w:gridCol w:w="568"/>
        <w:gridCol w:w="570"/>
        <w:gridCol w:w="975"/>
        <w:gridCol w:w="975"/>
        <w:gridCol w:w="137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RTSR Performance</w:t>
            </w:r>
          </w:p>
        </w:tc>
        <w:tc>
          <w:tcPr>
            <w:tcW w:w="33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TSR Multiplier on Unadjusted Payout</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78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0"/>
        </w:rPr>
        <w:t>Definitions</w:t>
      </w:r>
      <w:r>
        <w:rPr>
          <w:rFonts w:ascii="Times New Roman;sans-serif" w:hAnsi="Times New Roman;sans-serif"/>
          <w:b w:val="false"/>
          <w:color w:val="000000"/>
          <w:sz w:val="20"/>
        </w:rPr>
        <w:t>:</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CFVC” shall mean Cash Flow Value Creation, a three</w:t>
      </w:r>
      <w:r>
        <w:rPr>
          <w:rFonts w:ascii="Times New Roman;sans-serif" w:hAnsi="Times New Roman;sans-serif"/>
          <w:b w:val="false"/>
          <w:color w:val="0000FF"/>
          <w:sz w:val="24"/>
          <w:u w:val="single"/>
        </w:rPr>
        <w:t>-</w:t>
      </w:r>
      <w:r>
        <w:rPr>
          <w:rFonts w:ascii="Times New Roman;sans-serif" w:hAnsi="Times New Roman;sans-serif"/>
          <w:b w:val="false"/>
          <w:color w:val="000000"/>
          <w:sz w:val="20"/>
        </w:rPr>
        <w:t>year cumulative, total dollar measure that increases over the three</w:t>
      </w:r>
      <w:r>
        <w:rPr>
          <w:rFonts w:ascii="Times New Roman;sans-serif" w:hAnsi="Times New Roman;sans-serif"/>
          <w:b w:val="false"/>
          <w:color w:val="0000FF"/>
          <w:sz w:val="24"/>
          <w:u w:val="single"/>
        </w:rPr>
        <w:t>-</w:t>
      </w:r>
      <w:r>
        <w:rPr>
          <w:rFonts w:ascii="Times New Roman;sans-serif" w:hAnsi="Times New Roman;sans-serif"/>
          <w:b w:val="false"/>
          <w:color w:val="000000"/>
          <w:sz w:val="20"/>
        </w:rPr>
        <w:t>year time period to reach a predetermined goal.</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ROIC” shall mean Return on Invested Capital, an investment return measure which is established for the attainment of a predetermined target over a three</w:t>
      </w:r>
      <w:r>
        <w:rPr>
          <w:rFonts w:ascii="Times New Roman;sans-serif" w:hAnsi="Times New Roman;sans-serif"/>
          <w:b w:val="false"/>
          <w:color w:val="0000FF"/>
          <w:sz w:val="24"/>
          <w:u w:val="single"/>
        </w:rPr>
        <w:t>-</w:t>
      </w:r>
      <w:r>
        <w:rPr>
          <w:rFonts w:ascii="Times New Roman;sans-serif" w:hAnsi="Times New Roman;sans-serif"/>
          <w:b w:val="false"/>
          <w:color w:val="000000"/>
          <w:sz w:val="20"/>
        </w:rPr>
        <w:t>year period</w:t>
      </w:r>
      <w:r>
        <w:rPr>
          <w:rFonts w:ascii="Times New Roman;sans-serif" w:hAnsi="Times New Roman;sans-serif"/>
          <w:b/>
          <w:color w:val="000000"/>
          <w:sz w:val="20"/>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0"/>
        </w:rPr>
        <w:t>CFVC” and “ROIC” shall be prepared on a consistent basis, adjusted by the Committee, in its discretion, for the impact of:</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(i)the loss on extinguishment of debt;</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(ii)gains and losses (or related impairments) from divestitures, impairments of goodwill and other costs and impairments resulting from exiting a business;</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(iii)gains or losses associated with withdrawal from or termination of one or more benefit plans;</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(iv)material changes caused by new accounting rules or new interpretations of previous accounting rules; and</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(v)similar events or circumstances.</w:t>
      </w:r>
    </w:p>
    <w:p>
      <w:pPr>
        <w:pStyle w:val="TextBody"/>
        <w:bidi w:val="0"/>
        <w:spacing w:before="0" w:after="0"/>
        <w:jc w:val="both"/>
        <w:rPr/>
      </w:pPr>
      <w:r>
        <w:rPr/>
      </w:r>
    </w:p>
    <w:p>
      <w:pPr>
        <w:pStyle w:val="TextBody"/>
        <w:bidi w:val="0"/>
        <w:spacing w:lineRule="auto" w:line="288"/>
        <w:jc w:val="both"/>
        <w:rPr>
          <w:color w:val="000000"/>
        </w:rPr>
      </w:pPr>
      <w:r>
        <w:rPr>
          <w:color w:val="000000"/>
        </w:rPr>
        <w:t>“</w:t>
      </w:r>
      <w:r>
        <w:rPr>
          <w:rFonts w:ascii="Times New Roman;sans-serif" w:hAnsi="Times New Roman;sans-serif"/>
          <w:b w:val="false"/>
          <w:color w:val="000000"/>
          <w:sz w:val="20"/>
        </w:rPr>
        <w:t>RTSR” shall be calculated based on the percentile of performance over the three-year cycle compared to the performance of the S&amp;P 500.</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1819275" cy="904875"/>
            <wp:effectExtent l="0" t="0" r="0" b="0"/>
            <wp:docPr id="17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4" descr=""/>
                    <pic:cNvPicPr>
                      <a:picLocks noChangeAspect="1" noChangeArrowheads="1"/>
                    </pic:cNvPicPr>
                  </pic:nvPicPr>
                  <pic:blipFill>
                    <a:blip r:embed="rId128"/>
                    <a:stretch>
                      <a:fillRect/>
                    </a:stretch>
                  </pic:blipFill>
                  <pic:spPr bwMode="auto">
                    <a:xfrm>
                      <a:off x="0" y="0"/>
                      <a:ext cx="1819275" cy="904875"/>
                    </a:xfrm>
                    <a:prstGeom prst="rect">
                      <a:avLst/>
                    </a:prstGeom>
                  </pic:spPr>
                </pic:pic>
              </a:graphicData>
            </a:graphic>
          </wp:inline>
        </w:drawing>
      </w:r>
      <w:r>
        <w:rPr>
          <w:rFonts w:ascii="Cambria;sans-serif" w:hAnsi="Cambria;sans-serif"/>
          <w:b w:val="false"/>
          <w:color w:val="000000"/>
          <w:sz w:val="20"/>
        </w:rPr>
        <w:t>1</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79"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3.45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before="0" w:after="144"/>
        <w:jc w:val="center"/>
        <w:rPr/>
      </w:pPr>
      <w:r>
        <w:rPr/>
      </w:r>
    </w:p>
    <w:p>
      <w:pPr>
        <w:pStyle w:val="TextBody"/>
        <w:bidi w:val="0"/>
        <w:spacing w:before="0" w:after="144"/>
        <w:jc w:val="left"/>
        <w:rPr/>
      </w:pPr>
      <w:r>
        <w:rPr/>
      </w:r>
    </w:p>
    <w:p>
      <w:pPr>
        <w:pStyle w:val="TextBody"/>
        <w:bidi w:val="0"/>
        <w:spacing w:before="0" w:after="144"/>
        <w:jc w:val="right"/>
        <w:rPr/>
      </w:pPr>
      <w:r>
        <w:rPr/>
      </w:r>
    </w:p>
    <w:p>
      <w:pPr>
        <w:pStyle w:val="TextBody"/>
        <w:bidi w:val="0"/>
        <w:spacing w:lineRule="auto" w:line="352" w:before="0" w:after="144"/>
        <w:jc w:val="right"/>
        <w:rPr>
          <w:rFonts w:ascii="Times New Roman;sans-serif" w:hAnsi="Times New Roman;sans-serif"/>
          <w:b/>
          <w:color w:val="000000"/>
          <w:sz w:val="20"/>
        </w:rPr>
      </w:pPr>
      <w:r>
        <w:rPr>
          <w:rFonts w:ascii="Times New Roman;sans-serif" w:hAnsi="Times New Roman;sans-serif"/>
          <w:b/>
          <w:color w:val="000000"/>
          <w:sz w:val="20"/>
        </w:rPr>
        <w:t>EXHIBIT 10.20</w:t>
      </w:r>
    </w:p>
    <w:p>
      <w:pPr>
        <w:pStyle w:val="TextBody"/>
        <w:bidi w:val="0"/>
        <w:spacing w:lineRule="auto" w:line="352" w:before="0" w:after="144"/>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312" w:before="36" w:after="283"/>
        <w:jc w:val="center"/>
        <w:rPr>
          <w:rFonts w:ascii="Times New Roman;sans-serif" w:hAnsi="Times New Roman;sans-serif"/>
          <w:b/>
          <w:color w:val="000000"/>
          <w:sz w:val="20"/>
        </w:rPr>
      </w:pPr>
      <w:r>
        <w:rPr>
          <w:rFonts w:ascii="Times New Roman;sans-serif" w:hAnsi="Times New Roman;sans-serif"/>
          <w:b/>
          <w:color w:val="000000"/>
          <w:sz w:val="20"/>
        </w:rPr>
        <w:t>PERFORMANCE SHARE AGREEMENT</w:t>
      </w:r>
    </w:p>
    <w:p>
      <w:pPr>
        <w:pStyle w:val="TextBody"/>
        <w:bidi w:val="0"/>
        <w:spacing w:lineRule="auto" w:line="312" w:before="36" w:after="283"/>
        <w:jc w:val="center"/>
        <w:rPr>
          <w:rFonts w:ascii="Times New Roman;sans-serif" w:hAnsi="Times New Roman;sans-serif"/>
          <w:b/>
          <w:color w:val="000000"/>
          <w:sz w:val="20"/>
        </w:rPr>
      </w:pPr>
      <w:r>
        <w:rPr>
          <w:rFonts w:ascii="Times New Roman;sans-serif" w:hAnsi="Times New Roman;sans-serif"/>
          <w:b/>
          <w:color w:val="000000"/>
          <w:sz w:val="20"/>
        </w:rPr>
        <w:t>(Non-Executive Officer EVP)</w:t>
      </w:r>
    </w:p>
    <w:p>
      <w:pPr>
        <w:pStyle w:val="TextBody"/>
        <w:bidi w:val="0"/>
        <w:spacing w:before="36" w:after="283"/>
        <w:jc w:val="center"/>
        <w:rPr/>
      </w:pPr>
      <w:r>
        <w:rPr/>
      </w:r>
    </w:p>
    <w:tbl>
      <w:tblPr>
        <w:tblW w:w="4364" w:type="dxa"/>
        <w:jc w:val="left"/>
        <w:tblInd w:w="0" w:type="dxa"/>
        <w:tblLayout w:type="fixed"/>
        <w:tblCellMar>
          <w:top w:w="28" w:type="dxa"/>
          <w:left w:w="28" w:type="dxa"/>
          <w:bottom w:w="28" w:type="dxa"/>
          <w:right w:w="28" w:type="dxa"/>
        </w:tblCellMar>
      </w:tblPr>
      <w:tblGrid>
        <w:gridCol w:w="1397"/>
        <w:gridCol w:w="1228"/>
        <w:gridCol w:w="1739"/>
      </w:tblGrid>
      <w:tr>
        <w:trPr/>
        <w:tc>
          <w:tcPr>
            <w:tcW w:w="139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4" w:space="0" w:color="004A7C"/>
              <w:left w:val="single" w:sz="4" w:space="0" w:color="004A7C"/>
              <w:right w:val="single" w:sz="4" w:space="0" w:color="004A7C"/>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Recipient Name : </w:t>
            </w:r>
            <w:r>
              <w:rPr>
                <w:rFonts w:ascii="Times New Roman;sans-serif" w:hAnsi="Times New Roman;sans-serif"/>
                <w:b w:val="false"/>
                <w:color w:val="000000"/>
                <w:sz w:val="20"/>
              </w:rPr>
              <w:t>/$ParticipantName$/</w:t>
            </w:r>
          </w:p>
        </w:tc>
      </w:tr>
      <w:tr>
        <w:trPr/>
        <w:tc>
          <w:tcPr>
            <w:tcW w:w="436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Date : </w:t>
            </w:r>
            <w:r>
              <w:rPr>
                <w:rFonts w:ascii="Times New Roman;sans-serif" w:hAnsi="Times New Roman;sans-serif"/>
                <w:b w:val="false"/>
                <w:color w:val="000000"/>
                <w:sz w:val="20"/>
              </w:rPr>
              <w:t>/$GrantDate$/</w:t>
            </w:r>
          </w:p>
        </w:tc>
      </w:tr>
      <w:tr>
        <w:trPr/>
        <w:tc>
          <w:tcPr>
            <w:tcW w:w="436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Type : </w:t>
            </w:r>
            <w:r>
              <w:rPr>
                <w:rFonts w:ascii="Times New Roman;sans-serif" w:hAnsi="Times New Roman;sans-serif"/>
                <w:b w:val="false"/>
                <w:color w:val="000000"/>
                <w:sz w:val="20"/>
              </w:rPr>
              <w:t>/$GrantType$/</w:t>
            </w:r>
          </w:p>
        </w:tc>
      </w:tr>
      <w:tr>
        <w:trPr/>
        <w:tc>
          <w:tcPr>
            <w:tcW w:w="436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Performance Shares Granted : </w:t>
            </w:r>
            <w:r>
              <w:rPr>
                <w:rFonts w:ascii="Times New Roman;sans-serif" w:hAnsi="Times New Roman;sans-serif"/>
                <w:b w:val="false"/>
                <w:color w:val="000000"/>
                <w:sz w:val="20"/>
              </w:rPr>
              <w:t>/$AwardsGranted$/</w:t>
            </w:r>
          </w:p>
        </w:tc>
      </w:tr>
      <w:tr>
        <w:trPr/>
        <w:tc>
          <w:tcPr>
            <w:tcW w:w="4364" w:type="dxa"/>
            <w:gridSpan w:val="3"/>
            <w:tcBorders>
              <w:left w:val="single" w:sz="4" w:space="0" w:color="004A7C"/>
              <w:bottom w:val="single" w:sz="4" w:space="0" w:color="004A7C"/>
              <w:right w:val="single" w:sz="4" w:space="0" w:color="004A7C"/>
            </w:tcBorders>
            <w:tcMar>
              <w:top w:w="0" w:type="dxa"/>
              <w:bottom w:w="3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Plan Name : </w:t>
            </w:r>
            <w:r>
              <w:rPr>
                <w:rFonts w:ascii="Times New Roman;sans-serif" w:hAnsi="Times New Roman;sans-serif"/>
                <w:b w:val="false"/>
                <w:color w:val="000000"/>
                <w:sz w:val="20"/>
              </w:rPr>
              <w:t>/$PlanName$/</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color w:val="000000"/>
                <w:sz w:val="20"/>
              </w:rPr>
              <w:t xml:space="preserve">Settlement Method : </w:t>
            </w:r>
            <w:r>
              <w:rPr>
                <w:rFonts w:ascii="Times New Roman;sans-serif" w:hAnsi="Times New Roman;sans-serif"/>
                <w:b w:val="false"/>
                <w:color w:val="000000"/>
                <w:sz w:val="20"/>
              </w:rPr>
              <w:t>/$GrantTxt6$/</w:t>
            </w:r>
          </w:p>
        </w:tc>
      </w:tr>
    </w:tbl>
    <w:p>
      <w:pPr>
        <w:pStyle w:val="TextBody"/>
        <w:bidi w:val="0"/>
        <w:spacing w:before="36" w:after="283"/>
        <w:jc w:val="center"/>
        <w:rPr/>
      </w:pPr>
      <w:r>
        <w:rPr/>
      </w:r>
    </w:p>
    <w:p>
      <w:pPr>
        <w:pStyle w:val="TextBody"/>
        <w:bidi w:val="0"/>
        <w:spacing w:lineRule="auto" w:line="288" w:before="120" w:after="12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THIS PERFORMANCE SHARE AGREEMENT (the “Agreement”), dated as of the Grant Date shown above, between Republic Services, Inc., a Delaware corporation (the “Company”) and Participant (the “Participant”), is made pursuant and subject to the provisions of the Republic Services, Inc. 2021 Stock Incentive Plan, and any future amendments thereto (the “Plan”). The Plan, as it may be amended from time to time, is incorporated in this Agreement by reference.</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All capitalized terms used in this Agreement but not expressly defined shall have the meaning ascribed to them in the Plan, a copy of which is being provided as part of the grant acceptance materials and is incorporated in this Agreement by reference. All references to the Company in this Agreement shall also be deemed to include references to any and all entities directly or indirectly controlled by the Company and which are consolidated with the Company for financial accounting purposes.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Award of Performance Shares</w:t>
      </w:r>
      <w:r>
        <w:rPr>
          <w:rFonts w:ascii="Times New Roman;sans-serif" w:hAnsi="Times New Roman;sans-serif"/>
          <w:b w:val="false"/>
          <w:color w:val="000000"/>
          <w:sz w:val="20"/>
        </w:rPr>
        <w:t>. Subject to the terms and conditions of the Plan and to the terms and conditions set forth in this Agreement, the Company on this date awards to the Participant the target number of Performance Shares equal to the number of Performance Shares Granted as shown in the box above (the “Performance Shares Granted”). The actual number of Performance Shares earned by the Participant shall be from 0% to 220% of the target Performance Shares Granted. The Performance Shares shall be considered a “Long Term Award” or a “long term incentive grant” under any employment agreement or the Company’s Executive Separation Policy (“Separation Policy”), as applicable to the Participant.</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Vesting Schedule</w:t>
      </w:r>
      <w:r>
        <w:rPr>
          <w:rFonts w:ascii="Times New Roman;sans-serif" w:hAnsi="Times New Roman;sans-serif"/>
          <w:b w:val="false"/>
          <w:color w:val="000000"/>
          <w:sz w:val="20"/>
        </w:rPr>
        <w:t xml:space="preserve">. Subject to the terms and conditions of this Agreement, the Performance Shares shall be subject to a three-year performance period, consisting of the Company’s fiscal years 2025, 2026 and 2027 (the “Performance Period”), after which the number of Performance Shares earned (the “Earned Performance Shares”) shall be determined as provided in </w:t>
      </w:r>
      <w:r>
        <w:rPr>
          <w:rFonts w:ascii="Times New Roman;sans-serif" w:hAnsi="Times New Roman;sans-serif"/>
          <w:b w:val="false"/>
          <w:color w:val="000000"/>
          <w:sz w:val="20"/>
          <w:u w:val="single"/>
        </w:rPr>
        <w:t>Appendix A</w:t>
      </w:r>
      <w:r>
        <w:rPr>
          <w:rFonts w:ascii="Times New Roman;sans-serif" w:hAnsi="Times New Roman;sans-serif"/>
          <w:b w:val="false"/>
          <w:color w:val="000000"/>
          <w:sz w:val="20"/>
        </w:rPr>
        <w:t>. Except as otherwise provided below, the number of Earned Performance Shares, if any, shall become vested as of the final date of the Performance Period (the “Vesting Date”) if the Participant remains in continuous service with the Company for the period beginning on the Grant Date and ending on the Vesting Date.</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2</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0"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Acceleration of Vesting on Account of Death, Disability, Retirement, or Termination of Employment, or for Other Reasons</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Death or Disability</w:t>
      </w:r>
      <w:r>
        <w:rPr>
          <w:rFonts w:ascii="Times New Roman;sans-serif" w:hAnsi="Times New Roman;sans-serif"/>
          <w:b w:val="false"/>
          <w:color w:val="000000"/>
          <w:sz w:val="20"/>
        </w:rPr>
        <w:t>. In the event that the Participant’s continuous service with the Company terminates by reason of the Participant’s death or Disability prior to the Vesting Date, the Participant shall vest in a pro-rated portion of the Earned Performance Shares, which shall be the product of (1) the number of the Earned Performance Shares, and (2) a fraction, the numerator of which is the number of months of the Performance Period which have elapsed since the first day of the Performance Period to the end of the month in which the Participant’s continuous service with the Company terminates by reason of the Participant’s death or Disability and the denominator of which is the total number of months in the Performance Period.</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(ii)    </w:t>
      </w:r>
      <w:r>
        <w:rPr>
          <w:rFonts w:ascii="Times New Roman;sans-serif" w:hAnsi="Times New Roman;sans-serif"/>
          <w:b w:val="false"/>
          <w:color w:val="000000"/>
          <w:sz w:val="20"/>
          <w:u w:val="single"/>
        </w:rPr>
        <w:t>Retirement</w:t>
      </w:r>
      <w:r>
        <w:rPr>
          <w:rFonts w:ascii="Times New Roman;sans-serif" w:hAnsi="Times New Roman;sans-serif"/>
          <w:b w:val="false"/>
          <w:color w:val="000000"/>
          <w:sz w:val="20"/>
        </w:rPr>
        <w:t>. In the event that the Participant’s continuous service with the Company terminates by reason of the Participant’s retirement prior to the Vesting Date, the Participant shall vest in the full number of Earned Performance Shares, if, at the time of such retirement:</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(A)    the Participant is at least fifty-five (55) years old and has completed twenty (20) years of continuous service with the Company; is at least fifty-six (56) years old and has completed ten (10) years of continuous service with the Company; is at least sixty (60) years old and has completed at least five (5) years of continuous service with the Company; or is at least sixty-five (65) years old (without regard to years of service), and in any of these cases has provided the Company not less than one (1) year prior written notice of Participant’s intent to retire; and</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(B)    the Company does not provide the Participant with written notice on or before the anticipated retirement date that the Company intends or has grounds to terminate the Participant’s continuous service for Cause.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determining years of continuous service, service shall include service in any capacity as an employee or a director with any entity whose financial statements are required to be consolidated with the financial statements of the Company, including service with any such entity prior to the date on which the entity’s financial statements were required to be so consolidated. The Participant agrees to make himself or herself reasonably available to the Company to assist any successor to his or her positions with the Company with any transition or other services as may be reasonably requested by the Board during the period beginning on the date the Participant’s continuous service with the Company terminates by reason of the Participant’s retirement and ending on the last day of the Performance Period.</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(iii)    </w:t>
      </w:r>
      <w:r>
        <w:rPr>
          <w:rFonts w:ascii="Times New Roman;sans-serif" w:hAnsi="Times New Roman;sans-serif"/>
          <w:b w:val="false"/>
          <w:color w:val="000000"/>
          <w:sz w:val="20"/>
          <w:u w:val="single"/>
        </w:rPr>
        <w:t>Termination Without Cause</w:t>
      </w:r>
      <w:r>
        <w:rPr>
          <w:rFonts w:ascii="Times New Roman;sans-serif" w:hAnsi="Times New Roman;sans-serif"/>
          <w:b w:val="false"/>
          <w:color w:val="000000"/>
          <w:sz w:val="20"/>
        </w:rPr>
        <w:t>. In the event that the Participant’s continuous service with the Company is terminated prior to the Vesting Date by the Company without Cause, the Participant shall vest in a pro-rated portion of the Earned Performance Shares, which shall be the product of (1) the number of the Earned Performance Shares, and (2) a fraction, the numerator of which is the number of months of the Performance Period which have elapsed since the first day of the Performance Period to the end of the month in which the Participant’s continuous service with the Company is terminated by the Company without Cause and the denominator of which is the total number of months in the Performance Period.</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Terms and Conditions</w:t>
      </w:r>
      <w:r>
        <w:rPr>
          <w:rFonts w:ascii="Times New Roman;sans-serif" w:hAnsi="Times New Roman;sans-serif"/>
          <w:b w:val="false"/>
          <w:color w:val="000000"/>
          <w:sz w:val="20"/>
        </w:rPr>
        <w:t>. This award of Performance Shares is subject to the following terms and conditions: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Payment for Performance Shares; Forfeiture of Performance Shares; Deferral of Performance Shares</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Except as otherwise provided in paragraph (ii) of this Section 4(a), Section 4(d), Section 5(b) or Section 14, 100% of the Earned Performance Shares that become vested pursuant to Section 3 shall be settled in shares of Common Stock (the “Stock-Settled Performance Shares”). With respect to each Stock-Settled Performance Share, the Participant shall receive one share of Common Stock for each of the Stock-Settled Performance Shares awarded hereunder, free and clear of the restrictions set forth in this Agreement, except for any restrictions necessary to comply with federal and state securities laws. Except as otherwise provided in paragraph (ii) of this Section 4(a) or Section 5(b), certificates (or other indicia of ownership) representing shares of Common Stock shall be delivered to the Participant in the calendar year following the calendar year in which the Performance Period ends, but in no event later than March 15 of the calendar year following the calendar year in which the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3</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1"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Period ends (the “Settlement Date”). Any Performance Shares that are not vested as of the Participant’s separation from service, within the meaning of Section 409A of the Code and applicable Treasury Regulations (the “Separation from Service”), and that are not eligible to become vested pursuant to Section 3(b), shall automatically and immediately be forfeited on the date of the Participant’s Separation from Service.</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The Participant may elect to defer the Performance Shares pursuant to the Republic Services, Inc. Deferred Compensation Plan, as may be amended from time to time (the “Deferred Compensation Plan”), and if the Participant properly and timely does so the Performance Shares deferred by the Participant shall be automatically converted into a corresponding number of units under the Republic Services Stock Unit Fund (the “Units”), shall be credited to the Participant’s “Account Balance” (as defined in the Deferred Compensation Plan) in accordance with Section 3.9(c) of the Deferred Compensation Plan and shall be payable at the times provided for under the Deferred Compensation Plan. The Units shall remain subject to the vesting and forfeiture provisions set forth in Sections 3, 4(g) and 4(j) of this Agreement. The Units shall be payable in actual shares of Common Stock at the times provided for under the Deferred Compensation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Hypothetical Nature of Performance Shares</w:t>
      </w:r>
      <w:r>
        <w:rPr>
          <w:rFonts w:ascii="Times New Roman;sans-serif" w:hAnsi="Times New Roman;sans-serif"/>
          <w:b w:val="false"/>
          <w:color w:val="000000"/>
          <w:sz w:val="20"/>
        </w:rPr>
        <w:t>. The Performance Shares do not represent an equity security of the Company and do not carry any voting or dividend rights, except the right to receive Dividend Equivalents in accordance with Section 4(c).</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Dividend Equivalents</w:t>
      </w:r>
      <w:r>
        <w:rPr>
          <w:rFonts w:ascii="Times New Roman;sans-serif" w:hAnsi="Times New Roman;sans-serif"/>
          <w:b w:val="false"/>
          <w:color w:val="000000"/>
          <w:sz w:val="20"/>
        </w:rPr>
        <w:t>. The Participant shall receive Dividend Equivalents in the form of additional Performance Shares or fractional Performance Shares each time a dividend or other distribution is paid on the Company’s Common Stock. The number of Performance Shares awarded for a cash dividend or non-cash dividend other than a stock dividend shall be determined by (i) multiplying the number of Performance Shares that may be earned by the Participant pursuant to this Agreement as of the dividend record date by the amount of the dividend per share of Common Stock and (ii) dividing the product so determined by the Fair Market Value of the Common Stock on the dividend payment date. The number of Performance Shares awarded for a stock dividend shall be determined by multiplying the number of Performance Shares that may be earned by the Participant pursuant to this Agreement as of the dividend record date by the number of additional shares of Common Stock actually paid as a dividend per share of Common Stock. Any additional Performance Shares awarded pursuant to this Section 4(c) shall be awarded effective as of the date the dividend was paid, and shall have the same status, and shall be subject to the same terms and conditions (including without limitation the performance conditions set forth in Appendix A that must be satisfied for those Performance Shares to which they relate to become Earned Performance Shares, and the vesting and forfeiture provisions and the settlement form (</w:t>
      </w:r>
      <w:r>
        <w:rPr>
          <w:rFonts w:ascii="Times New Roman;sans-serif" w:hAnsi="Times New Roman;sans-serif"/>
          <w:b w:val="false"/>
          <w:i/>
          <w:color w:val="000000"/>
          <w:sz w:val="20"/>
        </w:rPr>
        <w:t>i.e.,</w:t>
      </w:r>
      <w:r>
        <w:rPr>
          <w:color w:val="000000"/>
        </w:rPr>
        <w:t xml:space="preserve"> </w:t>
      </w:r>
      <w:r>
        <w:rPr>
          <w:rFonts w:ascii="Times New Roman;sans-serif" w:hAnsi="Times New Roman;sans-serif"/>
          <w:b w:val="false"/>
          <w:color w:val="000000"/>
          <w:sz w:val="20"/>
        </w:rPr>
        <w:t>shares of Common Stock)) under this Agreement as the Performance Shares to which they relate, and shall be distributed on the same payment date referred to in Section 4(a) as the Performance Shares to which they relate (or if later, as of the applicable dividend payment date) or alternatively, at the times provided for under the Deferred Compensation Plan to the extent the Participant elected to defer some or all of the Performance Shares to which the Dividend Equivalents relate under the Deferred Compensation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Tax Withholding</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    The Participant shall pay to the Company, or make arrangements satisfactory to the Committee for payment of, any federal, state or local taxes of any kind required by law to be withheld with respect to the grant of Performance Shares (including without limitation the vesting thereof) and any Dividend Equivalents or other distributions made by the Company to the Participant with respect to the Performance Shares as and when the Company determines those amounts to be due, and the Company shall, to the extent permitted by law, have the right to deduct from any payment of any kind otherwise due to Participant any federal, state, or local taxes of any kind required by law to be withheld with respect to the Performance Shares or any Dividend Equivalents or other distributions made by the Company to the Participant with respect to any Performance Shares.</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The Participant agrees that his or her minimum withholding tax obligation with respect to the granting, vesting or settlement of the Stock-Settled Performance Shares and any Dividend Equivalents or other distributions made by the Company to the Participant with respect to the Stock-Settled Performance Shares will be satisfied (provided that the Participant has enough vesting or vested shares available) by the Company’s withholding a portion of the shares of Common Stock otherwise deliverable to the Participant, such shares being valued at their Fair Market Value as of the date on which the taxable event that gives rise to the withholding requirement occurs. The Participant further agrees that each time the Company withholds shares to satisfy his or her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4</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2"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minimum withholding tax obligation, the Company will round up to the nearest whole number of shares (with any over withholding applied to federal income tax). For example, if 9.6 shares are required to satisfy the minimum withholding tax obligation, the Company will round up to 10 shares. Notwithstanding the foregoing, if the Company determines to allow fractional shares of Common Stock to be distributed or made available under the Company’s compensation and benefit plans, the foregoing rounding rules will cease to apply, and the Company instead will withhold a portion of the shares and fractional shares of Common Stock otherwise deliverable to the Participant, such shares and fractional shares being valued at their Fair Market Value as of the date of the taxable event that gives rise to the withholding requirement occurs. By accepting this Agreement, the Participant consents to this method of tax withholding, including the Company rounding up to the nearest whole number of shares (as applicable).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No</w:t>
      </w:r>
      <w:r>
        <w:rPr>
          <w:color w:val="000000"/>
          <w:u w:val="single"/>
        </w:rPr>
        <w:t xml:space="preserve"> </w:t>
      </w:r>
      <w:r>
        <w:rPr>
          <w:rFonts w:ascii="Times New Roman;sans-serif" w:hAnsi="Times New Roman;sans-serif"/>
          <w:b w:val="false"/>
          <w:color w:val="000000"/>
          <w:sz w:val="20"/>
          <w:u w:val="single"/>
        </w:rPr>
        <w:t>Right to Continued Employment or Service</w:t>
      </w:r>
      <w:r>
        <w:rPr>
          <w:rFonts w:ascii="Times New Roman;sans-serif" w:hAnsi="Times New Roman;sans-serif"/>
          <w:b w:val="false"/>
          <w:color w:val="000000"/>
          <w:sz w:val="20"/>
        </w:rPr>
        <w:t>. This Agreement does not confer upon the Participant any right with respect to continuance of employment or service by the Company, nor shall it interfere in any way with the right of the Company to terminate the Participant’s employment at any time.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Transferability of Awards</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(i)    </w:t>
      </w:r>
      <w:r>
        <w:rPr>
          <w:rFonts w:ascii="Times New Roman;sans-serif" w:hAnsi="Times New Roman;sans-serif"/>
          <w:b w:val="false"/>
          <w:color w:val="000000"/>
          <w:sz w:val="20"/>
          <w:u w:val="single"/>
        </w:rPr>
        <w:t>Restrictions on Transfer</w:t>
      </w:r>
      <w:r>
        <w:rPr>
          <w:rFonts w:ascii="Times New Roman;sans-serif" w:hAnsi="Times New Roman;sans-serif"/>
          <w:b w:val="false"/>
          <w:color w:val="000000"/>
          <w:sz w:val="20"/>
        </w:rPr>
        <w:t>. No Performance Shares shall be transferable or assignable by the Participant, other than by will or the laws of descent and distribution or pursuant to a domestic relations order within the meaning of Section 414(p)(1)(B) of the Code.</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(ii)    </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No transfer permitted under Section 4(f)(i) of any Performance Shares shall be effective to bind the Company unless the Committee shall have been furnished with (1) a Notice of Performance Share Transfer in the form required by the Committee executed and dated by the Participant (or the executor or personal representative of the deceased Participant’s estate) and a copy of the will, assignment or transfer document and/or such evidence as the Committee may deem necessary to establish the validity of the transfer, and (2) the Statement of Acknowledgement in the form required by the Committee executed and dated by the transferee which states that the transferee will comply with all the terms and conditions of the Plan and the Agreement relating to the Performance Shares that are or would have been applicable to the Participant.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Forfeiture by Reason of Detrimental Activity</w:t>
      </w:r>
      <w:r>
        <w:rPr>
          <w:rFonts w:ascii="Times New Roman;sans-serif" w:hAnsi="Times New Roman;sans-serif"/>
          <w:b w:val="false"/>
          <w:color w:val="000000"/>
          <w:sz w:val="20"/>
        </w:rPr>
        <w:t>. The Performance Shares shall be subject to Section 17(n) of the Plan. Notwithstanding any other provision of this Agreement to the contrary, if the Participant engages in any Detrimental Activity at any time prior to or during the one year period after the latest date on which any portion of the Performance Shares become vested but prior to a Change in Control, the Company shall, upon the recommendation of the Committee in its sole and absolute discretion, be entitled to (i) immediately terminate and cancel any portion of the Performance Shares that have not previously been settled with shares of Common Stock, and/or (ii) require within two (2) years after the latest date on which the Performance Shares are settled but prior to a Change in Control that the Participant return to the Company any shares of Common Stock that were distributed to the Participant in settlement of the Performance Shares, or if such shares of Common Stock are not still owned by the Participant, that the Participant pay to the Company an amount equal to the Fair Market Value of such shares of Common Stock on the date they were issued.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(h)    </w:t>
      </w:r>
      <w:r>
        <w:rPr>
          <w:rFonts w:ascii="Times New Roman;sans-serif" w:hAnsi="Times New Roman;sans-serif"/>
          <w:b w:val="false"/>
          <w:color w:val="000000"/>
          <w:sz w:val="20"/>
          <w:u w:val="single"/>
        </w:rPr>
        <w:t>Right to Set Off</w:t>
      </w:r>
      <w:r>
        <w:rPr>
          <w:rFonts w:ascii="Times New Roman;sans-serif" w:hAnsi="Times New Roman;sans-serif"/>
          <w:b w:val="false"/>
          <w:color w:val="000000"/>
          <w:sz w:val="20"/>
        </w:rPr>
        <w:t>. By accepting this Agreement, the Participant consents to a deduction from any amounts the Company owes the Participant from time to time (including amounts owed to the Participant as wages or other compensation, for any benefits, or vacation pay, as well as any other amounts owed to the Participant by the Company), up to the dollar amount the Participant owes the Company under Section 4(g) or 4(j). Whether or not the Company elects to make any set off in whole or in part, if the Company does not recover by means of set off the full amount the Participant owes the Company calculated as set forth in Section 4(h), the Participant agrees to pay immediately the unpaid balance to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Board of Director Discretion</w:t>
      </w:r>
      <w:r>
        <w:rPr>
          <w:rFonts w:ascii="Times New Roman;sans-serif" w:hAnsi="Times New Roman;sans-serif"/>
          <w:b w:val="false"/>
          <w:color w:val="000000"/>
          <w:sz w:val="20"/>
        </w:rPr>
        <w:t>. The Participant may be released from his or her obligations under Sections 4(g) and 4(h) only if the Board, or a duly authorized committee thereof, determines, in its sole and absolute discretion, that such action is not adverse to the interests of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(j)    </w:t>
      </w:r>
      <w:r>
        <w:rPr>
          <w:rFonts w:ascii="Times New Roman;sans-serif" w:hAnsi="Times New Roman;sans-serif"/>
          <w:b w:val="false"/>
          <w:color w:val="000000"/>
          <w:sz w:val="20"/>
          <w:u w:val="single"/>
        </w:rPr>
        <w:t>Clawback Policy</w:t>
      </w:r>
      <w:r>
        <w:rPr>
          <w:rFonts w:ascii="Times New Roman;sans-serif" w:hAnsi="Times New Roman;sans-serif"/>
          <w:b w:val="false"/>
          <w:color w:val="000000"/>
          <w:sz w:val="20"/>
        </w:rPr>
        <w:t xml:space="preserve">. Notwithstanding anything to the contrary contained, in consideration of the grant of this award, the Participant agrees that this award and any payments under it will be subject to forfeiture or repayment to the extent provided for in the Republic Services, Inc. Clawback Policy, as it may be amended or restated from time to time, or in accordance with any rules or regulations adopted by the Securities and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5</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3"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Exchange Commission and the New York Stock Exchange pursuant to Section 10D of the Securities Exchange Act of 1934 or other applicable law.</w:t>
      </w:r>
    </w:p>
    <w:p>
      <w:pPr>
        <w:pStyle w:val="TextBody"/>
        <w:bidi w:val="0"/>
        <w:spacing w:lineRule="auto" w:line="288" w:before="120" w:after="120"/>
        <w:ind w:left="0" w:right="0" w:hanging="360"/>
        <w:jc w:val="both"/>
        <w:rPr/>
      </w:pPr>
      <w:r>
        <w:rPr>
          <w:rFonts w:ascii="Times New Roman;sans-serif" w:hAnsi="Times New Roman;sans-serif"/>
          <w:b w:val="false"/>
          <w:color w:val="000000"/>
          <w:sz w:val="24"/>
        </w:rPr>
        <w:t>5.    </w:t>
      </w:r>
      <w:r>
        <w:rPr>
          <w:rFonts w:ascii="Times New Roman;sans-serif" w:hAnsi="Times New Roman;sans-serif"/>
          <w:b w:val="false"/>
          <w:color w:val="000000"/>
          <w:sz w:val="20"/>
          <w:u w:val="single"/>
        </w:rPr>
        <w:t>Change of Control or Capital Structure</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Change in Capital Structure</w:t>
      </w:r>
      <w:r>
        <w:rPr>
          <w:rFonts w:ascii="Times New Roman;sans-serif" w:hAnsi="Times New Roman;sans-serif"/>
          <w:b w:val="false"/>
          <w:color w:val="000000"/>
          <w:sz w:val="20"/>
        </w:rPr>
        <w:t>. Subject to any required action by the shareholders of the Company, the number of Performance Shares covered by this award shall be proportionately adjusted and the terms of the restrictions on such Performance Shares shall be adjusted as the Committee shall determine to be equitably required for any increase or decrease in the number of issued and outstanding shares of Common Stock of the Company resulting from any stock dividend (but only on the Common Stock), stock split, subdivision, combination, reclassification, recapitalization or general issuance to the holders of Common Stock of rights to purchase Common Stock at substantially below Fair Market Value or any change in the number of such shares outstanding effected without receipt of cash or property or labor or services by the Company or for any spin-off, spin-out, split-up, split-off or other distribution of assets to shareholders.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Change in Control</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If, within one year after a Change in Control, the Company terminates the Participant’s continuous service with the Company without Cause, the Performance Shares will immediately vest as if all target performance goals had been met and will be paid at target by the Company to the Participant at such time as the Company would have been required to make such payments if the termination of employment had not occurred. In the event this Section 5(b)(i) conflicts with Section 3(b)(iii), this Section 5(b)(i) shall control.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Except as provided in Section 5(b)(i), the award of Performance Shares shall not become vested in the event that a Change in Control occurs, except to the extent required in any employment agreement between the Company and the Participant or under the Separation Policy, as applicable. In the event of a change in the Common Stock as presently constituted, which is limited to a change in all of its authorized shares without par value into the same number of shares with par value, the shares resulting from any such change shall be deemed to be the Common Stock within the meaning of the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Other Adjustments</w:t>
      </w:r>
      <w:r>
        <w:rPr>
          <w:rFonts w:ascii="Times New Roman;sans-serif" w:hAnsi="Times New Roman;sans-serif"/>
          <w:b w:val="false"/>
          <w:color w:val="000000"/>
          <w:sz w:val="20"/>
        </w:rPr>
        <w:t>. The award of Performance Shares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6.    </w:t>
      </w:r>
      <w:r>
        <w:rPr>
          <w:rFonts w:ascii="Times New Roman;sans-serif" w:hAnsi="Times New Roman;sans-serif"/>
          <w:b w:val="false"/>
          <w:color w:val="000000"/>
          <w:sz w:val="20"/>
          <w:u w:val="single"/>
        </w:rPr>
        <w:t>Governing Law and Venue</w:t>
      </w:r>
      <w:r>
        <w:rPr>
          <w:rFonts w:ascii="Times New Roman;sans-serif" w:hAnsi="Times New Roman;sans-serif"/>
          <w:b w:val="false"/>
          <w:color w:val="000000"/>
          <w:sz w:val="20"/>
        </w:rPr>
        <w:t>. This Agreement shall be governed by and construed in accordance with the laws of the State of Delaware, without regard to its principles of conflict of laws. The parties agree that any action, suit or proceeding arising out of or related to this Agreement or the relationship of the Participant and the Company, shall be instituted only in the state or federal courts located in Maricopa County in the State of Arizona, and each party waives any objection which such party may now or hereafter have to such venue or jurisdictional court in any action, suit, or proceeding. Any and all services of process and any other notice in any such action, suit or proceeding shall be effective against any party if given by mail (registered or certified where possible, return receipt requested), postage prepaid, mailed to such party at the address set forth in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7.    </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The invalidity or enforceability of any one or more provisions of this Agreement shall not affect the validity or enforceability of any other provision of this Agreement, which shall remain in full force and effect. In the event that a court of competent jurisdiction should determine that any time period provided for in Section 4(g) or 4(j) is unenforceable, then such period shall be reduced to the longest period of time which such court shall deem enforceable, taking into consideration the purpose and intent of the Plan to serve the interests of the Company and its shareholders.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8.    </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or other communications with respect to the Performance Shares shall be deemed given and delivered in person or mailed by registered or certified mail (return receipt requested, postage prepaid) to the Company’s Stock Administrator at the following address (or such other address, as shall be specified by like notice of a change of address) and shall be effective upon receipt: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 Administrator</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Republic Services, Inc.</w:t>
      </w:r>
    </w:p>
    <w:p>
      <w:pPr>
        <w:pStyle w:val="TextBody"/>
        <w:bidi w:val="0"/>
        <w:spacing w:lineRule="auto" w:line="288"/>
        <w:jc w:val="both"/>
        <w:rPr>
          <w:color w:val="000000"/>
        </w:rPr>
      </w:pPr>
      <w:r>
        <w:rPr>
          <w:color w:val="000000"/>
        </w:rPr>
        <w:t>                    </w:t>
      </w:r>
      <w:r>
        <w:rPr>
          <w:rFonts w:ascii="Times New Roman;sans-serif" w:hAnsi="Times New Roman;sans-serif"/>
          <w:b w:val="false"/>
          <w:color w:val="000000"/>
          <w:sz w:val="20"/>
        </w:rPr>
        <w:t>18500 N. Allied Way</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6</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4"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color w:val="000000"/>
        </w:rPr>
      </w:pPr>
      <w:r>
        <w:rPr>
          <w:color w:val="000000"/>
        </w:rPr>
        <w:t>                    </w:t>
      </w:r>
      <w:r>
        <w:rPr>
          <w:rFonts w:ascii="Times New Roman;sans-serif" w:hAnsi="Times New Roman;sans-serif"/>
          <w:b w:val="false"/>
          <w:color w:val="000000"/>
          <w:sz w:val="20"/>
        </w:rPr>
        <w:t>Phoenix, AZ 85054</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9.    </w:t>
      </w:r>
      <w:r>
        <w:rPr>
          <w:rFonts w:ascii="Times New Roman;sans-serif" w:hAnsi="Times New Roman;sans-serif"/>
          <w:b w:val="false"/>
          <w:color w:val="000000"/>
          <w:sz w:val="20"/>
          <w:u w:val="single"/>
        </w:rPr>
        <w:t>Waiver</w:t>
      </w:r>
      <w:r>
        <w:rPr>
          <w:rFonts w:ascii="Times New Roman;sans-serif" w:hAnsi="Times New Roman;sans-serif"/>
          <w:b w:val="false"/>
          <w:color w:val="000000"/>
          <w:sz w:val="20"/>
        </w:rPr>
        <w:t>. The failure of any party at any time to require strict performance of any condition, promise, agreement or understanding set forth in this Agreement shall not be construed as a waiver or relinquishment of the right to require strict performance of the same condition, promise, agreement or understanding at a subsequent time.</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10.    </w:t>
      </w:r>
      <w:r>
        <w:rPr>
          <w:rFonts w:ascii="Times New Roman;sans-serif" w:hAnsi="Times New Roman;sans-serif"/>
          <w:b w:val="false"/>
          <w:color w:val="000000"/>
          <w:sz w:val="20"/>
          <w:u w:val="single"/>
        </w:rPr>
        <w:t>Interpretation/Provisions of Plan Control</w:t>
      </w:r>
      <w:r>
        <w:rPr>
          <w:rFonts w:ascii="Times New Roman;sans-serif" w:hAnsi="Times New Roman;sans-serif"/>
          <w:b w:val="false"/>
          <w:color w:val="000000"/>
          <w:sz w:val="20"/>
        </w:rPr>
        <w:t>. In the event of any conflict between the provisions of the Plan and the provisions of this Agreement, the provisions of the Plan shall govern. The Participant hereby accepts as final, conclusive and binding, any decisions by the Committee with respect to the interpretation or administration of the Plan and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11.    </w:t>
      </w:r>
      <w:r>
        <w:rPr>
          <w:rFonts w:ascii="Times New Roman;sans-serif" w:hAnsi="Times New Roman;sans-serif"/>
          <w:b w:val="false"/>
          <w:color w:val="000000"/>
          <w:sz w:val="20"/>
          <w:u w:val="single"/>
        </w:rPr>
        <w:t>Participant Bound by Plan</w:t>
      </w:r>
      <w:r>
        <w:rPr>
          <w:rFonts w:ascii="Times New Roman;sans-serif" w:hAnsi="Times New Roman;sans-serif"/>
          <w:b w:val="false"/>
          <w:color w:val="000000"/>
          <w:sz w:val="20"/>
        </w:rPr>
        <w:t>. The Participant hereby acknowledges receipt of a copy of the Plan and agrees to be bound by all the terms, conditions and provisions thereof.</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12.    </w:t>
      </w:r>
      <w:r>
        <w:rPr>
          <w:rFonts w:ascii="Times New Roman;sans-serif" w:hAnsi="Times New Roman;sans-serif"/>
          <w:b w:val="false"/>
          <w:color w:val="000000"/>
          <w:sz w:val="20"/>
          <w:u w:val="single"/>
        </w:rPr>
        <w:t>Binding Effect</w:t>
      </w:r>
      <w:r>
        <w:rPr>
          <w:rFonts w:ascii="Times New Roman;sans-serif" w:hAnsi="Times New Roman;sans-serif"/>
          <w:b w:val="false"/>
          <w:color w:val="000000"/>
          <w:sz w:val="20"/>
        </w:rPr>
        <w:t>. Subject to the limitations stated in this Agreement and in the Plan, this Agreement shall be binding upon and inure to the benefit of the successors and assigns of the Company and the Participant’s heirs, legatees, distributees and personal representatives.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13.    </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Agreement may be signed in any number of counterparts, each of which shall be an original, with the same effect as if the signatures thereto and hereto were upon the same instrument. The facsimile or email transmission of a signed signature page or an electronic acceptance of the Agreement, by any party to the other(s), shall constitute valid execution and acceptance of this Agreement by the signing/transmitting party.</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14.    </w:t>
      </w:r>
      <w:r>
        <w:rPr>
          <w:rFonts w:ascii="Times New Roman;sans-serif" w:hAnsi="Times New Roman;sans-serif"/>
          <w:b w:val="false"/>
          <w:color w:val="000000"/>
          <w:sz w:val="20"/>
          <w:u w:val="single"/>
        </w:rPr>
        <w:t>Section 409A</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It is the intention of both the Company and the Participant that the benefits and rights to which the Participant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Participant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Participant and on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u w:val="single"/>
        </w:rPr>
        <w:t>No Representations as to Section 409A Compliance</w:t>
      </w:r>
      <w:r>
        <w:rPr>
          <w:rFonts w:ascii="Times New Roman;sans-serif" w:hAnsi="Times New Roman;sans-serif"/>
          <w:b w:val="false"/>
          <w:color w:val="000000"/>
          <w:sz w:val="20"/>
        </w:rPr>
        <w:t>. Notwithstanding the foregoing, the Company does not make any representation to the Participant that the Performance Shares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Separation from Service</w:t>
      </w:r>
      <w:r>
        <w:rPr>
          <w:rFonts w:ascii="Times New Roman;sans-serif" w:hAnsi="Times New Roman;sans-serif"/>
          <w:b w:val="false"/>
          <w:color w:val="000000"/>
          <w:sz w:val="20"/>
        </w:rPr>
        <w:t>. If and to the extent permitted by Treasury Regulations Section 1.409A-1(h)(5) or other applicable law, the Participant provides services both as an employee of the Company and as a member of the Board, the services provided as a member of the Board shall not be taken into account in determining whether the Participant has incurred a Separation from Service for purposes of Section 4(a).</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6 Month Delay for Specified Employees</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    If the Participant is a “Specified Employee,”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7</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5"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For purposes of this provision, the Participant shall be considered to be a “Specified Employee” if, at the time of his or her Separation from Service, the Participant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No Acceleration of Payments</w:t>
      </w:r>
      <w:r>
        <w:rPr>
          <w:rFonts w:ascii="Times New Roman;sans-serif" w:hAnsi="Times New Roman;sans-serif"/>
          <w:b w:val="false"/>
          <w:color w:val="000000"/>
          <w:sz w:val="20"/>
        </w:rPr>
        <w:t>. Neither the Company nor the Participant,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15.    </w:t>
      </w:r>
      <w:r>
        <w:rPr>
          <w:rFonts w:ascii="Times New Roman;sans-serif" w:hAnsi="Times New Roman;sans-serif"/>
          <w:b w:val="false"/>
          <w:color w:val="000000"/>
          <w:sz w:val="20"/>
          <w:u w:val="single"/>
        </w:rPr>
        <w:t>Fractional Performance Shares</w:t>
      </w:r>
      <w:r>
        <w:rPr>
          <w:rFonts w:ascii="Times New Roman;sans-serif" w:hAnsi="Times New Roman;sans-serif"/>
          <w:b w:val="false"/>
          <w:color w:val="000000"/>
          <w:sz w:val="20"/>
        </w:rPr>
        <w:t>. Notwithstanding any provisions in this Agreement to the contrary, no full share of Common Stock or cash will be issued for a fractional Stock-Settled Performance Share unless the fractional Stock-Settled Performance Share is for at least one-half of a Performance Share; provided that if the Company determines to allow fractional shares of Common Stock to be distributed or made available under the Company’s compensation and benefit plans, any fractional share of Common Stock due under this Plan shall be distributed in the form of a fractional share of Common Stock, and the foregoing rounding rules shall cease to apply.</w:t>
      </w:r>
    </w:p>
    <w:p>
      <w:pPr>
        <w:pStyle w:val="TextBody"/>
        <w:bidi w:val="0"/>
        <w:spacing w:before="120" w:after="120"/>
        <w:ind w:left="0" w:right="0" w:firstLine="720"/>
        <w:jc w:val="left"/>
        <w:rPr/>
      </w:pPr>
      <w:r>
        <w:rPr/>
      </w:r>
    </w:p>
    <w:p>
      <w:pPr>
        <w:pStyle w:val="TextBody"/>
        <w:bidi w:val="0"/>
        <w:spacing w:lineRule="auto" w:line="288" w:before="120" w:after="120"/>
        <w:ind w:left="0" w:right="0" w:firstLine="720"/>
        <w:jc w:val="left"/>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Company has caused this Agreement to be signed by a duly authorized officer, and the Participant has affixed his or her signature hereto.    </w:t>
      </w:r>
    </w:p>
    <w:p>
      <w:pPr>
        <w:pStyle w:val="TextBody"/>
        <w:bidi w:val="0"/>
        <w:spacing w:lineRule="auto" w:line="288" w:before="120" w:after="120"/>
        <w:jc w:val="left"/>
        <w:rPr>
          <w:color w:val="000000"/>
        </w:rPr>
      </w:pPr>
      <w:r>
        <w:rPr>
          <w:color w:val="000000"/>
        </w:rPr>
        <w:t>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________________________________</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Jon Vander Ark </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Chief Executive Officer and President</w:t>
      </w:r>
    </w:p>
    <w:p>
      <w:pPr>
        <w:pStyle w:val="TextBody"/>
        <w:bidi w:val="0"/>
        <w:spacing w:before="0" w:after="240"/>
        <w:jc w:val="center"/>
        <w:rPr/>
      </w:pPr>
      <w:r>
        <w:rPr/>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8</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6"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i/>
          <w:color w:val="000000"/>
          <w:sz w:val="20"/>
        </w:rPr>
      </w:pPr>
      <w:r>
        <w:rPr>
          <w:rFonts w:ascii="Times New Roman;sans-serif" w:hAnsi="Times New Roman;sans-serif"/>
          <w:b/>
          <w:i/>
          <w:color w:val="000000"/>
          <w:sz w:val="20"/>
        </w:rPr>
        <w:t>APPENDIX A</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provides the calculation for determining the number of Earned Performance Shares based on the Company’s achievement of target levels of cash flow value creation (“CFVC”), return on invested capital (“ROIC”) and total shareholder return relative to the S&amp;P 500 Index (“RTSR”) over the Performance Period, as determined as soon as practicable after the end of the Performance Period by the Committee. The Committee may, in its sole and absolute discretion, use negative discretion to decrease, but not increase, the number of Earned Performance Shares otherwise payable to the Participant based upon such performance. For example, negative discretion may be used in the event of certain infrequent or unusual gain from an unexpected event that would favorably impact the number of Earned Performance Shares absent the use of negative discretion. All determinations by the Committee shall be final, conclusive and binding.</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Criterion, Target, Threshold and Maximum for the Performance Shares shall be as follows:</w:t>
      </w:r>
    </w:p>
    <w:p>
      <w:pPr>
        <w:pStyle w:val="TextBody"/>
        <w:bidi w:val="0"/>
        <w:spacing w:before="0" w:after="0"/>
        <w:jc w:val="both"/>
        <w:rPr/>
      </w:pPr>
      <w:r>
        <w:rPr/>
      </w:r>
    </w:p>
    <w:tbl>
      <w:tblPr>
        <w:tblW w:w="4534" w:type="dxa"/>
        <w:jc w:val="center"/>
        <w:tblInd w:w="0" w:type="dxa"/>
        <w:tblLayout w:type="fixed"/>
        <w:tblCellMar>
          <w:top w:w="28" w:type="dxa"/>
          <w:left w:w="28" w:type="dxa"/>
          <w:bottom w:w="28" w:type="dxa"/>
          <w:right w:w="28" w:type="dxa"/>
        </w:tblCellMar>
      </w:tblPr>
      <w:tblGrid>
        <w:gridCol w:w="446"/>
        <w:gridCol w:w="392"/>
        <w:gridCol w:w="393"/>
        <w:gridCol w:w="310"/>
        <w:gridCol w:w="310"/>
        <w:gridCol w:w="311"/>
        <w:gridCol w:w="445"/>
        <w:gridCol w:w="445"/>
        <w:gridCol w:w="446"/>
        <w:gridCol w:w="303"/>
        <w:gridCol w:w="303"/>
        <w:gridCol w:w="430"/>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CRITERION</w:t>
            </w:r>
          </w:p>
        </w:tc>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TARGET</w:t>
            </w:r>
          </w:p>
        </w:tc>
        <w:tc>
          <w:tcPr>
            <w:tcW w:w="13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THRESHOLD</w:t>
            </w:r>
          </w:p>
        </w:tc>
        <w:tc>
          <w:tcPr>
            <w:tcW w:w="103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Maximum</w:t>
            </w:r>
          </w:p>
        </w:tc>
      </w:tr>
      <w:tr>
        <w:trPr/>
        <w:tc>
          <w:tcPr>
            <w:tcW w:w="12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CFVC</w:t>
            </w:r>
          </w:p>
        </w:tc>
        <w:tc>
          <w:tcPr>
            <w:tcW w:w="9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ROIC</w:t>
            </w:r>
          </w:p>
        </w:tc>
        <w:tc>
          <w:tcPr>
            <w:tcW w:w="93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CFVC target and ROIC target are each met but not exceeded, the Earned Performance Shares will be paid at target, subject to adjustment for RTSR as set forth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Performance Shares Escalator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ROIC target is met and the CFVC target is exceeded, prior to adjusting for the RTSR multiplier, the Performance Share Grant payout (“PSU Grant Unadjusted Payout”) will be calculated at an amount above target. The multiplying factor applied to target PSU Grant Unadjusted Payout is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CFVC Multiplying Factor to PSU Grant Unadjusted Payout</w:t>
      </w:r>
      <w:r>
        <w:rPr>
          <w:color w:val="000000"/>
        </w:rPr>
        <w:t xml:space="preserve"> </w:t>
      </w:r>
      <w:r>
        <w:rPr>
          <w:rFonts w:ascii="Times New Roman;sans-serif" w:hAnsi="Times New Roman;sans-serif"/>
          <w:b w:val="false"/>
          <w:color w:val="000000"/>
          <w:sz w:val="20"/>
        </w:rPr>
        <w:t>(intermediate results will be interpolated):</w:t>
      </w:r>
    </w:p>
    <w:p>
      <w:pPr>
        <w:pStyle w:val="TextBody"/>
        <w:bidi w:val="0"/>
        <w:spacing w:before="0" w:after="0"/>
        <w:jc w:val="both"/>
        <w:rPr/>
      </w:pPr>
      <w:r>
        <w:rPr/>
      </w:r>
    </w:p>
    <w:tbl>
      <w:tblPr>
        <w:tblW w:w="4125" w:type="dxa"/>
        <w:jc w:val="center"/>
        <w:tblInd w:w="0" w:type="dxa"/>
        <w:tblLayout w:type="fixed"/>
        <w:tblCellMar>
          <w:top w:w="28" w:type="dxa"/>
          <w:left w:w="28" w:type="dxa"/>
          <w:bottom w:w="28" w:type="dxa"/>
          <w:right w:w="28" w:type="dxa"/>
        </w:tblCellMar>
      </w:tblPr>
      <w:tblGrid>
        <w:gridCol w:w="646"/>
        <w:gridCol w:w="568"/>
        <w:gridCol w:w="571"/>
        <w:gridCol w:w="684"/>
        <w:gridCol w:w="684"/>
        <w:gridCol w:w="97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Achievement</w:t>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Multiplying Factor</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100% (Target)</w:t>
            </w:r>
          </w:p>
        </w:tc>
      </w:tr>
      <w:tr>
        <w:trPr/>
        <w:tc>
          <w:tcPr>
            <w:tcW w:w="178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200% (Maximum)</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Performance Shares Payout if Targets not Met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either or both targets are not met, the PSU Grant Unadjusted Payout will be calculated at an amount at or below target. Each criterion will be averaged and weighted 50%. If ROIC target is not met and the calculation results in the PSU Grant Unadjusted Payout above target, the PSU Grant Unadjusted Payout will be limited to target.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CFVC Multiplying Factor to PSU Grant Unadjusted Payout</w:t>
      </w:r>
      <w:r>
        <w:rPr>
          <w:color w:val="000000"/>
        </w:rPr>
        <w:t xml:space="preserve"> </w:t>
      </w:r>
      <w:r>
        <w:rPr>
          <w:rFonts w:ascii="Times New Roman;sans-serif" w:hAnsi="Times New Roman;sans-serif"/>
          <w:b w:val="false"/>
          <w:color w:val="000000"/>
          <w:sz w:val="20"/>
        </w:rPr>
        <w:t>(intermediate results will be interpolated on a straight-line basis):</w:t>
      </w:r>
    </w:p>
    <w:p>
      <w:pPr>
        <w:pStyle w:val="TextBody"/>
        <w:bidi w:val="0"/>
        <w:spacing w:before="0" w:after="160"/>
        <w:jc w:val="left"/>
        <w:rPr/>
      </w:pPr>
      <w:r>
        <w:rPr/>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9</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87"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tbl>
      <w:tblPr>
        <w:tblW w:w="4125" w:type="dxa"/>
        <w:jc w:val="center"/>
        <w:tblInd w:w="0" w:type="dxa"/>
        <w:tblLayout w:type="fixed"/>
        <w:tblCellMar>
          <w:top w:w="28" w:type="dxa"/>
          <w:left w:w="28" w:type="dxa"/>
          <w:bottom w:w="28" w:type="dxa"/>
          <w:right w:w="28" w:type="dxa"/>
        </w:tblCellMar>
      </w:tblPr>
      <w:tblGrid>
        <w:gridCol w:w="646"/>
        <w:gridCol w:w="568"/>
        <w:gridCol w:w="571"/>
        <w:gridCol w:w="684"/>
        <w:gridCol w:w="684"/>
        <w:gridCol w:w="97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Achievement</w:t>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CFVC Multiplying Factor</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 (Threshold)</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100% (Target)</w:t>
            </w:r>
          </w:p>
        </w:tc>
      </w:tr>
      <w:tr>
        <w:trPr/>
        <w:tc>
          <w:tcPr>
            <w:tcW w:w="178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200% (Maximum)</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ROIC Multiplying Factor to PSU Grant Unadjusted Payout</w:t>
      </w:r>
      <w:r>
        <w:rPr>
          <w:color w:val="000000"/>
        </w:rPr>
        <w:t xml:space="preserve"> </w:t>
      </w:r>
      <w:r>
        <w:rPr>
          <w:rFonts w:ascii="Times New Roman;sans-serif" w:hAnsi="Times New Roman;sans-serif"/>
          <w:b w:val="false"/>
          <w:color w:val="000000"/>
          <w:sz w:val="20"/>
        </w:rPr>
        <w:t>(intermediate results will be interpolated on a straight-line basis):</w:t>
      </w:r>
    </w:p>
    <w:p>
      <w:pPr>
        <w:pStyle w:val="TextBody"/>
        <w:bidi w:val="0"/>
        <w:spacing w:before="0" w:after="0"/>
        <w:jc w:val="both"/>
        <w:rPr/>
      </w:pPr>
      <w:r>
        <w:rPr/>
      </w:r>
    </w:p>
    <w:tbl>
      <w:tblPr>
        <w:tblW w:w="4303" w:type="dxa"/>
        <w:jc w:val="center"/>
        <w:tblInd w:w="0" w:type="dxa"/>
        <w:tblLayout w:type="fixed"/>
        <w:tblCellMar>
          <w:top w:w="28" w:type="dxa"/>
          <w:left w:w="28" w:type="dxa"/>
          <w:bottom w:w="28" w:type="dxa"/>
          <w:right w:w="28" w:type="dxa"/>
        </w:tblCellMar>
      </w:tblPr>
      <w:tblGrid>
        <w:gridCol w:w="635"/>
        <w:gridCol w:w="558"/>
        <w:gridCol w:w="561"/>
        <w:gridCol w:w="745"/>
        <w:gridCol w:w="745"/>
        <w:gridCol w:w="1059"/>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ROIC Achievement</w:t>
            </w:r>
          </w:p>
        </w:tc>
        <w:tc>
          <w:tcPr>
            <w:tcW w:w="25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ROIC </w:t>
            </w:r>
          </w:p>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Multiplying Factor</w:t>
            </w:r>
          </w:p>
        </w:tc>
      </w:tr>
      <w:tr>
        <w:trPr/>
        <w:tc>
          <w:tcPr>
            <w:tcW w:w="175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175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 (Threshold)</w:t>
            </w:r>
          </w:p>
        </w:tc>
      </w:tr>
      <w:tr>
        <w:trPr/>
        <w:tc>
          <w:tcPr>
            <w:tcW w:w="175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100% (Target and Maximum)</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Adjustment for RTSR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PSU Grant Unadjusted Payout shall be adjusted further for RTSR performance to determine the payout of the 2025-2027 PSU Grant. The adjustment will be done by multiplying the PSU Grant Unadjusted Payout by the TSR Multiplier on Unadjusted Payout as follows:</w:t>
      </w:r>
    </w:p>
    <w:p>
      <w:pPr>
        <w:pStyle w:val="TextBody"/>
        <w:bidi w:val="0"/>
        <w:spacing w:before="0" w:after="0"/>
        <w:jc w:val="both"/>
        <w:rPr/>
      </w:pPr>
      <w:r>
        <w:rPr/>
      </w:r>
    </w:p>
    <w:tbl>
      <w:tblPr>
        <w:tblW w:w="5114" w:type="dxa"/>
        <w:jc w:val="center"/>
        <w:tblInd w:w="0" w:type="dxa"/>
        <w:tblLayout w:type="fixed"/>
        <w:tblCellMar>
          <w:top w:w="28" w:type="dxa"/>
          <w:left w:w="28" w:type="dxa"/>
          <w:bottom w:w="28" w:type="dxa"/>
          <w:right w:w="28" w:type="dxa"/>
        </w:tblCellMar>
      </w:tblPr>
      <w:tblGrid>
        <w:gridCol w:w="647"/>
        <w:gridCol w:w="568"/>
        <w:gridCol w:w="570"/>
        <w:gridCol w:w="975"/>
        <w:gridCol w:w="975"/>
        <w:gridCol w:w="137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RTSR Performance</w:t>
            </w:r>
          </w:p>
        </w:tc>
        <w:tc>
          <w:tcPr>
            <w:tcW w:w="33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TSR Multiplier on Unadjusted Payout</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7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78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0"/>
        </w:rPr>
        <w:t>Definitions</w:t>
      </w:r>
      <w:r>
        <w:rPr>
          <w:rFonts w:ascii="Times New Roman;sans-serif" w:hAnsi="Times New Roman;sans-serif"/>
          <w:b w:val="false"/>
          <w:color w:val="000000"/>
          <w:sz w:val="20"/>
        </w:rPr>
        <w:t>:</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CFVC” shall mean Cash Flow Value Creation, a three</w:t>
      </w:r>
      <w:r>
        <w:rPr>
          <w:rFonts w:ascii="Times New Roman;sans-serif" w:hAnsi="Times New Roman;sans-serif"/>
          <w:b w:val="false"/>
          <w:color w:val="0000FF"/>
          <w:sz w:val="24"/>
          <w:u w:val="single"/>
        </w:rPr>
        <w:t>-</w:t>
      </w:r>
      <w:r>
        <w:rPr>
          <w:rFonts w:ascii="Times New Roman;sans-serif" w:hAnsi="Times New Roman;sans-serif"/>
          <w:b w:val="false"/>
          <w:color w:val="000000"/>
          <w:sz w:val="20"/>
        </w:rPr>
        <w:t>year cumulative, total dollar measure that increases over the three</w:t>
      </w:r>
      <w:r>
        <w:rPr>
          <w:rFonts w:ascii="Times New Roman;sans-serif" w:hAnsi="Times New Roman;sans-serif"/>
          <w:b w:val="false"/>
          <w:color w:val="0000FF"/>
          <w:sz w:val="24"/>
          <w:u w:val="single"/>
        </w:rPr>
        <w:t>-</w:t>
      </w:r>
      <w:r>
        <w:rPr>
          <w:rFonts w:ascii="Times New Roman;sans-serif" w:hAnsi="Times New Roman;sans-serif"/>
          <w:b w:val="false"/>
          <w:color w:val="000000"/>
          <w:sz w:val="20"/>
        </w:rPr>
        <w:t>year time period to reach a predetermined goal.</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ROIC” shall mean Return on Invested Capital, an investment return measure which is established for the attainment of a predetermined target over a three</w:t>
      </w:r>
      <w:r>
        <w:rPr>
          <w:rFonts w:ascii="Times New Roman;sans-serif" w:hAnsi="Times New Roman;sans-serif"/>
          <w:b w:val="false"/>
          <w:color w:val="0000FF"/>
          <w:sz w:val="24"/>
          <w:u w:val="single"/>
        </w:rPr>
        <w:t>-</w:t>
      </w:r>
      <w:r>
        <w:rPr>
          <w:rFonts w:ascii="Times New Roman;sans-serif" w:hAnsi="Times New Roman;sans-serif"/>
          <w:b w:val="false"/>
          <w:color w:val="000000"/>
          <w:sz w:val="20"/>
        </w:rPr>
        <w:t>year period</w:t>
      </w:r>
      <w:r>
        <w:rPr>
          <w:rFonts w:ascii="Times New Roman;sans-serif" w:hAnsi="Times New Roman;sans-serif"/>
          <w:b/>
          <w:color w:val="000000"/>
          <w:sz w:val="20"/>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0"/>
        </w:rPr>
        <w:t>CFVC” and “ROIC” shall be prepared on a consistent basis, adjusted by the Committee, in its discretion, for the impact of:</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(i)the loss on extinguishment of debt;</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(ii)gains and losses (or related impairments) from divestitures, impairments of goodwill and other costs and impairments resulting from exiting a business;</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(iii)gains or losses associated with withdrawal from or termination of one or more benefit plans;</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(iv)material changes caused by new accounting rules or new interpretations of previous accounting rules; and</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(v)similar events or circumstances.</w:t>
      </w:r>
    </w:p>
    <w:p>
      <w:pPr>
        <w:pStyle w:val="TextBody"/>
        <w:bidi w:val="0"/>
        <w:jc w:val="both"/>
        <w:rPr/>
      </w:pPr>
      <w:r>
        <w:rPr/>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10</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88"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1.45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0"/>
        </w:rPr>
        <w:t>RTSR” shall be calculated based on the percentile of performance over the three-year cycle compared to the performance of the S&amp;P 500.</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1819275" cy="904875"/>
            <wp:effectExtent l="0" t="0" r="0" b="0"/>
            <wp:docPr id="18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5" descr=""/>
                    <pic:cNvPicPr>
                      <a:picLocks noChangeAspect="1" noChangeArrowheads="1"/>
                    </pic:cNvPicPr>
                  </pic:nvPicPr>
                  <pic:blipFill>
                    <a:blip r:embed="rId129"/>
                    <a:stretch>
                      <a:fillRect/>
                    </a:stretch>
                  </pic:blipFill>
                  <pic:spPr bwMode="auto">
                    <a:xfrm>
                      <a:off x="0" y="0"/>
                      <a:ext cx="1819275" cy="904875"/>
                    </a:xfrm>
                    <a:prstGeom prst="rect">
                      <a:avLst/>
                    </a:prstGeom>
                  </pic:spPr>
                </pic:pic>
              </a:graphicData>
            </a:graphic>
          </wp:inline>
        </w:drawing>
      </w:r>
      <w:r>
        <w:rPr>
          <w:rFonts w:ascii="Cambria;sans-serif" w:hAnsi="Cambria;sans-serif"/>
          <w:b w:val="false"/>
          <w:color w:val="000000"/>
          <w:sz w:val="20"/>
        </w:rPr>
        <w:t>1</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0"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3.45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before="0" w:after="144"/>
        <w:jc w:val="center"/>
        <w:rPr/>
      </w:pPr>
      <w:r>
        <w:rPr/>
      </w:r>
    </w:p>
    <w:p>
      <w:pPr>
        <w:pStyle w:val="TextBody"/>
        <w:bidi w:val="0"/>
        <w:spacing w:before="0" w:after="144"/>
        <w:jc w:val="center"/>
        <w:rPr/>
      </w:pPr>
      <w:r>
        <w:rPr/>
      </w:r>
    </w:p>
    <w:p>
      <w:pPr>
        <w:pStyle w:val="TextBody"/>
        <w:bidi w:val="0"/>
        <w:spacing w:before="0" w:after="144"/>
        <w:jc w:val="center"/>
        <w:rPr/>
      </w:pPr>
      <w:r>
        <w:rPr/>
      </w:r>
    </w:p>
    <w:p>
      <w:pPr>
        <w:pStyle w:val="TextBody"/>
        <w:bidi w:val="0"/>
        <w:spacing w:lineRule="auto" w:line="352" w:before="0" w:after="144"/>
        <w:jc w:val="right"/>
        <w:rPr>
          <w:rFonts w:ascii="Times New Roman;sans-serif" w:hAnsi="Times New Roman;sans-serif"/>
          <w:b/>
          <w:color w:val="000000"/>
          <w:sz w:val="20"/>
        </w:rPr>
      </w:pPr>
      <w:r>
        <w:rPr>
          <w:rFonts w:ascii="Times New Roman;sans-serif" w:hAnsi="Times New Roman;sans-serif"/>
          <w:b/>
          <w:color w:val="000000"/>
          <w:sz w:val="20"/>
        </w:rPr>
        <w:t>EXHIBIT 10.21</w:t>
      </w:r>
    </w:p>
    <w:p>
      <w:pPr>
        <w:pStyle w:val="TextBody"/>
        <w:bidi w:val="0"/>
        <w:spacing w:lineRule="auto" w:line="352" w:before="0" w:after="144"/>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312" w:before="36" w:after="283"/>
        <w:jc w:val="center"/>
        <w:rPr>
          <w:rFonts w:ascii="Times New Roman;sans-serif" w:hAnsi="Times New Roman;sans-serif"/>
          <w:b/>
          <w:color w:val="000000"/>
          <w:sz w:val="20"/>
        </w:rPr>
      </w:pPr>
      <w:r>
        <w:rPr>
          <w:rFonts w:ascii="Times New Roman;sans-serif" w:hAnsi="Times New Roman;sans-serif"/>
          <w:b/>
          <w:color w:val="000000"/>
          <w:sz w:val="20"/>
        </w:rPr>
        <w:t>EMPLOYEE RESTRICTED STOCK UNIT AGREEMENT</w:t>
      </w:r>
    </w:p>
    <w:p>
      <w:pPr>
        <w:pStyle w:val="TextBody"/>
        <w:bidi w:val="0"/>
        <w:spacing w:before="36" w:after="283"/>
        <w:jc w:val="center"/>
        <w:rPr/>
      </w:pPr>
      <w:r>
        <w:rPr/>
      </w:r>
    </w:p>
    <w:tbl>
      <w:tblPr>
        <w:tblW w:w="3494" w:type="dxa"/>
        <w:jc w:val="left"/>
        <w:tblInd w:w="0" w:type="dxa"/>
        <w:tblLayout w:type="fixed"/>
        <w:tblCellMar>
          <w:top w:w="28" w:type="dxa"/>
          <w:left w:w="28" w:type="dxa"/>
          <w:bottom w:w="28" w:type="dxa"/>
          <w:right w:w="28" w:type="dxa"/>
        </w:tblCellMar>
      </w:tblPr>
      <w:tblGrid>
        <w:gridCol w:w="1118"/>
        <w:gridCol w:w="983"/>
        <w:gridCol w:w="1393"/>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004A7C"/>
              <w:left w:val="single" w:sz="4" w:space="0" w:color="004A7C"/>
              <w:right w:val="single" w:sz="4" w:space="0" w:color="004A7C"/>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Participant Name : </w:t>
            </w:r>
            <w:r>
              <w:rPr>
                <w:rFonts w:ascii="Times New Roman;sans-serif" w:hAnsi="Times New Roman;sans-serif"/>
                <w:b w:val="false"/>
                <w:color w:val="000000"/>
                <w:sz w:val="20"/>
              </w:rPr>
              <w:t>/$ParticipantName$/</w:t>
            </w:r>
          </w:p>
        </w:tc>
      </w:tr>
      <w:tr>
        <w:trPr/>
        <w:tc>
          <w:tcPr>
            <w:tcW w:w="349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Date : </w:t>
            </w:r>
            <w:r>
              <w:rPr>
                <w:rFonts w:ascii="Times New Roman;sans-serif" w:hAnsi="Times New Roman;sans-serif"/>
                <w:b w:val="false"/>
                <w:color w:val="000000"/>
                <w:sz w:val="20"/>
              </w:rPr>
              <w:t>/$GrantDate$/</w:t>
            </w:r>
          </w:p>
        </w:tc>
      </w:tr>
      <w:tr>
        <w:trPr/>
        <w:tc>
          <w:tcPr>
            <w:tcW w:w="349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Type : </w:t>
            </w:r>
            <w:r>
              <w:rPr>
                <w:rFonts w:ascii="Times New Roman;sans-serif" w:hAnsi="Times New Roman;sans-serif"/>
                <w:b w:val="false"/>
                <w:color w:val="000000"/>
                <w:sz w:val="20"/>
              </w:rPr>
              <w:t>/$GrantType$/</w:t>
            </w:r>
          </w:p>
        </w:tc>
      </w:tr>
      <w:tr>
        <w:trPr/>
        <w:tc>
          <w:tcPr>
            <w:tcW w:w="349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RSUs Granted : </w:t>
            </w:r>
            <w:r>
              <w:rPr>
                <w:rFonts w:ascii="Times New Roman;sans-serif" w:hAnsi="Times New Roman;sans-serif"/>
                <w:b w:val="false"/>
                <w:color w:val="000000"/>
                <w:sz w:val="20"/>
              </w:rPr>
              <w:t>/$AwardsGranted$/</w:t>
            </w:r>
          </w:p>
        </w:tc>
      </w:tr>
      <w:tr>
        <w:trPr/>
        <w:tc>
          <w:tcPr>
            <w:tcW w:w="3494" w:type="dxa"/>
            <w:gridSpan w:val="3"/>
            <w:tcBorders>
              <w:left w:val="single" w:sz="4" w:space="0" w:color="004A7C"/>
              <w:bottom w:val="single" w:sz="4" w:space="0" w:color="004A7C"/>
              <w:right w:val="single" w:sz="4" w:space="0" w:color="004A7C"/>
            </w:tcBorders>
            <w:tcMar>
              <w:top w:w="0" w:type="dxa"/>
              <w:bottom w:w="3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Plan Name : </w:t>
            </w:r>
            <w:r>
              <w:rPr>
                <w:rFonts w:ascii="Times New Roman;sans-serif" w:hAnsi="Times New Roman;sans-serif"/>
                <w:b w:val="false"/>
                <w:color w:val="000000"/>
                <w:sz w:val="20"/>
              </w:rPr>
              <w:t>/$PlanName$/</w:t>
            </w:r>
          </w:p>
        </w:tc>
      </w:tr>
    </w:tbl>
    <w:p>
      <w:pPr>
        <w:pStyle w:val="TextBody"/>
        <w:bidi w:val="0"/>
        <w:spacing w:before="36" w:after="283"/>
        <w:jc w:val="center"/>
        <w:rPr/>
      </w:pPr>
      <w:r>
        <w:rPr/>
      </w:r>
    </w:p>
    <w:p>
      <w:pPr>
        <w:pStyle w:val="TextBody"/>
        <w:bidi w:val="0"/>
        <w:spacing w:lineRule="auto" w:line="288" w:before="120" w:after="12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THIS RESTRICTED STOCK UNIT AGREEMENT (the “Agreement”), dated as of the Grant Date shown above, between Republic Services, Inc., a Delaware corporation (the “Company”) and Participant (the “Participant”), is made pursuant and subject to the provisions of the Republic Services, Inc. 2021 Stock Incentive Plan, and any future amendments thereto (the “Plan”). The Plan, as it may be amended from time to time, is incorporated herein by reference.</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All capitalized terms used herein but not expressly defined shall have the meaning ascribed to them in the Plan, a copy of which is being provided as part of the grant acceptance materials and is incorporated herein by reference. All references to the Company in this Agreement shall also be deemed to include references to any and all entities directly or indirectly controlled by the Company and which are consolidated with the Company for financial accounting purposes.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2.</w:t>
      </w:r>
      <w:r>
        <w:rPr>
          <w:color w:val="000000"/>
        </w:rPr>
        <w:t>    </w:t>
      </w:r>
      <w:r>
        <w:rPr>
          <w:rFonts w:ascii="Times New Roman;sans-serif" w:hAnsi="Times New Roman;sans-serif"/>
          <w:b w:val="false"/>
          <w:color w:val="000000"/>
          <w:sz w:val="20"/>
          <w:u w:val="single"/>
        </w:rPr>
        <w:t>Award of Restricted Stock Units</w:t>
      </w:r>
      <w:r>
        <w:rPr>
          <w:rFonts w:ascii="Times New Roman;sans-serif" w:hAnsi="Times New Roman;sans-serif"/>
          <w:b w:val="false"/>
          <w:color w:val="000000"/>
          <w:sz w:val="20"/>
        </w:rPr>
        <w:t>. Subject to the terms and conditions of the Plan and to the terms and conditions herein set forth in this Agreement, the Company on this date awards to the Participant the number of Restricted Stock Units shown in the box above as RSUs Granted (referred to as the “Restricted Stock Units”).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Vesting Schedule</w:t>
      </w:r>
      <w:r>
        <w:rPr>
          <w:rFonts w:ascii="Times New Roman;sans-serif" w:hAnsi="Times New Roman;sans-serif"/>
          <w:b w:val="false"/>
          <w:color w:val="000000"/>
          <w:sz w:val="20"/>
        </w:rPr>
        <w:t xml:space="preserve">. Subject to the terms and conditions of this Agreement, the Restricted Stock Units shall vest and become nonforfeitable on the dates (each a </w:t>
      </w:r>
      <w:r>
        <w:rPr>
          <w:color w:val="000000"/>
        </w:rPr>
        <w:t>“</w:t>
      </w:r>
      <w:r>
        <w:rPr>
          <w:rFonts w:ascii="Times New Roman;sans-serif" w:hAnsi="Times New Roman;sans-serif"/>
          <w:b w:val="false"/>
          <w:color w:val="000000"/>
          <w:sz w:val="20"/>
        </w:rPr>
        <w:t>Vesting Date</w:t>
      </w:r>
      <w:r>
        <w:rPr>
          <w:color w:val="000000"/>
        </w:rPr>
        <w:t>”</w:t>
      </w:r>
      <w:r>
        <w:rPr>
          <w:rFonts w:ascii="Times New Roman;sans-serif" w:hAnsi="Times New Roman;sans-serif"/>
          <w:b w:val="false"/>
          <w:color w:val="000000"/>
          <w:sz w:val="20"/>
        </w:rPr>
        <w:t>) and in the percentages set forth in accordance with the following schedule, provided that the Participant’s continuous service with the Company continues until the applicable Vesting Date:</w:t>
      </w:r>
    </w:p>
    <w:p>
      <w:pPr>
        <w:pStyle w:val="TextBody"/>
        <w:bidi w:val="0"/>
        <w:spacing w:lineRule="auto" w:line="288" w:before="0" w:after="0"/>
        <w:ind w:left="0" w:right="0" w:firstLine="720"/>
        <w:jc w:val="left"/>
        <w:rPr/>
      </w:pPr>
      <w:r>
        <w:rPr>
          <w:rFonts w:ascii="Times New Roman;sans-serif" w:hAnsi="Times New Roman;sans-serif"/>
          <w:b w:val="false"/>
          <w:color w:val="000000"/>
          <w:sz w:val="20"/>
          <w:u w:val="single"/>
        </w:rPr>
        <w:t>Vesting Date</w:t>
      </w:r>
      <w:r>
        <w:rPr>
          <w:color w:val="000000"/>
        </w:rPr>
        <w:t>                </w:t>
      </w:r>
      <w:r>
        <w:rPr>
          <w:rFonts w:ascii="Times New Roman;sans-serif" w:hAnsi="Times New Roman;sans-serif"/>
          <w:b w:val="false"/>
          <w:color w:val="000000"/>
          <w:sz w:val="20"/>
          <w:u w:val="single"/>
        </w:rPr>
        <w:t>Vesting Percentage</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(Percentage of Total Award</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Vested as of Applicable Date)</w:t>
      </w:r>
    </w:p>
    <w:p>
      <w:pPr>
        <w:pStyle w:val="TextBody"/>
        <w:bidi w:val="0"/>
        <w:spacing w:lineRule="auto" w:line="288" w:before="120" w:after="120"/>
        <w:ind w:left="0" w:right="0" w:firstLine="720"/>
        <w:jc w:val="left"/>
        <w:rPr/>
      </w:pPr>
      <w:r>
        <w:rPr>
          <w:rFonts w:ascii="Times New Roman;sans-serif" w:hAnsi="Times New Roman;sans-serif"/>
          <w:b w:val="false"/>
          <w:color w:val="000000"/>
          <w:sz w:val="20"/>
        </w:rPr>
        <w:t>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Annual Anniversary of the Grant Date          25%</w:t>
      </w:r>
    </w:p>
    <w:p>
      <w:pPr>
        <w:pStyle w:val="TextBody"/>
        <w:bidi w:val="0"/>
        <w:spacing w:lineRule="auto" w:line="288" w:before="120" w:after="120"/>
        <w:jc w:val="left"/>
        <w:rPr/>
      </w:pPr>
      <w:r>
        <w:rPr>
          <w:color w:val="000000"/>
        </w:rPr>
        <w:t>        </w:t>
      </w:r>
      <w:r>
        <w:rPr>
          <w:rFonts w:ascii="Times New Roman;sans-serif" w:hAnsi="Times New Roman;sans-serif"/>
          <w:b w:val="false"/>
          <w:color w:val="000000"/>
          <w:sz w:val="20"/>
        </w:rPr>
        <w:t>2</w:t>
      </w:r>
      <w:r>
        <w:rPr>
          <w:rFonts w:ascii="Times New Roman;sans-serif" w:hAnsi="Times New Roman;sans-serif"/>
          <w:b w:val="false"/>
          <w:color w:val="000000"/>
          <w:sz w:val="13"/>
        </w:rPr>
        <w:t>nd</w:t>
      </w:r>
      <w:r>
        <w:rPr>
          <w:color w:val="000000"/>
        </w:rPr>
        <w:t xml:space="preserve"> </w:t>
      </w:r>
      <w:r>
        <w:rPr>
          <w:rFonts w:ascii="Times New Roman;sans-serif" w:hAnsi="Times New Roman;sans-serif"/>
          <w:b w:val="false"/>
          <w:color w:val="000000"/>
          <w:sz w:val="20"/>
        </w:rPr>
        <w:t>Annual Anniversary of the Grant Date      50%</w:t>
      </w:r>
    </w:p>
    <w:p>
      <w:pPr>
        <w:pStyle w:val="TextBody"/>
        <w:bidi w:val="0"/>
        <w:spacing w:lineRule="auto" w:line="288" w:before="120" w:after="120"/>
        <w:ind w:left="0" w:right="0" w:firstLine="720"/>
        <w:jc w:val="left"/>
        <w:rPr/>
      </w:pPr>
      <w:r>
        <w:rPr>
          <w:rFonts w:ascii="Times New Roman;sans-serif" w:hAnsi="Times New Roman;sans-serif"/>
          <w:b w:val="false"/>
          <w:color w:val="000000"/>
          <w:sz w:val="20"/>
        </w:rPr>
        <w:t>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 xml:space="preserve">Annual Anniversary of the Grant Date          75% </w:t>
      </w:r>
    </w:p>
    <w:p>
      <w:pPr>
        <w:pStyle w:val="TextBody"/>
        <w:bidi w:val="0"/>
        <w:spacing w:lineRule="auto" w:line="288" w:before="120" w:after="120"/>
        <w:ind w:left="0" w:right="0" w:firstLine="720"/>
        <w:jc w:val="left"/>
        <w:rPr/>
      </w:pPr>
      <w:r>
        <w:rPr>
          <w:rFonts w:ascii="Times New Roman;sans-serif" w:hAnsi="Times New Roman;sans-serif"/>
          <w:b w:val="false"/>
          <w:color w:val="000000"/>
          <w:sz w:val="20"/>
        </w:rPr>
        <w:t>4</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Annual Anniversary of the Grant Date         100%</w:t>
      </w:r>
    </w:p>
    <w:p>
      <w:pPr>
        <w:pStyle w:val="TextBody"/>
        <w:bidi w:val="0"/>
        <w:spacing w:before="120" w:after="120"/>
        <w:ind w:left="0" w:right="0" w:firstLine="720"/>
        <w:jc w:val="left"/>
        <w:rPr/>
      </w:pPr>
      <w:r>
        <w:rPr/>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2</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1"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Except as otherwise specifically provided herein, there shall be no proportionate or partial vesting in the periods prior to each Vesting Date, and all vesting shall occur only on the applicable Vesting Date.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Acceleration of Vesting on Account of Death, Disability, Retirement, Termination of Employment, or for Other Reasons</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Death or Disability</w:t>
      </w:r>
      <w:r>
        <w:rPr>
          <w:rFonts w:ascii="Times New Roman;sans-serif" w:hAnsi="Times New Roman;sans-serif"/>
          <w:b w:val="false"/>
          <w:color w:val="000000"/>
          <w:sz w:val="20"/>
        </w:rPr>
        <w:t>. The Restricted Stock Units not yet vested and that have not previously been forfeited shall become 100% vested and transferable in the event that the Participant’s continuous service with the Company terminates by reason of the Participant’s death or Disability.</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(ii)    </w:t>
      </w:r>
      <w:r>
        <w:rPr>
          <w:rFonts w:ascii="Times New Roman;sans-serif" w:hAnsi="Times New Roman;sans-serif"/>
          <w:b w:val="false"/>
          <w:color w:val="000000"/>
          <w:sz w:val="20"/>
          <w:u w:val="single"/>
        </w:rPr>
        <w:t>Retirement</w:t>
      </w:r>
      <w:r>
        <w:rPr>
          <w:rFonts w:ascii="Times New Roman;sans-serif" w:hAnsi="Times New Roman;sans-serif"/>
          <w:b w:val="false"/>
          <w:color w:val="000000"/>
          <w:sz w:val="20"/>
        </w:rPr>
        <w:t>. The Restricted Stock Units not yet vested and that have not previously been forfeited shall become 100% vested and transferable in the event that (1) the Participant’s continuous service with the Company terminates by reason of the Participant’s retirement and, (2) at the time of such retirement:</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(A)    the Participant is at least fifty-five (55) years old and has completed twenty (20) years of continuous service with the Company; is at least fifty-six (56) years old and has completed ten (10) years of continuous service with the Company; is at least sixty (60) years old and has completed at least five (5) years of continuous service with the Company; or is at least sixty-five (65) years old (without regard to years of service), and in any of these cases has provided the Company not less than one (1) year prior written notice of Participant’s intent to retire; and</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(B)    the Company does not provide the Participant with written notice on or before the anticipated retirement date that the Company intends or has grounds to terminate the Participant’s continuous service for Cause.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determining years of continuous service, service shall include service in any capacity as an employee or a director with any entity whose financial statements are required to be consolidated with the financial statements of the Company, including service with any such entity prior to the date on which the entity’s financial statements were required to be so consolidated.</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(iii)    </w:t>
      </w:r>
      <w:r>
        <w:rPr>
          <w:rFonts w:ascii="Times New Roman;sans-serif" w:hAnsi="Times New Roman;sans-serif"/>
          <w:b w:val="false"/>
          <w:color w:val="000000"/>
          <w:sz w:val="20"/>
          <w:u w:val="single"/>
        </w:rPr>
        <w:t>Employment Agreement</w:t>
      </w:r>
      <w:r>
        <w:rPr>
          <w:rFonts w:ascii="Times New Roman;sans-serif" w:hAnsi="Times New Roman;sans-serif"/>
          <w:b w:val="false"/>
          <w:color w:val="000000"/>
          <w:sz w:val="20"/>
        </w:rPr>
        <w:t>. In the event that the Participant has entered into any employment agreement between the Participant and the Company that is in effect on the date on which the Participant’s continuous service with the Company is terminated and such employment agreement provides benefits upon the Participant’s retirement and/or termination of employment, the applicable provisions of such employment agreement relating to the Participant’s retirement and/or termination of employment shall apply, notwithstanding any provision in Section 3(b)(ii) of this Agreement to the contrary. In addition, to the extent the Restricted Stock Units have not yet vested and have not previously been forfeited, such Restricted Stock Units shall become partially or fully vested and transferable at such times and in such amounts as may be required under the Company’s Executive Separation Policy, as amended from time to time and as applicable.</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Terms and Conditions</w:t>
      </w:r>
      <w:r>
        <w:rPr>
          <w:rFonts w:ascii="Times New Roman;sans-serif" w:hAnsi="Times New Roman;sans-serif"/>
          <w:b w:val="false"/>
          <w:color w:val="000000"/>
          <w:sz w:val="20"/>
        </w:rPr>
        <w:t>. This award of Restricted Stock Units is subject to the following terms and conditions: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Payment for Restricted Stock Units; Forfeiture of Unvested Units; Deferral of Restricted Stock Units</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 Except as otherwise provided in paragraph (ii) of this Section 4(a), Section 4(d) or Section 14 hereof, the Participant shall receive one share of Common Stock for each vested Restricted Stock Unit awarded hereunder, free and clear of the restrictions set forth in this Agreement, except for any restrictions necessary to comply with federal and state securities laws. Certificates (or other indicia of ownership) representing such shares shall be delivered to the Participant as promptly as practical (but in no event more than 30 days) following the date on which the portion of the Restricted Stock Units to which the distribution relates becomes vested. Any Restricted Stock Units that are not vested as of the Participant’s separation from service, within the meaning of Section 409A of the Code and applicable Treasury Regulations (the “Separation from Service”), and that will not become vested pursuant to Section 3(b) hereof, shall automatically and immediately be forfeited on the date of the Participant’s Separation from Service.</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3</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2"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The Participant may elect to defer the Restricted Stock Units pursuant to the Republic Services, Inc. Deferred Compensation Plan, as may be amended from time to time (the “Deferred Compensation Plan”), and if the Participant properly and timely does so, the Restricted Stock Units shall be automatically converted into a corresponding number of units under the Republic Services Stock Unit Fund (the “Units”), and shall be credited to the Participant’s Account Balance (as defined in the Deferred Compensation Plan) in accordance with Section 3.9(c) of the Deferred Compensation Plan. The Units shall remain subject to the vesting and forfeiture provisions set forth in Sections 3, 4(h) and 4(k) of this Agreement. The Units shall be payable in actual shares of Common Stock at the times provided for under the Deferred Compensation Plan as may be amended from time to time.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Hypothetical Nature of Restricted Stock Units</w:t>
      </w:r>
      <w:r>
        <w:rPr>
          <w:rFonts w:ascii="Times New Roman;sans-serif" w:hAnsi="Times New Roman;sans-serif"/>
          <w:b w:val="false"/>
          <w:color w:val="000000"/>
          <w:sz w:val="20"/>
        </w:rPr>
        <w:t>. The Restricted Stock Units awarded herein do not represent an equity security of the Company and do not carry any voting or dividend rights, except the right to receive Dividend Equivalents in accordance with Section 4(c) hereof.</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Dividend Equivalents</w:t>
      </w:r>
      <w:r>
        <w:rPr>
          <w:rFonts w:ascii="Times New Roman;sans-serif" w:hAnsi="Times New Roman;sans-serif"/>
          <w:b w:val="false"/>
          <w:color w:val="000000"/>
          <w:sz w:val="20"/>
        </w:rPr>
        <w:t>. Provided that the Participant’s continuous service has not terminated prior to the dividend record date, or the Participant’s continuous service terminated prior to the dividend record date but the Participant has not been paid for the Participant’s vested Restricted Stock Units as of the dividend record date solely on account of the Participant being a “specified employee” (as defined under Section 14(d) hereof) subject to the six-month delay for payment of the Participant’s vested Restricted Stock Units, as required under Section 14(d) hereof, the Participant shall receive Dividend Equivalents in the form of additional Restricted Stock Units or fractional Restricted Stock Units each time a dividend or other distribution is paid on the Company's Common Stock. The number of Restricted Stock Units awarded for a cash dividend or non-cash dividend other than a stock dividend shall be determined by (i) multiplying the number of Restricted Stock Units held by the Participant pursuant to this Agreement as of the dividend record date by the amount of the dividend per share of Common Stock and (ii) dividing the product so determined by the Fair Market Value of the Common Stock on the dividend payment date. The number of Restricted Stock Units awarded for a stock dividend shall be determined by multiplying the number of Restricted Stock Units held by the Participant pursuant to this Agreement as of the dividend record date by the number of additional shares of Common Stock actually paid as a dividend per share of Common Stock. Any additional Restricted Stock Units awarded pursuant to this Section 4(c) shall be awarded effective as of the date the dividend was paid, and shall have the same status, and shall be subject to the same terms and conditions (including without limitation the vesting and forfeiture provisions), under this Agreement as the Restricted Stock Units to which they relate, and shall be distributed on the same payment date referred to in Section 4(a) herein as the Restricted Stock Units to which they relate (or if later, as of the applicable dividend payment date),</w:t>
      </w:r>
      <w:r>
        <w:rPr>
          <w:color w:val="000000"/>
        </w:rPr>
        <w:t xml:space="preserve"> </w:t>
      </w:r>
      <w:r>
        <w:rPr>
          <w:rFonts w:ascii="Times New Roman;sans-serif" w:hAnsi="Times New Roman;sans-serif"/>
          <w:b w:val="false"/>
          <w:color w:val="000000"/>
          <w:sz w:val="20"/>
        </w:rPr>
        <w:t>or alternatively, at the times provided for under the Deferred Compensation Plan to the extent the Participant elected to defer some or all of the Restricted Stock Units to which the Dividend Equivalents relate under the Deferred Compensation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Unforeseeable Financial Emergency</w:t>
      </w:r>
      <w:r>
        <w:rPr>
          <w:rFonts w:ascii="Times New Roman;sans-serif" w:hAnsi="Times New Roman;sans-serif"/>
          <w:b w:val="false"/>
          <w:color w:val="000000"/>
          <w:sz w:val="20"/>
        </w:rPr>
        <w:t>. If the Participant experiences an Unforeseeable Financial Emergency, the Participant may petition the Committee to receive the payment of shares of Common Stock for all or part of his vested Restricted Stock Units prior to his Separation from Service. If the Committee, in its sole discretion, grants the Participant’s petition, then the Participant shall only receive shares of Common Stock as necessary to satisfy the Unforeseeable Financial Emergency to the extent deemed necessary by the Committee. “Unforeseeable Financial Emergency” shall mean a severe financial hardship to the Participant resulting from (i) an illness or accident of the Participant, the Participant’s spouse, or the Participant’s dependent (as defined in Section 152 of the Code, without regard to Section 152(b)(1), (b)(2), or (d)(1)(B) of the Code), (ii) a loss of the Participant’s property due to casualty (including the need to rebuild a home following damage to a home not otherwise covered by insurance), or (iii) similar extraordinary and unforeseeable circumstances arising as a result of events beyond the control of the Participant, all as determined in the sole discretion of the Committee.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Tax Withholding</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The Participant shall pay to the Company, or make arrangements satisfactory to the Committee for payment of, any federal, state or local taxes of any kind required by law to be withheld with respect to the grant of Restricted Stock Units (including without limitation the vesting thereof) and any Dividend Equivalents or other distributions made by the Company to the Participant with respect to the Restricted Stock Units as and when the Company determines those amounts to be due, and the Company shall, to the extent permitted by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4</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3"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law, have the right to deduct from any payment of any kind otherwise due to Participant any federal, state, or local taxes of any kind required by law to be withheld with respect to the Restricted Stock Units or any Dividend Equivalents or other distributions made by the Company to the Participant with respect to any Restricted Stock Units.</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The Participant agrees that his or her minimum withholding tax obligation with respect to the granting or vesting of the Restricted Stock Units and any Dividend Equivalents or other distributions made by the Company to the Participant with respect to the Restricted Stock Units will be satisfied (provided that the Participant has enough vesting or vested shares available) by the Company’s withholding a portion of the shares of Common Stock otherwise deliverable to the Participant, such shares being valued at their fair market value as of the date on which the taxable event that gives rise to the withholding requirement occurs. The Participant further agrees that each time the Company withholds shares to satisfy his or her minimum withholding tax obligation, the Company will round up to the nearest whole number of shares (with any over withholding applied to federal income tax). For example, if 9.6 shares are required to satisfy the minimum withholding tax obligation, the Company will round up to 10 shares. Notwithstanding the foregoing, if the Company determines to allow fractional shares of Common Stock to be distributed or made available under the Company’s compensation and benefit plans, the foregoing rounding rules will cease to apply, and the Company instead will withhold a portion of the shares and fractional shares of Common Stock otherwise deliverable to the Participant, such shares and fractional shares being valued at their Fair Market Value as of the date of the taxable event that gives rise to the withholding requirement occurs. By accepting this Agreement, the Participant consents to this method of tax withholding, including the Company rounding up to the nearest whole number of shares (as applicable).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No</w:t>
      </w:r>
      <w:r>
        <w:rPr>
          <w:color w:val="000000"/>
          <w:u w:val="single"/>
        </w:rPr>
        <w:t xml:space="preserve"> </w:t>
      </w:r>
      <w:r>
        <w:rPr>
          <w:rFonts w:ascii="Times New Roman;sans-serif" w:hAnsi="Times New Roman;sans-serif"/>
          <w:b w:val="false"/>
          <w:color w:val="000000"/>
          <w:sz w:val="20"/>
          <w:u w:val="single"/>
        </w:rPr>
        <w:t>Right to Continued Employment or Service</w:t>
      </w:r>
      <w:r>
        <w:rPr>
          <w:rFonts w:ascii="Times New Roman;sans-serif" w:hAnsi="Times New Roman;sans-serif"/>
          <w:b w:val="false"/>
          <w:color w:val="000000"/>
          <w:sz w:val="20"/>
        </w:rPr>
        <w:t>. This Agreement does not confer upon the Participant any right with respect to continuance of employment or service by the Company, nor shall it interfere in any way with the right of the Company to terminate the Participant’s employment at any time.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Transferability of Awards</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 xml:space="preserve">(i) </w:t>
      </w:r>
      <w:r>
        <w:rPr>
          <w:rFonts w:ascii="Times New Roman;sans-serif" w:hAnsi="Times New Roman;sans-serif"/>
          <w:b w:val="false"/>
          <w:color w:val="000000"/>
          <w:sz w:val="20"/>
          <w:u w:val="single"/>
        </w:rPr>
        <w:t>Restrictions on Transfer</w:t>
      </w:r>
      <w:r>
        <w:rPr>
          <w:rFonts w:ascii="Times New Roman;sans-serif" w:hAnsi="Times New Roman;sans-serif"/>
          <w:b w:val="false"/>
          <w:color w:val="000000"/>
          <w:sz w:val="20"/>
        </w:rPr>
        <w:t>. No Restricted Stock Units shall be transferable or assignable by the Participant, other than by will or the laws of descent and distribution or pursuant to a domestic relations order within the meaning of Section 414(p)(1)(B) of the Code.</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 xml:space="preserve">(ii) </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No transfer permitted under Section 4(g)(i) of any Restricted Stock Units shall be effective to bind the Company unless the Committee shall have been furnished with (1) a Notice of Restricted Stock Unit Transfer in the form required by the Committee executed and dated by the Participant (or the executor or personal representative of the deceased Participant’s estate) and a copy of the will, assignment or transfer document and/or such evidence as the Committee may deem necessary to establish the validity of the transfer, and (2) the Statement of Acknowledgement in the form required by the Committee executed and dated by the transferee which states that the transferee will comply with all the terms and conditions of the Plan and the Agreement relating to the Restricted Stock Units that are or would have been applicable to the Participant.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(h)    </w:t>
      </w:r>
      <w:r>
        <w:rPr>
          <w:rFonts w:ascii="Times New Roman;sans-serif" w:hAnsi="Times New Roman;sans-serif"/>
          <w:b w:val="false"/>
          <w:color w:val="000000"/>
          <w:sz w:val="20"/>
          <w:u w:val="single"/>
        </w:rPr>
        <w:t>Forfeiture by Reason of Detrimental Activity</w:t>
      </w:r>
      <w:r>
        <w:rPr>
          <w:rFonts w:ascii="Times New Roman;sans-serif" w:hAnsi="Times New Roman;sans-serif"/>
          <w:b w:val="false"/>
          <w:color w:val="000000"/>
          <w:sz w:val="20"/>
        </w:rPr>
        <w:t>. The Restricted Stock Units shall be subject to Section 17(n) of the Plan. Notwithstanding any other provision of this Agreement to the contrary, if the Participant engages in any Detrimental Activity at any time prior to or during the one year period after the latest date on which any portion of the Restricted Stock Units become vested but prior to a Change in Control, the Company shall, upon the recommendation of the Committee in its sole and absolute discretion, be entitled to (i) immediately terminate and cancel any portion of the Restricted Stock Units that have not previously been settled with shares of Common Stock, and/or (ii) require within two (2) years after the latest date on which any portion of the Restricted Stock Units are settled but prior to a Change in Control that the Participant (1) return to the Company any shares of Common Stock that were distributed to the Participant in settlement of the Restricted Stock Units, or if such shares of Common Stock are not still owned by the Participant, that the Participant pay to the Company an amount equal to the Fair Market Value of such shares of Common Stock on the date they were issued, and (2) return to the Company any cash or other property (other than Common Stock) received by the Participant from the Company pursuant to this Agreement.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Right to Set Off</w:t>
      </w:r>
      <w:r>
        <w:rPr>
          <w:rFonts w:ascii="Times New Roman;sans-serif" w:hAnsi="Times New Roman;sans-serif"/>
          <w:b w:val="false"/>
          <w:color w:val="000000"/>
          <w:sz w:val="20"/>
        </w:rPr>
        <w:t xml:space="preserve">. By accepting this Agreement, the Participant consents to a deduction from any amounts the Company owes the Participant from time to time (including amounts owed to the Participant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5</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4"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wages or other compensation, for any benefits, or vacation pay, as well as any other amounts owed to the Participant by the Company), up to the dollar amount the Participant owes the Company under Section 4(h) or 4(k). Whether or not the Company elects to make any set off in whole or in part, if the Company does not recover by means of set off the full amount the Participant owes the Company calculated as set forth in Section 4(h) hereof, the Participant agrees to pay immediately the unpaid balance to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(j)    </w:t>
      </w:r>
      <w:r>
        <w:rPr>
          <w:rFonts w:ascii="Times New Roman;sans-serif" w:hAnsi="Times New Roman;sans-serif"/>
          <w:b w:val="false"/>
          <w:color w:val="000000"/>
          <w:sz w:val="20"/>
          <w:u w:val="single"/>
        </w:rPr>
        <w:t>Board of Director Discretion</w:t>
      </w:r>
      <w:r>
        <w:rPr>
          <w:rFonts w:ascii="Times New Roman;sans-serif" w:hAnsi="Times New Roman;sans-serif"/>
          <w:b w:val="false"/>
          <w:color w:val="000000"/>
          <w:sz w:val="20"/>
        </w:rPr>
        <w:t>. The Participant may be released from his or her obligations under Sections 4(h) and 4(i) hereof only if the Board, or a duly authorized committee thereof, determines, in its sole and absolute discretion, that such action is not adverse to the interests of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(k)    </w:t>
      </w:r>
      <w:r>
        <w:rPr>
          <w:rFonts w:ascii="Times New Roman;sans-serif" w:hAnsi="Times New Roman;sans-serif"/>
          <w:b w:val="false"/>
          <w:color w:val="000000"/>
          <w:sz w:val="20"/>
          <w:u w:val="single"/>
        </w:rPr>
        <w:t>Clawback Policy</w:t>
      </w:r>
      <w:r>
        <w:rPr>
          <w:rFonts w:ascii="Times New Roman;sans-serif" w:hAnsi="Times New Roman;sans-serif"/>
          <w:b w:val="false"/>
          <w:color w:val="000000"/>
          <w:sz w:val="20"/>
        </w:rPr>
        <w:t>. Notwithstanding anything to the contrary contained herein, in consideration of the grant of this award, the Participant agrees that the Restricted Stock Units will be subject to forfeiture or repayment to the extent provided for in the Republic Services, Inc. Clawback Policy, as it may be amended or restated from time to time, or in accordance with any rules or regulations adopted by the Securities and Exchange Commission and the New York Stock Exchange pursuant to Section 10D of the Securities Exchange Act of 1934 or other applicable law.</w:t>
      </w:r>
    </w:p>
    <w:p>
      <w:pPr>
        <w:pStyle w:val="TextBody"/>
        <w:bidi w:val="0"/>
        <w:spacing w:lineRule="auto" w:line="288" w:before="120" w:after="120"/>
        <w:ind w:left="0" w:right="0" w:hanging="360"/>
        <w:jc w:val="both"/>
        <w:rPr/>
      </w:pPr>
      <w:r>
        <w:rPr>
          <w:rFonts w:ascii="Times New Roman;sans-serif" w:hAnsi="Times New Roman;sans-serif"/>
          <w:b w:val="false"/>
          <w:color w:val="000000"/>
          <w:sz w:val="20"/>
        </w:rPr>
        <w:t>5.    </w:t>
      </w:r>
      <w:r>
        <w:rPr>
          <w:rFonts w:ascii="Times New Roman;sans-serif" w:hAnsi="Times New Roman;sans-serif"/>
          <w:b w:val="false"/>
          <w:color w:val="000000"/>
          <w:sz w:val="20"/>
          <w:u w:val="single"/>
        </w:rPr>
        <w:t>Change of Control or Capital Structure</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Change in Capital Structure</w:t>
      </w:r>
      <w:r>
        <w:rPr>
          <w:rFonts w:ascii="Times New Roman;sans-serif" w:hAnsi="Times New Roman;sans-serif"/>
          <w:b w:val="false"/>
          <w:color w:val="000000"/>
          <w:sz w:val="20"/>
        </w:rPr>
        <w:t>. Subject to any required action by the shareholders of the Company, the number of Restricted Stock Units covered by this award shall be proportionately adjusted and the terms of the restrictions on such Restricted Stock Units shall be adjusted as the Committee shall determine to be equitably required for any increase or decrease in the number of issued and outstanding shares of Common Stock of the Company resulting from any stock dividend (but only on the Common Stock), stock split, subdivision, combination, reclassification, recapitalization or general issuance to the holders of Common Stock of rights to purchase Common Stock at substantially below Fair Market Value or any change in the number of such shares outstanding effected without receipt of cash or property or labor or services by the Company or for any spin-off, spin-out, split-up, split-off or other distribution of assets to shareholders.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Change in Control</w:t>
      </w:r>
      <w:r>
        <w:rPr>
          <w:rFonts w:ascii="Times New Roman;sans-serif" w:hAnsi="Times New Roman;sans-serif"/>
          <w:b w:val="false"/>
          <w:color w:val="000000"/>
          <w:sz w:val="20"/>
        </w:rPr>
        <w:t>. The award of Restricted Stock Units shall not become immediately vested in the event that a Change in Control occurs, except to the extent required in any employment agreement or consulting agreement between the Company and the Participant or under the Company’s Executive Separation Policy, as amended from time to time and as applicable. In the event of a change in the Common Stock as presently constituted, which is limited to a change in all of its authorized shares without par value into the same number of shares with par value, the shares resulting from any such change shall be deemed to be the Common Stock within the meaning of the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Other Adjustments</w:t>
      </w:r>
      <w:r>
        <w:rPr>
          <w:rFonts w:ascii="Times New Roman;sans-serif" w:hAnsi="Times New Roman;sans-serif"/>
          <w:b w:val="false"/>
          <w:color w:val="000000"/>
          <w:sz w:val="20"/>
        </w:rPr>
        <w:t>. The award of Restricted Stock Units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6.    </w:t>
      </w:r>
      <w:r>
        <w:rPr>
          <w:rFonts w:ascii="Times New Roman;sans-serif" w:hAnsi="Times New Roman;sans-serif"/>
          <w:b w:val="false"/>
          <w:color w:val="000000"/>
          <w:sz w:val="20"/>
          <w:u w:val="single"/>
        </w:rPr>
        <w:t>Governing Law and Venue</w:t>
      </w:r>
      <w:r>
        <w:rPr>
          <w:rFonts w:ascii="Times New Roman;sans-serif" w:hAnsi="Times New Roman;sans-serif"/>
          <w:b w:val="false"/>
          <w:color w:val="000000"/>
          <w:sz w:val="20"/>
        </w:rPr>
        <w:t>. This Agreement shall be governed by and construed in accordance with the laws of the State of Delaware, without regard to its principles of conflict of laws. The parties agree that any action, suit or proceeding arising out of or related to this Agreement or the relationship of the Participant and the Company, shall be instituted only in the state or federal courts located in Maricopa County in the State of Arizona, and each party waives any objection which such party may now or hereafter have to such venue or jurisdictional court in any action, suit, or proceeding. Any and all services of process and any other notice in any such action, suit or proceeding shall be effective against any party if given by mail (registered or certified where possible, return receipt requested), postage prepaid, mailed to such party at the address set forth herein.</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7.    </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The invalidity or enforceability of any one or more provisions of this Agreement shall not affect the validity or enforceability of any other provision of this Agreement, which shall remain in full force and effect. In the event that a court of competent jurisdiction should determine that any time period provided for in Section 4(h) or 4(k) is unenforceable, then such period shall be reduced to the longest period of time which such court shall deem enforceable, taking into consideration the purpose and intent of the Plan to serve the interests of the Company and its shareholders.</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6</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5"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8.    </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or other communications with respect to the Restricted Stock Units shall be deemed given and delivered in person or mailed by registered or certified mail (return receipt requested, postage prepaid) to the Company’s Stock Administrator at the following address (or such other address, as shall be specified by like notice of a change of address) and shall be effective upon receipt: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 Administrator</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Republic Services, Inc.</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18500 N. Allied Way</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Phoenix, AZ 85054</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9.    </w:t>
      </w:r>
      <w:r>
        <w:rPr>
          <w:rFonts w:ascii="Times New Roman;sans-serif" w:hAnsi="Times New Roman;sans-serif"/>
          <w:b w:val="false"/>
          <w:color w:val="000000"/>
          <w:sz w:val="20"/>
          <w:u w:val="single"/>
        </w:rPr>
        <w:t>Waiver</w:t>
      </w:r>
      <w:r>
        <w:rPr>
          <w:rFonts w:ascii="Times New Roman;sans-serif" w:hAnsi="Times New Roman;sans-serif"/>
          <w:b w:val="false"/>
          <w:color w:val="000000"/>
          <w:sz w:val="20"/>
        </w:rPr>
        <w:t>. The failure of any party at any time to require strict performance of any condition, promise, agreement or understanding set forth in this Agreement shall not be construed as a waiver or relinquishment of the right to require strict performance of the same condition, promise, agreement or understanding at a subsequent time.</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10.    </w:t>
      </w:r>
      <w:r>
        <w:rPr>
          <w:rFonts w:ascii="Times New Roman;sans-serif" w:hAnsi="Times New Roman;sans-serif"/>
          <w:b w:val="false"/>
          <w:color w:val="000000"/>
          <w:sz w:val="20"/>
          <w:u w:val="single"/>
        </w:rPr>
        <w:t>Interpretation/Provisions of Plan Control</w:t>
      </w:r>
      <w:r>
        <w:rPr>
          <w:rFonts w:ascii="Times New Roman;sans-serif" w:hAnsi="Times New Roman;sans-serif"/>
          <w:b w:val="false"/>
          <w:color w:val="000000"/>
          <w:sz w:val="20"/>
        </w:rPr>
        <w:t>. In the event of any conflict between the provisions of the Plan and the provisions of this Agreement, the provisions of the Plan shall govern. The Participant hereby accepts as final, conclusive and binding, any decisions by the Committee with respect to the interpretation or administration of the Plan and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11.    </w:t>
      </w:r>
      <w:r>
        <w:rPr>
          <w:rFonts w:ascii="Times New Roman;sans-serif" w:hAnsi="Times New Roman;sans-serif"/>
          <w:b w:val="false"/>
          <w:color w:val="000000"/>
          <w:sz w:val="20"/>
          <w:u w:val="single"/>
        </w:rPr>
        <w:t>Participant Bound by Plan</w:t>
      </w:r>
      <w:r>
        <w:rPr>
          <w:rFonts w:ascii="Times New Roman;sans-serif" w:hAnsi="Times New Roman;sans-serif"/>
          <w:b w:val="false"/>
          <w:color w:val="000000"/>
          <w:sz w:val="20"/>
        </w:rPr>
        <w:t>. The Participant hereby acknowledges receipt of a copy of the Plan and agrees to be bound by all the terms, conditions and provisions thereof.</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12.    </w:t>
      </w:r>
      <w:r>
        <w:rPr>
          <w:rFonts w:ascii="Times New Roman;sans-serif" w:hAnsi="Times New Roman;sans-serif"/>
          <w:b w:val="false"/>
          <w:color w:val="000000"/>
          <w:sz w:val="20"/>
          <w:u w:val="single"/>
        </w:rPr>
        <w:t>Binding Effect</w:t>
      </w:r>
      <w:r>
        <w:rPr>
          <w:rFonts w:ascii="Times New Roman;sans-serif" w:hAnsi="Times New Roman;sans-serif"/>
          <w:b w:val="false"/>
          <w:color w:val="000000"/>
          <w:sz w:val="20"/>
        </w:rPr>
        <w:t>. Subject to the limitations stated in this Agreement and in the Plan, this Agreement shall be binding upon and inure to the benefit of the successors and assigns of the Company and the Participant’s heirs, legatees, distributees and personal representatives.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13.    </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Agreement may be signed in any number of counterparts, each of which shall be an original, with the same effect as if the signatures thereto and hereto were upon the same instrument. The facsimile or email transmission of a signed signature page or an electronic acceptance of the Agreement, by any party to the other(s), shall constitute valid execution and acceptance of this Agreement by the signing/transmitting party.</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14.    </w:t>
      </w:r>
      <w:r>
        <w:rPr>
          <w:rFonts w:ascii="Times New Roman;sans-serif" w:hAnsi="Times New Roman;sans-serif"/>
          <w:b w:val="false"/>
          <w:color w:val="000000"/>
          <w:sz w:val="20"/>
          <w:u w:val="single"/>
        </w:rPr>
        <w:t>Section 409A</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It is the intention of both the Company and the Participant that the benefits and rights to which the Participant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Participant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Participant and on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u w:val="single"/>
        </w:rPr>
        <w:t>No Representations as to Section 409A Compliance</w:t>
      </w:r>
      <w:r>
        <w:rPr>
          <w:rFonts w:ascii="Times New Roman;sans-serif" w:hAnsi="Times New Roman;sans-serif"/>
          <w:b w:val="false"/>
          <w:color w:val="000000"/>
          <w:sz w:val="20"/>
        </w:rPr>
        <w:t>. Notwithstanding the foregoing, the Company does not make any representation to the Participant that the Restricted Stock Units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Separation from Service</w:t>
      </w:r>
      <w:r>
        <w:rPr>
          <w:rFonts w:ascii="Times New Roman;sans-serif" w:hAnsi="Times New Roman;sans-serif"/>
          <w:b w:val="false"/>
          <w:color w:val="000000"/>
          <w:sz w:val="20"/>
        </w:rPr>
        <w:t>. If and to the extent permitted by Treasury Regulations Section 1.409A-1(h)(5) or other applicable law, the Participant provides services both as an employee of the Company and as a member of the Board, the services provided as a member of the Board shall not be taken into account in determining whether the Participant has incurred a Separation from Service for purposes of Section 4(a) hereof.</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7</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6"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6 Month Delay for Specified Employees</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    If the Participant is a “Specified Employee,”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For purposes of this provision, the Participant shall be considered to be a “Specified Employee” if, at the time of his or her Separation from Service, the Participant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No Acceleration of Payments</w:t>
      </w:r>
      <w:r>
        <w:rPr>
          <w:rFonts w:ascii="Times New Roman;sans-serif" w:hAnsi="Times New Roman;sans-serif"/>
          <w:b w:val="false"/>
          <w:color w:val="000000"/>
          <w:sz w:val="20"/>
        </w:rPr>
        <w:t>. Neither the Company nor the Participant,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pStyle w:val="TextBody"/>
        <w:bidi w:val="0"/>
        <w:spacing w:lineRule="auto" w:line="288" w:before="120" w:after="120"/>
        <w:jc w:val="both"/>
        <w:rPr/>
      </w:pPr>
      <w:r>
        <w:rPr>
          <w:color w:val="000000"/>
        </w:rPr>
        <w:t>    </w:t>
      </w:r>
      <w:r>
        <w:rPr>
          <w:rFonts w:ascii="Times New Roman;sans-serif" w:hAnsi="Times New Roman;sans-serif"/>
          <w:b w:val="false"/>
          <w:color w:val="000000"/>
          <w:sz w:val="20"/>
        </w:rPr>
        <w:t>15.    </w:t>
      </w:r>
      <w:r>
        <w:rPr>
          <w:rFonts w:ascii="Times New Roman;sans-serif" w:hAnsi="Times New Roman;sans-serif"/>
          <w:b w:val="false"/>
          <w:color w:val="000000"/>
          <w:sz w:val="20"/>
          <w:u w:val="single"/>
        </w:rPr>
        <w:t>Fractional Restricted Stock Units</w:t>
      </w:r>
      <w:r>
        <w:rPr>
          <w:rFonts w:ascii="Times New Roman;sans-serif" w:hAnsi="Times New Roman;sans-serif"/>
          <w:b w:val="false"/>
          <w:color w:val="000000"/>
          <w:sz w:val="20"/>
        </w:rPr>
        <w:t>. Notwithstanding any provisions in this Agreement to the contrary, fractional Restricted Stock Units shall not vest until the date on which the Restricted Stock Units become 100% vested under Section 3 hereof, and no share of Common Stock will be issued for the fractional Restricted Stock Unit unless the fractional Restricted Stock Unit is for at least one-half of a Restricted Stock Unit; provided that if the Company determines to allow fractional shares of Common Stock to be distributed or made available under the Company’s compensation and benefit plans, any fractional share of Common Stock due under this Plan shall be distributed in the form of a fractional share of Common Stock, and the foregoing rounding rules shall cease to apply.</w:t>
      </w:r>
    </w:p>
    <w:p>
      <w:pPr>
        <w:pStyle w:val="TextBody"/>
        <w:bidi w:val="0"/>
        <w:spacing w:lineRule="auto" w:line="288" w:before="120" w:after="120"/>
        <w:ind w:left="0" w:right="0" w:firstLine="72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Company has caused this Agreement to be signed by a duly authorized officer, and the Participant has affixed his or her signature hereto.</w:t>
      </w:r>
    </w:p>
    <w:p>
      <w:pPr>
        <w:pStyle w:val="TextBody"/>
        <w:bidi w:val="0"/>
        <w:spacing w:lineRule="auto" w:line="288" w:before="120" w:after="120"/>
        <w:jc w:val="left"/>
        <w:rPr>
          <w:color w:val="000000"/>
        </w:rPr>
      </w:pPr>
      <w:r>
        <w:rPr>
          <w:color w:val="000000"/>
        </w:rPr>
        <w:t>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___________________________</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Jon Vander Ark </w:t>
      </w:r>
    </w:p>
    <w:p>
      <w:pPr>
        <w:pStyle w:val="TextBody"/>
        <w:bidi w:val="0"/>
        <w:spacing w:lineRule="auto" w:line="288"/>
        <w:jc w:val="left"/>
        <w:rPr>
          <w:color w:val="000000"/>
        </w:rPr>
      </w:pPr>
      <w:r>
        <w:rPr>
          <w:color w:val="000000"/>
        </w:rPr>
        <w:t xml:space="preserve">                         </w:t>
      </w:r>
      <w:r>
        <w:rPr>
          <w:rFonts w:ascii="Times New Roman;sans-serif" w:hAnsi="Times New Roman;sans-serif"/>
          <w:b w:val="false"/>
          <w:color w:val="000000"/>
          <w:sz w:val="20"/>
        </w:rPr>
        <w:t>Chief Executive Officer and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97"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52" w:before="0" w:after="144"/>
        <w:jc w:val="right"/>
        <w:rPr>
          <w:rFonts w:ascii="Times New Roman;sans-serif" w:hAnsi="Times New Roman;sans-serif"/>
          <w:b/>
          <w:color w:val="000000"/>
          <w:sz w:val="20"/>
        </w:rPr>
      </w:pPr>
      <w:r>
        <w:rPr>
          <w:rFonts w:ascii="Times New Roman;sans-serif" w:hAnsi="Times New Roman;sans-serif"/>
          <w:b/>
          <w:color w:val="000000"/>
          <w:sz w:val="20"/>
        </w:rPr>
        <w:t>EXHIBIT 10.22</w:t>
      </w:r>
    </w:p>
    <w:p>
      <w:pPr>
        <w:pStyle w:val="TextBody"/>
        <w:bidi w:val="0"/>
        <w:spacing w:lineRule="auto" w:line="352" w:before="0" w:after="144"/>
        <w:jc w:val="center"/>
        <w:rPr>
          <w:rFonts w:ascii="Times New Roman;sans-serif" w:hAnsi="Times New Roman;sans-serif"/>
          <w:b/>
          <w:color w:val="000000"/>
          <w:sz w:val="20"/>
        </w:rPr>
      </w:pPr>
      <w:r>
        <w:rPr>
          <w:rFonts w:ascii="Times New Roman;sans-serif" w:hAnsi="Times New Roman;sans-serif"/>
          <w:b/>
          <w:color w:val="000000"/>
          <w:sz w:val="20"/>
        </w:rPr>
        <w:t>Senior Executive Cliff Vest – Form RSU Award Agreement</w:t>
      </w:r>
    </w:p>
    <w:p>
      <w:pPr>
        <w:pStyle w:val="TextBody"/>
        <w:bidi w:val="0"/>
        <w:spacing w:lineRule="auto" w:line="352" w:before="0" w:after="144"/>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312" w:before="36" w:after="283"/>
        <w:jc w:val="center"/>
        <w:rPr>
          <w:rFonts w:ascii="Times New Roman;sans-serif" w:hAnsi="Times New Roman;sans-serif"/>
          <w:b/>
          <w:color w:val="000000"/>
          <w:sz w:val="20"/>
        </w:rPr>
      </w:pPr>
      <w:r>
        <w:rPr>
          <w:rFonts w:ascii="Times New Roman;sans-serif" w:hAnsi="Times New Roman;sans-serif"/>
          <w:b/>
          <w:color w:val="000000"/>
          <w:sz w:val="20"/>
        </w:rPr>
        <w:t>EMPLOYEE RESTRICTED STOCK UNIT AGREEMENT</w:t>
      </w:r>
    </w:p>
    <w:p>
      <w:pPr>
        <w:pStyle w:val="TextBody"/>
        <w:bidi w:val="0"/>
        <w:spacing w:before="36" w:after="283"/>
        <w:jc w:val="center"/>
        <w:rPr/>
      </w:pPr>
      <w:r>
        <w:rPr/>
      </w:r>
    </w:p>
    <w:tbl>
      <w:tblPr>
        <w:tblW w:w="3494" w:type="dxa"/>
        <w:jc w:val="left"/>
        <w:tblInd w:w="0" w:type="dxa"/>
        <w:tblLayout w:type="fixed"/>
        <w:tblCellMar>
          <w:top w:w="28" w:type="dxa"/>
          <w:left w:w="28" w:type="dxa"/>
          <w:bottom w:w="28" w:type="dxa"/>
          <w:right w:w="28" w:type="dxa"/>
        </w:tblCellMar>
      </w:tblPr>
      <w:tblGrid>
        <w:gridCol w:w="1118"/>
        <w:gridCol w:w="983"/>
        <w:gridCol w:w="1393"/>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Participant Name : </w:t>
            </w:r>
            <w:r>
              <w:rPr>
                <w:rFonts w:ascii="Times New Roman;sans-serif" w:hAnsi="Times New Roman;sans-serif"/>
                <w:b w:val="false"/>
                <w:color w:val="000000"/>
                <w:sz w:val="20"/>
              </w:rPr>
              <w:t>/$ParticipantName$/</w:t>
            </w:r>
          </w:p>
        </w:tc>
      </w:tr>
      <w:tr>
        <w:trPr/>
        <w:tc>
          <w:tcPr>
            <w:tcW w:w="3494" w:type="dxa"/>
            <w:gridSpan w:val="3"/>
            <w:tcBorders>
              <w:left w:val="single" w:sz="6" w:space="0" w:color="000000"/>
              <w:right w:val="single" w:sz="6" w:space="0" w:color="000000"/>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Date : </w:t>
            </w:r>
            <w:r>
              <w:rPr>
                <w:rFonts w:ascii="Times New Roman;sans-serif" w:hAnsi="Times New Roman;sans-serif"/>
                <w:b w:val="false"/>
                <w:color w:val="000000"/>
                <w:sz w:val="20"/>
              </w:rPr>
              <w:t>/$GrantDate$/</w:t>
            </w:r>
          </w:p>
        </w:tc>
      </w:tr>
      <w:tr>
        <w:trPr/>
        <w:tc>
          <w:tcPr>
            <w:tcW w:w="3494" w:type="dxa"/>
            <w:gridSpan w:val="3"/>
            <w:tcBorders>
              <w:left w:val="single" w:sz="6" w:space="0" w:color="000000"/>
              <w:right w:val="single" w:sz="6" w:space="0" w:color="000000"/>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Type : </w:t>
            </w:r>
            <w:r>
              <w:rPr>
                <w:rFonts w:ascii="Times New Roman;sans-serif" w:hAnsi="Times New Roman;sans-serif"/>
                <w:b w:val="false"/>
                <w:color w:val="000000"/>
                <w:sz w:val="20"/>
              </w:rPr>
              <w:t>/$GrantType$/</w:t>
            </w:r>
          </w:p>
        </w:tc>
      </w:tr>
      <w:tr>
        <w:trPr/>
        <w:tc>
          <w:tcPr>
            <w:tcW w:w="3494" w:type="dxa"/>
            <w:gridSpan w:val="3"/>
            <w:tcBorders>
              <w:left w:val="single" w:sz="6" w:space="0" w:color="000000"/>
              <w:right w:val="single" w:sz="6" w:space="0" w:color="000000"/>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RSUs Granted : </w:t>
            </w:r>
            <w:r>
              <w:rPr>
                <w:rFonts w:ascii="Times New Roman;sans-serif" w:hAnsi="Times New Roman;sans-serif"/>
                <w:b w:val="false"/>
                <w:color w:val="000000"/>
                <w:sz w:val="20"/>
              </w:rPr>
              <w:t>/$AwardsGranted$/</w:t>
            </w:r>
          </w:p>
        </w:tc>
      </w:tr>
      <w:tr>
        <w:trPr/>
        <w:tc>
          <w:tcPr>
            <w:tcW w:w="3494" w:type="dxa"/>
            <w:gridSpan w:val="3"/>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Plan Name : </w:t>
            </w:r>
            <w:r>
              <w:rPr>
                <w:rFonts w:ascii="Times New Roman;sans-serif" w:hAnsi="Times New Roman;sans-serif"/>
                <w:b w:val="false"/>
                <w:color w:val="000000"/>
                <w:sz w:val="20"/>
              </w:rPr>
              <w:t>/$PlanName$/</w:t>
            </w:r>
          </w:p>
        </w:tc>
      </w:tr>
    </w:tbl>
    <w:p>
      <w:pPr>
        <w:pStyle w:val="TextBody"/>
        <w:bidi w:val="0"/>
        <w:spacing w:before="36" w:after="283"/>
        <w:jc w:val="center"/>
        <w:rPr/>
      </w:pPr>
      <w:r>
        <w:rPr/>
      </w:r>
    </w:p>
    <w:p>
      <w:pPr>
        <w:pStyle w:val="TextBody"/>
        <w:bidi w:val="0"/>
        <w:spacing w:lineRule="auto" w:line="288" w:before="120" w:after="12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THIS RESTRICTED STOCK UNIT AGREEMENT (the “Agreement”), dated as of the Grant Date shown above, between Republic Services, Inc., a Delaware corporation (the “Company”) and Participant (the “Participant”), is made pursuant and subject to the provisions of the Republic Services, Inc. 2021 Stock Incentive Plan, and any future amendments thereto (the “Plan”). The Plan, as it may be amended from time to time, is incorporated herein by reference.</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All capitalized terms used herein but not expressly defined shall have the meaning ascribed to them in the Plan, a copy of which is being provided as part of the grant acceptance materials and is incorporated herein by reference. All references to the Company in this Agreement shall also be deemed to include references to any and all entities directly or indirectly controlled by the Company and which are consolidated with the Company for financial accounting purposes.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2.</w:t>
      </w:r>
      <w:r>
        <w:rPr>
          <w:color w:val="000000"/>
        </w:rPr>
        <w:t>    </w:t>
      </w:r>
      <w:r>
        <w:rPr>
          <w:rFonts w:ascii="Times New Roman;sans-serif" w:hAnsi="Times New Roman;sans-serif"/>
          <w:b w:val="false"/>
          <w:color w:val="000000"/>
          <w:sz w:val="20"/>
          <w:u w:val="single"/>
        </w:rPr>
        <w:t>Award of Restricted Stock Units</w:t>
      </w:r>
      <w:r>
        <w:rPr>
          <w:rFonts w:ascii="Times New Roman;sans-serif" w:hAnsi="Times New Roman;sans-serif"/>
          <w:b w:val="false"/>
          <w:color w:val="000000"/>
          <w:sz w:val="20"/>
        </w:rPr>
        <w:t>. Subject to the terms and conditions of the Plan and to the terms and conditions herein set forth in this Agreement, the Company on this date awards to the Participant the number of Restricted Stock Units shown in the box above as RSUs Granted (referred to as the “Restricted Stock Units”).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Vesting Schedule</w:t>
      </w:r>
      <w:r>
        <w:rPr>
          <w:rFonts w:ascii="Times New Roman;sans-serif" w:hAnsi="Times New Roman;sans-serif"/>
          <w:b w:val="false"/>
          <w:color w:val="000000"/>
          <w:sz w:val="20"/>
        </w:rPr>
        <w:t>. Subject to the terms and conditions of this Agreement, the Restricted Stock Units shall vest in full and become nonforfeitable on the third anniversary of the grant date (the “Vesting Date”), provided that the Participant’s continuous services with the Company continues until the Vesting Date. Except as otherwise specifically provided herein, there shall be no proportionate or partial vesting in the periods prior to the Vesting Date. The Participant must be employed by the Company on the Vesting Date for the Restricted Stock Units to become 100% vested and transferable. Except as provided in Sections 3(b) and 3(c), vesting shall not accelerate for Retirement or any other reason.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Acceleration of Vesting on Account of Death or Disability</w:t>
      </w:r>
      <w:r>
        <w:rPr>
          <w:rFonts w:ascii="Times New Roman;sans-serif" w:hAnsi="Times New Roman;sans-serif"/>
          <w:b w:val="false"/>
          <w:color w:val="000000"/>
          <w:sz w:val="20"/>
        </w:rPr>
        <w:t xml:space="preserve">. The Restricted Stock Units not yet vested and that have not previously been forfeited shall become 100% vested and transferable in the event that the Participant’s continuous service with the Company terminates by reason of the Participant’s death or Disability.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Employment Agreement</w:t>
      </w:r>
      <w:r>
        <w:rPr>
          <w:rFonts w:ascii="Times New Roman;sans-serif" w:hAnsi="Times New Roman;sans-serif"/>
          <w:b w:val="false"/>
          <w:color w:val="000000"/>
          <w:sz w:val="20"/>
        </w:rPr>
        <w:t xml:space="preserve">. In the event that the Participant has entered into any employment agreement between the Participant and the Company that is in effect on the date on which the Participant’s continuous service with the Company is terminated and such employment agreement provides benefits upon the Participant’s retirement and/or termination of employment, the applicable provisions within such employment agreement relating to the Participant’s retirement and/or termination of employment shall apply, notwithstanding any provision in Section 3 of this Agreement to the contrary. In addition, to the extent the Restricted Stock Units have not yet vested and have not previously been forfeited, such Restricted Stock </w:t>
      </w:r>
    </w:p>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51155"/>
                <wp:effectExtent l="0" t="0" r="0" b="0"/>
                <wp:wrapNone/>
                <wp:docPr id="198" name="Frame19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0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Units shall become partially or fully vested and transferable at such times and in such amounts as may be required under the Company’s Executive Separation Policy, as amended from time to time and as applicable. </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Terms and Conditions</w:t>
      </w:r>
      <w:r>
        <w:rPr>
          <w:rFonts w:ascii="Times New Roman;sans-serif" w:hAnsi="Times New Roman;sans-serif"/>
          <w:b w:val="false"/>
          <w:color w:val="000000"/>
          <w:sz w:val="20"/>
        </w:rPr>
        <w:t>. This award of Restricted Stock Units is subject to the following terms and conditions:</w:t>
      </w:r>
    </w:p>
    <w:p>
      <w:pPr>
        <w:pStyle w:val="TextBody"/>
        <w:bidi w:val="0"/>
        <w:spacing w:before="120" w:after="120"/>
        <w:ind w:left="0" w:right="0" w:firstLine="648"/>
        <w:jc w:val="both"/>
        <w:rPr/>
      </w:pPr>
      <w:r>
        <w:rPr/>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Payment for Restricted Stock Units; Forfeiture of Unvested Units; Deferral of Restricted Stock Units</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Except as otherwise provided in paragraph (ii) of this Section 4(a), Section 4(d) or Section 14 hereof, the Participant shall receive one share of Common Stock for each vested Restricted Stock Unit awarded hereunder, free and clear of the restrictions set forth in this Agreement, except for any restrictions necessary to comply with federal and state securities laws. Certificates (or other indicia of ownership) representing such shares shall be delivered to the Participant as promptly as practical (but in no event more than 30 days) following the date on which the portion of the Restricted Stock Units to which the distribution relates becomes vested. Any Restricted Stock Units that are not vested as of the Participant’s separation from service, within the meaning of Section 409A of the Code and applicable Treasury Regulations (the “Separation from Service”), and that will not become vested pursuant to Section 3(b) or 3(c) hereof, shall automatically and immediately be forfeited on the date of the Participant’s Separation from Service.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The Participant may elect to defer the Restricted Stock Units pursuant to the Republic Services, Inc. Deferred Compensation Plan, as may be amended from time to time (the “Deferred Compensation Plan”), and if the Participant properly and timely does so, the Restricted Stock Units shall be automatically converted into a corresponding number of units under the Republic Services Stock Unit Fund (the “Units”), and shall be credited to the Participant’s Account Balance (as defined in the Deferred Compensation Plan) in accordance with Section 3.9(c) of the Deferred Compensation Plan. The Units shall remain subject to the vesting and forfeiture provisions set forth in Sections 3, 4(h) and 4(k) of this Agreement. The Units shall be payable in actual shares of Common Stock at the times provided for under the Deferred Compensation Plan as may be amended from time to time.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Hypothetical Nature of Restricted Stock Units</w:t>
      </w:r>
      <w:r>
        <w:rPr>
          <w:rFonts w:ascii="Times New Roman;sans-serif" w:hAnsi="Times New Roman;sans-serif"/>
          <w:b w:val="false"/>
          <w:color w:val="000000"/>
          <w:sz w:val="20"/>
        </w:rPr>
        <w:t xml:space="preserve">. The Restricted Stock Units awarded herein do not represent an equity security of the Company and do not carry any voting or dividend rights, except the right to receive Dividend Equivalents in accordance with Section 4(c) hereof.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Dividend Equivalents</w:t>
      </w:r>
      <w:r>
        <w:rPr>
          <w:rFonts w:ascii="Times New Roman;sans-serif" w:hAnsi="Times New Roman;sans-serif"/>
          <w:b w:val="false"/>
          <w:color w:val="000000"/>
          <w:sz w:val="20"/>
        </w:rPr>
        <w:t xml:space="preserve">. Provided that the Participant’s continuous service has not terminated prior to the dividend record date, or the Participant’s continuous service terminated prior to the dividend record date but the Participant has not been paid for the Participant’s vested Restricted Stock Units as of the dividend record date solely on account of the Participant being a “Specified Employee” (as defined under Section 14(d) hereof) subject to the six-month delay for payment of the Participant’s vested Restricted Stock Units, as required under Section 14(d) hereof, the Participant shall receive Dividend Equivalents in the form of additional Restricted Stock Units or fractional Restricted Stock Units each time a dividend or other distribution is paid on the Company's Common Stock. The number of Restricted Stock Units awarded for a cash dividend or non-cash dividend other than a stock dividend shall be determined by (i) multiplying the number of Restricted Stock Units held by the Participant pursuant to this Agreement as of the dividend record date by the amount of the dividend per share of Common Stock and (ii) dividing the product so determined by the Fair Market Value of the Common Stock on the dividend payment date. The number of Restricted Stock Units awarded for a stock dividend shall be determined by multiplying the number of Restricted Stock Units held by the Participant pursuant to this Agreement as of the dividend record date by the number of additional shares of Common Stock actually paid as a dividend per share of Common Stock. Any additional Restricted Stock Units awarded pursuant to this Section 4(c) shall be awarded effective as of the date the dividend was paid, and shall have the same status, and shall be subject to the same terms and conditions (including without limitation the vesting and forfeiture provisions), under this Agreement as the Restricted Stock Units to which they relate, and shall be distributed on the same payment date referred to in Section 4(a) herein as the Restricted Stock Units to which they relate (or if later, as of the applicable dividend payment date), or alternatively, at the times provided for under the Deferred Compensation Plan to the extent the Participant </w:t>
      </w:r>
    </w:p>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51155"/>
                <wp:effectExtent l="0" t="0" r="0" b="0"/>
                <wp:wrapNone/>
                <wp:docPr id="199" name="Frame19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0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elected to defer some or all of the Restricted Stock Units to which the Dividend Equivalents relate under the Deferred Compensation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Unforeseeable Financial Emergency</w:t>
      </w:r>
      <w:r>
        <w:rPr>
          <w:rFonts w:ascii="Times New Roman;sans-serif" w:hAnsi="Times New Roman;sans-serif"/>
          <w:b w:val="false"/>
          <w:color w:val="000000"/>
          <w:sz w:val="20"/>
        </w:rPr>
        <w:t>. If the Participant experiences an Unforeseeable Financial Emergency, the Participant may petition the Committee to receive the payment of shares of Common Stock for all or part of his vested Restricted Stock Units prior to his Separation from Service. If the Committee, in its sole discretion, grants the Participant’s petition, then the Participant shall only receive shares of Common Stock as necessary to satisfy the Unforeseeable Financial Emergency to the extent deemed necessary by the Committee. “Unforeseeable Financial Emergency” shall mean a severe financial hardship to the Participant resulting from (i) an illness or accident of the Participant, the Participant’s spouse, or the Participant’s dependent (as defined in Section 152 of the Code, without regard to Section 152(b)(1), (b)(2), or (d)(1)(B) of the Code), (ii) a loss of the Participant’s property due to casualty (including the need to rebuild a home following damage to a home not otherwise covered by insurance), or (iii) similar extraordinary and unforeseeable circumstances arising as a result of events beyond the control of the Participant, all as determined in the sole discretion of the Committee.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Tax Withholding</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    The Participant shall pay to the Company, or make arrangements satisfactory to the Committee for payment of, any federal, state or local taxes of any kind required by law to be withheld with respect to the grant of Restricted Stock Units (including without limitation the vesting thereof) and any Dividend Equivalents or other distributions made by the Company to the Participant with respect to the Restricted Stock Units as and when the Company determines those amounts to be due, and the Company shall, to the extent permitted by law, have the right to deduct from any payment of any kind otherwise due to Participant any federal, state, or local taxes of any kind required by law to be withheld with respect to the Restricted Stock Units or any Dividend Equivalents or other distributions made by the Company to the Participant with respect to any Restricted Stock Units.</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The Participant agrees that his or her minimum withholding tax obligation with respect to the granting or vesting of the Restricted Stock Units and any Dividend Equivalents or other distributions made by the Company to the Participant with respect to the Restricted Stock Units will be satisfied (provided that the Participant has enough vesting or vested shares available) by the Company’s withholding a portion of the shares of Common Stock otherwise deliverable to the Participant, such shares being valued at their Fair Market Value as of the date on which the taxable event that gives rise to the withholding requirement occurs. The Participant further agrees that each time the Company withholds shares to satisfy his or her minimum withholding tax obligation, the Company will round up to the nearest whole number of shares (with any over withholding applied to federal income tax). For example, if 9.6 shares are required to satisfy the minimum withholding tax obligation, the Company will round up to 10 shares. Notwithstanding the foregoing, if the Company determines to allow fractional shares of Common Stock to be distributed or made available under the Company’s compensation and benefit plans, the foregoing rounding rules will cease to apply, and the Company instead will withhold a portion of the shares and fractional shares of Common Stock otherwise deliverable to the Participant, such shares and fractional shares being valued at their Fair Market Value as of the date of the taxable event that gives rise to the withholding requirement occurs. By accepting this Agreement, the Participant consents to this method of tax withholding, including the Company rounding up to the nearest whole number of shares (as applicable).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No</w:t>
      </w:r>
      <w:r>
        <w:rPr>
          <w:color w:val="000000"/>
          <w:u w:val="single"/>
        </w:rPr>
        <w:t xml:space="preserve"> </w:t>
      </w:r>
      <w:r>
        <w:rPr>
          <w:rFonts w:ascii="Times New Roman;sans-serif" w:hAnsi="Times New Roman;sans-serif"/>
          <w:b w:val="false"/>
          <w:color w:val="000000"/>
          <w:sz w:val="20"/>
          <w:u w:val="single"/>
        </w:rPr>
        <w:t>Right to Continued Employment or Service</w:t>
      </w:r>
      <w:r>
        <w:rPr>
          <w:rFonts w:ascii="Times New Roman;sans-serif" w:hAnsi="Times New Roman;sans-serif"/>
          <w:b w:val="false"/>
          <w:color w:val="000000"/>
          <w:sz w:val="20"/>
        </w:rPr>
        <w:t>. This Agreement does not confer upon the Participant any right with respect to continuance of employment or service by the Company, nor shall it interfere in any way with the right of the Company to terminate the Participant’s employment at any time.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Transferability of Awards</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(i)    </w:t>
      </w:r>
      <w:r>
        <w:rPr>
          <w:rFonts w:ascii="Times New Roman;sans-serif" w:hAnsi="Times New Roman;sans-serif"/>
          <w:b w:val="false"/>
          <w:color w:val="000000"/>
          <w:sz w:val="20"/>
          <w:u w:val="single"/>
        </w:rPr>
        <w:t>Restrictions on Transfer</w:t>
      </w:r>
      <w:r>
        <w:rPr>
          <w:rFonts w:ascii="Times New Roman;sans-serif" w:hAnsi="Times New Roman;sans-serif"/>
          <w:b w:val="false"/>
          <w:color w:val="000000"/>
          <w:sz w:val="20"/>
        </w:rPr>
        <w:t xml:space="preserve">. No Restricted Stock Units shall be transferable or assignable by the Participant, other than by will or the laws of descent and distribution or pursuant to a domestic relations order within the meaning of Section 414(p)(1)(B) of the Code. </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(ii)    </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xml:space="preserve">. No transfer permitted under Section 4(g)(i) of any Restricted Stock Units shall be effective to bind the Company unless the Committee shall have been furnished with (1) a Notice of Restricted Stock Unit Transfer in the form required by the Committee executed and dated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51155"/>
                <wp:effectExtent l="0" t="0" r="0" b="0"/>
                <wp:wrapNone/>
                <wp:docPr id="200" name="Frame1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20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 (or the executor or personal representative of the deceased Participant’s estate) and a copy of the will, assignment or transfer document and/or such evidence as the Committee may deem necessary to establish the validity of the transfer, and (2) the Statement of Acknowledgement in the form required by the Committee executed and dated by the transferee which states that the transferee will comply with all the terms and conditions of the Plan and the Agreement relating to the Restricted Stock Units that are or would have been applicable to the Participant.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(h)    </w:t>
      </w:r>
      <w:r>
        <w:rPr>
          <w:rFonts w:ascii="Times New Roman;sans-serif" w:hAnsi="Times New Roman;sans-serif"/>
          <w:b w:val="false"/>
          <w:color w:val="000000"/>
          <w:sz w:val="20"/>
          <w:u w:val="single"/>
        </w:rPr>
        <w:t>Forfeiture by Reason of Detrimental Activity</w:t>
      </w:r>
      <w:r>
        <w:rPr>
          <w:rFonts w:ascii="Times New Roman;sans-serif" w:hAnsi="Times New Roman;sans-serif"/>
          <w:b w:val="false"/>
          <w:color w:val="000000"/>
          <w:sz w:val="20"/>
        </w:rPr>
        <w:t xml:space="preserve">. The Restricted Stock Units shall be subject to Section 17(n) of the Plan. Notwithstanding any other provision of this Agreement to the contrary, if the Participant engages in any Detrimental Activity at any time prior to or during the one year period after the latest date on which any portion of the Restricted Stock Units become vested but prior to a Change in Control, the Company shall, upon the recommendation of the Committee in its sole and absolute discretion, be entitled to (i) immediately terminate and cancel any portion of the Restricted Stock Units that have not previously been settled with shares of Common Stock, and/or (ii) require within two (2) years after the latest date on which any portion of the Restricted Stock Units are settled but prior to a Change in Control that the Participant (1) return to the Company any shares of Common Stock that were distributed to the Participant in settlement of the Restricted Stock Units, or if such shares of Common Stock are not still owned by the Participant, that the Participant pay to the Company an amount equal to the Fair Market Value of such shares of Common Stock on the date they were issued, and (2) return to the Company any cash or other property (other than Common Stock) received by the Participant from the Company pursuant to this Agreement.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Right to Set Off</w:t>
      </w:r>
      <w:r>
        <w:rPr>
          <w:rFonts w:ascii="Times New Roman;sans-serif" w:hAnsi="Times New Roman;sans-serif"/>
          <w:b w:val="false"/>
          <w:color w:val="000000"/>
          <w:sz w:val="20"/>
        </w:rPr>
        <w:t>. By accepting this Agreement, the Participant consents to a deduction from any amounts the Company owes the Participant from time to time (including amounts owed to the Participant as wages or other compensation, for any benefits, or vacation pay, as well as any other amounts owed to the Participant by the Company), up to the dollar amount the Participant owes the Company under Section 4(h) or 4(k) hereof. Whether or not the Company elects to make any set off in whole or in part, if the Company does not recover by means of set off the full amount the Participant owes the Company calculated as set forth in Section 4(h) hereof, the Participant agrees to pay immediately the unpaid balance to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(j)    </w:t>
      </w:r>
      <w:r>
        <w:rPr>
          <w:rFonts w:ascii="Times New Roman;sans-serif" w:hAnsi="Times New Roman;sans-serif"/>
          <w:b w:val="false"/>
          <w:color w:val="000000"/>
          <w:sz w:val="20"/>
          <w:u w:val="single"/>
        </w:rPr>
        <w:t>Board of Director Discretion</w:t>
      </w:r>
      <w:r>
        <w:rPr>
          <w:rFonts w:ascii="Times New Roman;sans-serif" w:hAnsi="Times New Roman;sans-serif"/>
          <w:b w:val="false"/>
          <w:color w:val="000000"/>
          <w:sz w:val="20"/>
        </w:rPr>
        <w:t>. The Participant may be released from his or her obligations under Sections 4(h) and 4(i) hereof only if the Board, or a duly authorized committee thereof, determines, in its sole and absolute discretion, that such action is not adverse to the interests of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(k)    </w:t>
      </w:r>
      <w:r>
        <w:rPr>
          <w:rFonts w:ascii="Times New Roman;sans-serif" w:hAnsi="Times New Roman;sans-serif"/>
          <w:b w:val="false"/>
          <w:color w:val="000000"/>
          <w:sz w:val="20"/>
          <w:u w:val="single"/>
        </w:rPr>
        <w:t>Clawback Policy</w:t>
      </w:r>
      <w:r>
        <w:rPr>
          <w:rFonts w:ascii="Times New Roman;sans-serif" w:hAnsi="Times New Roman;sans-serif"/>
          <w:b w:val="false"/>
          <w:color w:val="000000"/>
          <w:sz w:val="20"/>
        </w:rPr>
        <w:t>. Notwithstanding anything contrary contained herein, in consideration of the grant of this award, the Participant agrees that the Restricted Stock Units will be subject to forfeiture or repayment to the extent provided for in the Republic Services, Inc. Clawback Policy, as it may be amended or restated from time to time, or in accordance with any rules or regulations adopted by the Securities and Exchange Commission and the New York Stock Exchange pursuant to Section 10D of the Securities Exchange Act of 1934 or other applicable law.</w:t>
      </w:r>
    </w:p>
    <w:p>
      <w:pPr>
        <w:pStyle w:val="TextBody"/>
        <w:bidi w:val="0"/>
        <w:spacing w:lineRule="auto" w:line="288" w:before="120" w:after="120"/>
        <w:ind w:left="0" w:right="0" w:hanging="360"/>
        <w:jc w:val="both"/>
        <w:rPr/>
      </w:pPr>
      <w:r>
        <w:rPr>
          <w:rFonts w:ascii="Times New Roman;sans-serif" w:hAnsi="Times New Roman;sans-serif"/>
          <w:b w:val="false"/>
          <w:color w:val="000000"/>
          <w:sz w:val="20"/>
        </w:rPr>
        <w:t>5.    </w:t>
      </w:r>
      <w:r>
        <w:rPr>
          <w:rFonts w:ascii="Times New Roman;sans-serif" w:hAnsi="Times New Roman;sans-serif"/>
          <w:b w:val="false"/>
          <w:color w:val="000000"/>
          <w:sz w:val="20"/>
          <w:u w:val="single"/>
        </w:rPr>
        <w:t>Change of Control or Capital Structure</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Change in Capital Structure</w:t>
      </w:r>
      <w:r>
        <w:rPr>
          <w:rFonts w:ascii="Times New Roman;sans-serif" w:hAnsi="Times New Roman;sans-serif"/>
          <w:b w:val="false"/>
          <w:color w:val="000000"/>
          <w:sz w:val="20"/>
        </w:rPr>
        <w:t>. Subject to any required action by the shareholders of the Company, the number of Restricted Stock Units covered by this award shall be proportionately adjusted and the terms of the restrictions on such Restricted Stock Units shall be adjusted as the Committee shall determine to be equitably required for any increase or decrease in the number of issued and outstanding shares of Common Stock of the Company resulting from any stock dividend (but only on the Common Stock), stock split, subdivision, combination, reclassification, recapitalization or general issuance to the holders of Common Stock of rights to purchase Common Stock at substantially below Fair Market Value or any change in the number of such shares outstanding effected without receipt of cash or property or labor or services by the Company or for any spin-off, spin-out, split-up, split-off or other distribution of assets to shareholders.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Change in Control</w:t>
      </w:r>
      <w:r>
        <w:rPr>
          <w:rFonts w:ascii="Times New Roman;sans-serif" w:hAnsi="Times New Roman;sans-serif"/>
          <w:b w:val="false"/>
          <w:color w:val="000000"/>
          <w:sz w:val="20"/>
        </w:rPr>
        <w:t xml:space="preserve">. The award of Restricted Stock Units shall not become immediately vested in the event that a Change in Control occurs, except to the extent required in any employment agreement or consulting agreement between the Company and the Participant or under the Company’s Executive Separation Policy, as amended from time to time and as applicable. In the event of a change in the Common Stock as presently constituted, which is limited to a change in all of its authorized shares without par value into the same number of shares with par value, the shares resulting from any such change shall be deemed to be the Common Stock within the meaning of the Plan. </w:t>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1155"/>
                <wp:effectExtent l="0" t="0" r="0" b="0"/>
                <wp:wrapNone/>
                <wp:docPr id="201" name="Frame1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20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Other Adjustments</w:t>
      </w:r>
      <w:r>
        <w:rPr>
          <w:rFonts w:ascii="Times New Roman;sans-serif" w:hAnsi="Times New Roman;sans-serif"/>
          <w:b w:val="false"/>
          <w:color w:val="000000"/>
          <w:sz w:val="20"/>
        </w:rPr>
        <w:t>. The award of Restricted Stock Units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6.    </w:t>
      </w:r>
      <w:r>
        <w:rPr>
          <w:rFonts w:ascii="Times New Roman;sans-serif" w:hAnsi="Times New Roman;sans-serif"/>
          <w:b w:val="false"/>
          <w:color w:val="000000"/>
          <w:sz w:val="20"/>
          <w:u w:val="single"/>
        </w:rPr>
        <w:t>Governing Law and Venue</w:t>
      </w:r>
      <w:r>
        <w:rPr>
          <w:rFonts w:ascii="Times New Roman;sans-serif" w:hAnsi="Times New Roman;sans-serif"/>
          <w:b w:val="false"/>
          <w:color w:val="000000"/>
          <w:sz w:val="20"/>
        </w:rPr>
        <w:t>. This Agreement shall be governed by and construed in accordance with the laws of the State of Delaware, without regard to its principles of conflict of laws. The parties agree that any action, suit or proceeding arising out of or related to this Agreement or the relationship of the Participant and the Company, shall be instituted only in the state or federal courts located in Maricopa County in the State of Arizona, and each party waives any objection which such party may now or hereafter have to such venue or jurisdictional court in any action, suit, or proceeding. Any and all services of process and any other notice in any such action, suit or proceeding shall be effective against any party if given by mail (registered or certified where possible, return receipt requested), postage prepaid, mailed to such party at the address set forth herein.</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7.    </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The invalidity or enforceability of any one or more provisions of this Agreement shall not affect the validity or enforceability of any other provision of this Agreement, which shall remain in full force and effect. In the event that a court of competent jurisdiction should determine that any time period provided for in Section 4(h) or 4(k) is unenforceable, then such period shall be reduced to the longest period of time which such court shall deem enforceable, taking into consideration the purpose and intent of the Plan to serve the interests of the Company and its shareholders.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8.    </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or other communications with respect to the Restricted Stock Units shall be deemed given and delivered in person or mailed by registered or certified mail (return receipt requested, postage prepaid) to the Company’s Stock Administrator at the following address (or such other address, as shall be specified by like notice of a change of address) and shall be effective upon receipt:</w:t>
      </w:r>
    </w:p>
    <w:p>
      <w:pPr>
        <w:pStyle w:val="TextBody"/>
        <w:bidi w:val="0"/>
        <w:spacing w:lineRule="auto" w:line="288" w:before="120" w:after="283"/>
        <w:jc w:val="both"/>
        <w:rPr>
          <w:color w:val="000000"/>
        </w:rPr>
      </w:pPr>
      <w:r>
        <w:rPr>
          <w:color w:val="000000"/>
        </w:rPr>
        <w:t>                    </w:t>
      </w:r>
      <w:r>
        <w:rPr>
          <w:rFonts w:ascii="Times New Roman;sans-serif" w:hAnsi="Times New Roman;sans-serif"/>
          <w:b w:val="false"/>
          <w:color w:val="000000"/>
          <w:sz w:val="20"/>
        </w:rPr>
        <w:t>Stock Administrator</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Republic Services, Inc.</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18500 N. Allied Way</w:t>
      </w:r>
    </w:p>
    <w:p>
      <w:pPr>
        <w:pStyle w:val="TextBody"/>
        <w:bidi w:val="0"/>
        <w:spacing w:lineRule="auto" w:line="288" w:before="0" w:after="120"/>
        <w:jc w:val="both"/>
        <w:rPr>
          <w:color w:val="000000"/>
        </w:rPr>
      </w:pPr>
      <w:r>
        <w:rPr>
          <w:color w:val="000000"/>
        </w:rPr>
        <w:t>                    </w:t>
      </w:r>
      <w:r>
        <w:rPr>
          <w:rFonts w:ascii="Times New Roman;sans-serif" w:hAnsi="Times New Roman;sans-serif"/>
          <w:b w:val="false"/>
          <w:color w:val="000000"/>
          <w:sz w:val="20"/>
        </w:rPr>
        <w:t>Phoenix, AZ 85054</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9.    </w:t>
      </w:r>
      <w:r>
        <w:rPr>
          <w:rFonts w:ascii="Times New Roman;sans-serif" w:hAnsi="Times New Roman;sans-serif"/>
          <w:b w:val="false"/>
          <w:color w:val="000000"/>
          <w:sz w:val="20"/>
          <w:u w:val="single"/>
        </w:rPr>
        <w:t>Waiver</w:t>
      </w:r>
      <w:r>
        <w:rPr>
          <w:rFonts w:ascii="Times New Roman;sans-serif" w:hAnsi="Times New Roman;sans-serif"/>
          <w:b w:val="false"/>
          <w:color w:val="000000"/>
          <w:sz w:val="20"/>
        </w:rPr>
        <w:t>. The failure of any party at any time to require strict performance of any condition, promise, agreement or understanding set forth in this Agreement shall not be construed as a waiver or relinquishment of the right to require strict performance of the same condition, promise, agreement or understanding at a subsequent time.</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10.    </w:t>
      </w:r>
      <w:r>
        <w:rPr>
          <w:rFonts w:ascii="Times New Roman;sans-serif" w:hAnsi="Times New Roman;sans-serif"/>
          <w:b w:val="false"/>
          <w:color w:val="000000"/>
          <w:sz w:val="20"/>
          <w:u w:val="single"/>
        </w:rPr>
        <w:t>Interpretation/Provisions of Plan Control</w:t>
      </w:r>
      <w:r>
        <w:rPr>
          <w:rFonts w:ascii="Times New Roman;sans-serif" w:hAnsi="Times New Roman;sans-serif"/>
          <w:b w:val="false"/>
          <w:color w:val="000000"/>
          <w:sz w:val="20"/>
        </w:rPr>
        <w:t>. In the event of any conflict between the provisions of the Plan and the provisions of this Agreement, the provisions of the Plan shall govern. The Participant hereby accepts as final, conclusive and binding any decisions by the Committee with respect to the interpretation or administration of the Plan and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11.    </w:t>
      </w:r>
      <w:r>
        <w:rPr>
          <w:rFonts w:ascii="Times New Roman;sans-serif" w:hAnsi="Times New Roman;sans-serif"/>
          <w:b w:val="false"/>
          <w:color w:val="000000"/>
          <w:sz w:val="20"/>
          <w:u w:val="single"/>
        </w:rPr>
        <w:t>Participant Bound by Plan</w:t>
      </w:r>
      <w:r>
        <w:rPr>
          <w:rFonts w:ascii="Times New Roman;sans-serif" w:hAnsi="Times New Roman;sans-serif"/>
          <w:b w:val="false"/>
          <w:color w:val="000000"/>
          <w:sz w:val="20"/>
        </w:rPr>
        <w:t>. The Participant hereby acknowledges receipt of a copy of the Plan and agrees to be bound by all the terms, conditions and provisions thereof.</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12.    </w:t>
      </w:r>
      <w:r>
        <w:rPr>
          <w:rFonts w:ascii="Times New Roman;sans-serif" w:hAnsi="Times New Roman;sans-serif"/>
          <w:b w:val="false"/>
          <w:color w:val="000000"/>
          <w:sz w:val="20"/>
          <w:u w:val="single"/>
        </w:rPr>
        <w:t>Binding Effect</w:t>
      </w:r>
      <w:r>
        <w:rPr>
          <w:rFonts w:ascii="Times New Roman;sans-serif" w:hAnsi="Times New Roman;sans-serif"/>
          <w:b w:val="false"/>
          <w:color w:val="000000"/>
          <w:sz w:val="20"/>
        </w:rPr>
        <w:t>. Subject to the limitations stated in this Agreement and in the Plan, this Agreement shall be binding upon and inure to the benefit of the successors and assigns of the Company and the Participant’s heirs, legatees, distributees and personal representatives.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13.    </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Agreement may be signed in any number of counterparts, each of which shall be an original, with the same effect as if the signatures thereto and hereto were upon the same instrument. The facsimile or email transmission of a signed signature page or an electronic acceptance of the Agreement, by any party to the other(s), shall constitute valid execution and acceptance of this Agreement by the signing/transmitting party.</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14.    </w:t>
      </w:r>
      <w:r>
        <w:rPr>
          <w:rFonts w:ascii="Times New Roman;sans-serif" w:hAnsi="Times New Roman;sans-serif"/>
          <w:b w:val="false"/>
          <w:color w:val="000000"/>
          <w:sz w:val="20"/>
          <w:u w:val="single"/>
        </w:rPr>
        <w:t>Section 409A</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It is the intention of both the Company and the Participant that the benefits and rights to which the Participant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51155"/>
                <wp:effectExtent l="0" t="0" r="0" b="0"/>
                <wp:wrapNone/>
                <wp:docPr id="202" name="Frame19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20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shall be construed in a manner consistent with that intention. If the Participant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Participant and on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u w:val="single"/>
        </w:rPr>
        <w:t>No Representations as to Section 409A Compliance</w:t>
      </w:r>
      <w:r>
        <w:rPr>
          <w:rFonts w:ascii="Times New Roman;sans-serif" w:hAnsi="Times New Roman;sans-serif"/>
          <w:b w:val="false"/>
          <w:color w:val="000000"/>
          <w:sz w:val="20"/>
        </w:rPr>
        <w:t>. Notwithstanding the foregoing, the Company does not make any representation to the Participant that the Restricted Stock Units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Separation from Service</w:t>
      </w:r>
      <w:r>
        <w:rPr>
          <w:rFonts w:ascii="Times New Roman;sans-serif" w:hAnsi="Times New Roman;sans-serif"/>
          <w:b w:val="false"/>
          <w:color w:val="000000"/>
          <w:sz w:val="20"/>
        </w:rPr>
        <w:t>. If and to the extent permitted by Treasury Regulations Section 1.409A-1(h)(5) or other applicable law, the Participant provides services both as an employee of the Company and as a member of the Board, the services provided as a member of the Board shall not be taken into account in determining whether the Participant has incurred a Separation from Service for purposes of Section 4(a) hereof.</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6 Month Delay for Specified Employees</w:t>
      </w:r>
      <w:r>
        <w:rPr>
          <w:rFonts w:ascii="Times New Roman;sans-serif" w:hAnsi="Times New Roman;sans-serif"/>
          <w:b w:val="false"/>
          <w:color w:val="000000"/>
          <w:sz w:val="20"/>
        </w:rPr>
        <w:t>.</w:t>
      </w:r>
      <w:r>
        <w:rPr>
          <w:color w:val="000000"/>
        </w:rPr>
        <w:t xml:space="preserve"> </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 xml:space="preserve">If the Participant is a “Specified Employee,”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For purposes of this provision, the Participant shall be considered to be a “Specified Employee” if, at the time of his or her Separation from Service, the Participant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No Acceleration of Payments</w:t>
      </w:r>
      <w:r>
        <w:rPr>
          <w:rFonts w:ascii="Times New Roman;sans-serif" w:hAnsi="Times New Roman;sans-serif"/>
          <w:b w:val="false"/>
          <w:color w:val="000000"/>
          <w:sz w:val="20"/>
        </w:rPr>
        <w:t>. Neither the Company nor the Participant,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pStyle w:val="TextBody"/>
        <w:bidi w:val="0"/>
        <w:spacing w:lineRule="auto" w:line="288" w:before="120" w:after="120"/>
        <w:jc w:val="both"/>
        <w:rPr/>
      </w:pPr>
      <w:r>
        <w:rPr>
          <w:color w:val="000000"/>
        </w:rPr>
        <w:t>    </w:t>
      </w:r>
      <w:r>
        <w:rPr>
          <w:rFonts w:ascii="Times New Roman;sans-serif" w:hAnsi="Times New Roman;sans-serif"/>
          <w:b w:val="false"/>
          <w:color w:val="000000"/>
          <w:sz w:val="20"/>
        </w:rPr>
        <w:t>15.    </w:t>
      </w:r>
      <w:r>
        <w:rPr>
          <w:rFonts w:ascii="Times New Roman;sans-serif" w:hAnsi="Times New Roman;sans-serif"/>
          <w:b w:val="false"/>
          <w:color w:val="000000"/>
          <w:sz w:val="20"/>
          <w:u w:val="single"/>
        </w:rPr>
        <w:t>Fractional Restricted Stock Units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Notwithstanding any provisions in this Agreement to the contrary, fractional Restricted Stock Units shall not vest until the date on which the Restricted Stock Units become 100% vested under Section 3 hereof, and no share of Common Stock will be issued for the fractional Restricted Stock Unit unless the fractional Restricted Stock Unit is for at least one-half of a Restricted Stock Unit; provided that if the Company determines to allow fractional shares of Common Stock to be distributed or made available under the Company’s compensation and benefit plans, any fractional share of Common Stock due under this Plan shall be distributed in the form of a fractional share of Common Stock, and the foregoing rounding rules shall cease to apply.</w:t>
      </w:r>
    </w:p>
    <w:p>
      <w:pPr>
        <w:pStyle w:val="TextBody"/>
        <w:bidi w:val="0"/>
        <w:spacing w:lineRule="auto" w:line="288" w:before="0" w:after="0"/>
        <w:ind w:left="0" w:right="0" w:firstLine="72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Company has caused this Agreement to be signed by a duly authorized officer, and the Participant has affixed his or her signature hereto.</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before="120" w:after="12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Jon Vander Ark</w:t>
      </w: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1155"/>
                <wp:effectExtent l="0" t="0" r="0" b="0"/>
                <wp:wrapNone/>
                <wp:docPr id="203" name="Frame19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20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President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1819275" cy="904875"/>
            <wp:effectExtent l="0" t="0" r="0" b="0"/>
            <wp:docPr id="20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6" descr=""/>
                    <pic:cNvPicPr>
                      <a:picLocks noChangeAspect="1" noChangeArrowheads="1"/>
                    </pic:cNvPicPr>
                  </pic:nvPicPr>
                  <pic:blipFill>
                    <a:blip r:embed="rId130"/>
                    <a:stretch>
                      <a:fillRect/>
                    </a:stretch>
                  </pic:blipFill>
                  <pic:spPr bwMode="auto">
                    <a:xfrm>
                      <a:off x="0" y="0"/>
                      <a:ext cx="1819275" cy="904875"/>
                    </a:xfrm>
                    <a:prstGeom prst="rect">
                      <a:avLst/>
                    </a:prstGeom>
                  </pic:spPr>
                </pic:pic>
              </a:graphicData>
            </a:graphic>
          </wp:inline>
        </w:drawing>
      </w:r>
      <w:r>
        <w:rPr>
          <w:rFonts w:ascii="Cambria;sans-serif" w:hAnsi="Cambria;sans-serif"/>
          <w:b w:val="false"/>
          <w:color w:val="000000"/>
          <w:sz w:val="20"/>
        </w:rPr>
        <w:t>1</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1155"/>
                <wp:effectExtent l="0" t="0" r="0" b="0"/>
                <wp:wrapNone/>
                <wp:docPr id="205" name="Frame19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333.4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44"/>
        <w:jc w:val="center"/>
        <w:rPr/>
      </w:pPr>
      <w:r>
        <w:rPr/>
      </w:r>
    </w:p>
    <w:p>
      <w:pPr>
        <w:pStyle w:val="TextBody"/>
        <w:bidi w:val="0"/>
        <w:spacing w:before="0" w:after="144"/>
        <w:jc w:val="center"/>
        <w:rPr/>
      </w:pPr>
      <w:r>
        <w:rPr/>
      </w:r>
    </w:p>
    <w:p>
      <w:pPr>
        <w:pStyle w:val="TextBody"/>
        <w:bidi w:val="0"/>
        <w:spacing w:before="0" w:after="144"/>
        <w:jc w:val="center"/>
        <w:rPr/>
      </w:pPr>
      <w:r>
        <w:rPr/>
      </w:r>
    </w:p>
    <w:p>
      <w:pPr>
        <w:pStyle w:val="TextBody"/>
        <w:bidi w:val="0"/>
        <w:spacing w:lineRule="auto" w:line="352" w:before="0" w:after="144"/>
        <w:jc w:val="right"/>
        <w:rPr>
          <w:rFonts w:ascii="Times New Roman;sans-serif" w:hAnsi="Times New Roman;sans-serif"/>
          <w:b/>
          <w:color w:val="000000"/>
          <w:sz w:val="20"/>
        </w:rPr>
      </w:pPr>
      <w:r>
        <w:rPr>
          <w:rFonts w:ascii="Times New Roman;sans-serif" w:hAnsi="Times New Roman;sans-serif"/>
          <w:b/>
          <w:color w:val="000000"/>
          <w:sz w:val="20"/>
        </w:rPr>
        <w:t>EXHIBIT 10.23</w:t>
      </w:r>
    </w:p>
    <w:p>
      <w:pPr>
        <w:pStyle w:val="TextBody"/>
        <w:bidi w:val="0"/>
        <w:spacing w:lineRule="auto" w:line="352" w:before="0" w:after="144"/>
        <w:jc w:val="center"/>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lineRule="auto" w:line="312" w:before="36" w:after="283"/>
        <w:jc w:val="center"/>
        <w:rPr>
          <w:rFonts w:ascii="Times New Roman;sans-serif" w:hAnsi="Times New Roman;sans-serif"/>
          <w:b/>
          <w:color w:val="000000"/>
          <w:sz w:val="20"/>
        </w:rPr>
      </w:pPr>
      <w:r>
        <w:rPr>
          <w:rFonts w:ascii="Times New Roman;sans-serif" w:hAnsi="Times New Roman;sans-serif"/>
          <w:b/>
          <w:color w:val="000000"/>
          <w:sz w:val="20"/>
        </w:rPr>
        <w:t>EMPLOYEE RESTRICTED STOCK UNIT AGREEMENT</w:t>
      </w:r>
    </w:p>
    <w:p>
      <w:pPr>
        <w:pStyle w:val="TextBody"/>
        <w:bidi w:val="0"/>
        <w:spacing w:before="36" w:after="283"/>
        <w:jc w:val="center"/>
        <w:rPr/>
      </w:pPr>
      <w:r>
        <w:rPr/>
      </w:r>
    </w:p>
    <w:tbl>
      <w:tblPr>
        <w:tblW w:w="3494" w:type="dxa"/>
        <w:jc w:val="left"/>
        <w:tblInd w:w="0" w:type="dxa"/>
        <w:tblLayout w:type="fixed"/>
        <w:tblCellMar>
          <w:top w:w="28" w:type="dxa"/>
          <w:left w:w="28" w:type="dxa"/>
          <w:bottom w:w="28" w:type="dxa"/>
          <w:right w:w="28" w:type="dxa"/>
        </w:tblCellMar>
      </w:tblPr>
      <w:tblGrid>
        <w:gridCol w:w="1118"/>
        <w:gridCol w:w="983"/>
        <w:gridCol w:w="1393"/>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004A7C"/>
              <w:left w:val="single" w:sz="4" w:space="0" w:color="004A7C"/>
              <w:right w:val="single" w:sz="4" w:space="0" w:color="004A7C"/>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Participant Name : </w:t>
            </w:r>
            <w:r>
              <w:rPr>
                <w:rFonts w:ascii="Times New Roman;sans-serif" w:hAnsi="Times New Roman;sans-serif"/>
                <w:b w:val="false"/>
                <w:color w:val="000000"/>
                <w:sz w:val="20"/>
              </w:rPr>
              <w:t>/$ParticipantName$/</w:t>
            </w:r>
          </w:p>
        </w:tc>
      </w:tr>
      <w:tr>
        <w:trPr/>
        <w:tc>
          <w:tcPr>
            <w:tcW w:w="349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Date : </w:t>
            </w:r>
            <w:r>
              <w:rPr>
                <w:rFonts w:ascii="Times New Roman;sans-serif" w:hAnsi="Times New Roman;sans-serif"/>
                <w:b w:val="false"/>
                <w:color w:val="000000"/>
                <w:sz w:val="20"/>
              </w:rPr>
              <w:t>/$GrantDate$/</w:t>
            </w:r>
          </w:p>
        </w:tc>
      </w:tr>
      <w:tr>
        <w:trPr/>
        <w:tc>
          <w:tcPr>
            <w:tcW w:w="349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Grant Type : </w:t>
            </w:r>
            <w:r>
              <w:rPr>
                <w:rFonts w:ascii="Times New Roman;sans-serif" w:hAnsi="Times New Roman;sans-serif"/>
                <w:b w:val="false"/>
                <w:color w:val="000000"/>
                <w:sz w:val="20"/>
              </w:rPr>
              <w:t>/$GrantType$/</w:t>
            </w:r>
          </w:p>
        </w:tc>
      </w:tr>
      <w:tr>
        <w:trPr/>
        <w:tc>
          <w:tcPr>
            <w:tcW w:w="3494" w:type="dxa"/>
            <w:gridSpan w:val="3"/>
            <w:tcBorders>
              <w:left w:val="single" w:sz="4" w:space="0" w:color="004A7C"/>
              <w:right w:val="single" w:sz="4" w:space="0" w:color="004A7C"/>
            </w:tcBorders>
            <w:tcMar>
              <w:top w:w="0" w:type="dxa"/>
              <w:bottom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RSUs Granted : </w:t>
            </w:r>
            <w:r>
              <w:rPr>
                <w:rFonts w:ascii="Times New Roman;sans-serif" w:hAnsi="Times New Roman;sans-serif"/>
                <w:b w:val="false"/>
                <w:color w:val="000000"/>
                <w:sz w:val="20"/>
              </w:rPr>
              <w:t>/$AwardsGranted$/</w:t>
            </w:r>
          </w:p>
        </w:tc>
      </w:tr>
      <w:tr>
        <w:trPr/>
        <w:tc>
          <w:tcPr>
            <w:tcW w:w="3494" w:type="dxa"/>
            <w:gridSpan w:val="3"/>
            <w:tcBorders>
              <w:left w:val="single" w:sz="4" w:space="0" w:color="004A7C"/>
              <w:bottom w:val="single" w:sz="4" w:space="0" w:color="004A7C"/>
              <w:right w:val="single" w:sz="4" w:space="0" w:color="004A7C"/>
            </w:tcBorders>
            <w:tcMar>
              <w:top w:w="0" w:type="dxa"/>
              <w:bottom w:w="3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Plan Name : </w:t>
            </w:r>
            <w:r>
              <w:rPr>
                <w:rFonts w:ascii="Times New Roman;sans-serif" w:hAnsi="Times New Roman;sans-serif"/>
                <w:b w:val="false"/>
                <w:color w:val="000000"/>
                <w:sz w:val="20"/>
              </w:rPr>
              <w:t>/$PlanName$/</w:t>
            </w:r>
          </w:p>
        </w:tc>
      </w:tr>
    </w:tbl>
    <w:p>
      <w:pPr>
        <w:pStyle w:val="TextBody"/>
        <w:bidi w:val="0"/>
        <w:spacing w:before="36" w:after="283"/>
        <w:jc w:val="center"/>
        <w:rPr/>
      </w:pPr>
      <w:r>
        <w:rPr/>
      </w:r>
    </w:p>
    <w:p>
      <w:pPr>
        <w:pStyle w:val="TextBody"/>
        <w:bidi w:val="0"/>
        <w:spacing w:lineRule="auto" w:line="288" w:before="120" w:after="120"/>
        <w:ind w:left="0" w:right="0" w:firstLine="648"/>
        <w:jc w:val="both"/>
        <w:rPr>
          <w:rFonts w:ascii="Times New Roman;sans-serif" w:hAnsi="Times New Roman;sans-serif"/>
          <w:b w:val="false"/>
          <w:color w:val="000000"/>
          <w:sz w:val="20"/>
        </w:rPr>
      </w:pPr>
      <w:r>
        <w:rPr>
          <w:rFonts w:ascii="Times New Roman;sans-serif" w:hAnsi="Times New Roman;sans-serif"/>
          <w:b w:val="false"/>
          <w:color w:val="000000"/>
          <w:sz w:val="20"/>
        </w:rPr>
        <w:t>THIS RESTRICTED STOCK UNIT AGREEMENT (the “Agreement”), dated as of the Grant Date shown above, between Republic Services, Inc., a Delaware corporation (the “Company”) and Participant (the “Participant”), is made pursuant and subject to the provisions of the Republic Services, Inc. 2021 Stock Incentive Plan, and any future amendments thereto (the “Plan”). The Plan, as it may be amended from time to time, is incorporated herein by reference.</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All capitalized terms used herein but not expressly defined shall have the meaning ascribed to them in the Plan, a copy of which is being provided as part of the grant acceptance materials and is incorporated herein by reference. All references to the Company in this Agreement shall also be deemed to include references to any and all entities directly or indirectly controlled by the Company and which are consolidated with the Company for financial accounting purposes.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2.</w:t>
      </w:r>
      <w:r>
        <w:rPr>
          <w:color w:val="000000"/>
        </w:rPr>
        <w:t>    </w:t>
      </w:r>
      <w:r>
        <w:rPr>
          <w:rFonts w:ascii="Times New Roman;sans-serif" w:hAnsi="Times New Roman;sans-serif"/>
          <w:b w:val="false"/>
          <w:color w:val="000000"/>
          <w:sz w:val="20"/>
          <w:u w:val="single"/>
        </w:rPr>
        <w:t>Award of Restricted Stock Units</w:t>
      </w:r>
      <w:r>
        <w:rPr>
          <w:rFonts w:ascii="Times New Roman;sans-serif" w:hAnsi="Times New Roman;sans-serif"/>
          <w:b w:val="false"/>
          <w:color w:val="000000"/>
          <w:sz w:val="20"/>
        </w:rPr>
        <w:t>. Subject to the terms and conditions of the Plan and to the terms and conditions herein set forth in this Agreement, the Company on this date awards to the Participant the number of Restricted Stock Units shown in the box above as RSUs Granted (referred to as the “Restricted Stock Units”).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Vesting Schedule</w:t>
      </w:r>
      <w:r>
        <w:rPr>
          <w:rFonts w:ascii="Times New Roman;sans-serif" w:hAnsi="Times New Roman;sans-serif"/>
          <w:b w:val="false"/>
          <w:color w:val="000000"/>
          <w:sz w:val="20"/>
        </w:rPr>
        <w:t xml:space="preserve">. Subject to the terms and conditions of this Agreement, the Restricted Stock Units shall vest and become nonforfeitable on the dates (each a </w:t>
      </w:r>
      <w:r>
        <w:rPr>
          <w:color w:val="000000"/>
        </w:rPr>
        <w:t>“</w:t>
      </w:r>
      <w:r>
        <w:rPr>
          <w:rFonts w:ascii="Times New Roman;sans-serif" w:hAnsi="Times New Roman;sans-serif"/>
          <w:b w:val="false"/>
          <w:color w:val="000000"/>
          <w:sz w:val="20"/>
        </w:rPr>
        <w:t>Vesting Date</w:t>
      </w:r>
      <w:r>
        <w:rPr>
          <w:color w:val="000000"/>
        </w:rPr>
        <w:t>”</w:t>
      </w:r>
      <w:r>
        <w:rPr>
          <w:rFonts w:ascii="Times New Roman;sans-serif" w:hAnsi="Times New Roman;sans-serif"/>
          <w:b w:val="false"/>
          <w:color w:val="000000"/>
          <w:sz w:val="20"/>
        </w:rPr>
        <w:t>) and in the percentages set forth in accordance with the following schedule, provided that the Participant’s continuous service with the Company continues until the applicable Vesting Date:</w:t>
      </w:r>
    </w:p>
    <w:p>
      <w:pPr>
        <w:pStyle w:val="TextBody"/>
        <w:bidi w:val="0"/>
        <w:spacing w:lineRule="auto" w:line="288" w:before="0" w:after="0"/>
        <w:ind w:left="0" w:right="0" w:firstLine="720"/>
        <w:jc w:val="left"/>
        <w:rPr/>
      </w:pPr>
      <w:r>
        <w:rPr>
          <w:rFonts w:ascii="Times New Roman;sans-serif" w:hAnsi="Times New Roman;sans-serif"/>
          <w:b w:val="false"/>
          <w:color w:val="000000"/>
          <w:sz w:val="20"/>
          <w:u w:val="single"/>
        </w:rPr>
        <w:t>Vesting Date</w:t>
      </w:r>
      <w:r>
        <w:rPr>
          <w:color w:val="000000"/>
        </w:rPr>
        <w:t>                </w:t>
      </w:r>
      <w:r>
        <w:rPr>
          <w:rFonts w:ascii="Times New Roman;sans-serif" w:hAnsi="Times New Roman;sans-serif"/>
          <w:b w:val="false"/>
          <w:color w:val="000000"/>
          <w:sz w:val="20"/>
          <w:u w:val="single"/>
        </w:rPr>
        <w:t>Vesting Percentage</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(Percentage of Total Award</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Vested as of Applicable Date)</w:t>
      </w:r>
    </w:p>
    <w:p>
      <w:pPr>
        <w:pStyle w:val="TextBody"/>
        <w:bidi w:val="0"/>
        <w:spacing w:lineRule="auto" w:line="288" w:before="120" w:after="120"/>
        <w:ind w:left="0" w:right="0" w:firstLine="720"/>
        <w:jc w:val="left"/>
        <w:rPr/>
      </w:pPr>
      <w:r>
        <w:rPr>
          <w:rFonts w:ascii="Times New Roman;sans-serif" w:hAnsi="Times New Roman;sans-serif"/>
          <w:b w:val="false"/>
          <w:color w:val="000000"/>
          <w:sz w:val="20"/>
        </w:rPr>
        <w:t>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Annual Anniversary of the Grant Date          25%</w:t>
      </w:r>
    </w:p>
    <w:p>
      <w:pPr>
        <w:pStyle w:val="TextBody"/>
        <w:bidi w:val="0"/>
        <w:spacing w:lineRule="auto" w:line="288" w:before="120" w:after="120"/>
        <w:jc w:val="left"/>
        <w:rPr/>
      </w:pPr>
      <w:r>
        <w:rPr>
          <w:color w:val="000000"/>
        </w:rPr>
        <w:t>        </w:t>
      </w:r>
      <w:r>
        <w:rPr>
          <w:rFonts w:ascii="Times New Roman;sans-serif" w:hAnsi="Times New Roman;sans-serif"/>
          <w:b w:val="false"/>
          <w:color w:val="000000"/>
          <w:sz w:val="20"/>
        </w:rPr>
        <w:t>2</w:t>
      </w:r>
      <w:r>
        <w:rPr>
          <w:rFonts w:ascii="Times New Roman;sans-serif" w:hAnsi="Times New Roman;sans-serif"/>
          <w:b w:val="false"/>
          <w:color w:val="000000"/>
          <w:sz w:val="13"/>
        </w:rPr>
        <w:t>nd</w:t>
      </w:r>
      <w:r>
        <w:rPr>
          <w:color w:val="000000"/>
        </w:rPr>
        <w:t xml:space="preserve"> </w:t>
      </w:r>
      <w:r>
        <w:rPr>
          <w:rFonts w:ascii="Times New Roman;sans-serif" w:hAnsi="Times New Roman;sans-serif"/>
          <w:b w:val="false"/>
          <w:color w:val="000000"/>
          <w:sz w:val="20"/>
        </w:rPr>
        <w:t>Annual Anniversary of the Grant Date      50%</w:t>
      </w:r>
    </w:p>
    <w:p>
      <w:pPr>
        <w:pStyle w:val="TextBody"/>
        <w:bidi w:val="0"/>
        <w:spacing w:lineRule="auto" w:line="288" w:before="120" w:after="120"/>
        <w:ind w:left="0" w:right="0" w:firstLine="720"/>
        <w:jc w:val="left"/>
        <w:rPr/>
      </w:pPr>
      <w:r>
        <w:rPr>
          <w:rFonts w:ascii="Times New Roman;sans-serif" w:hAnsi="Times New Roman;sans-serif"/>
          <w:b w:val="false"/>
          <w:color w:val="000000"/>
          <w:sz w:val="20"/>
        </w:rPr>
        <w:t>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 xml:space="preserve">Annual Anniversary of the Grant Date          75% </w:t>
      </w:r>
    </w:p>
    <w:p>
      <w:pPr>
        <w:pStyle w:val="TextBody"/>
        <w:bidi w:val="0"/>
        <w:spacing w:lineRule="auto" w:line="288" w:before="120" w:after="120"/>
        <w:ind w:left="0" w:right="0" w:firstLine="720"/>
        <w:jc w:val="left"/>
        <w:rPr/>
      </w:pPr>
      <w:r>
        <w:rPr>
          <w:rFonts w:ascii="Times New Roman;sans-serif" w:hAnsi="Times New Roman;sans-serif"/>
          <w:b w:val="false"/>
          <w:color w:val="000000"/>
          <w:sz w:val="20"/>
        </w:rPr>
        <w:t>4</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Annual Anniversary of the Grant Date         100%</w:t>
      </w:r>
    </w:p>
    <w:p>
      <w:pPr>
        <w:pStyle w:val="TextBody"/>
        <w:bidi w:val="0"/>
        <w:spacing w:before="120" w:after="120"/>
        <w:ind w:left="0" w:right="0" w:firstLine="720"/>
        <w:jc w:val="left"/>
        <w:rPr/>
      </w:pPr>
      <w:r>
        <w:rPr/>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2</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6"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Except as otherwise specifically provided herein, there shall be no proportionate or partial vesting in the periods prior to each Vesting Date, and all vesting shall occur only on the applicable Vesting Date.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Acceleration of Vesting on Account of Death, Disability, Retirement, Termination of Employment, or for Other Reasons</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Death or Disability</w:t>
      </w:r>
      <w:r>
        <w:rPr>
          <w:rFonts w:ascii="Times New Roman;sans-serif" w:hAnsi="Times New Roman;sans-serif"/>
          <w:b w:val="false"/>
          <w:color w:val="000000"/>
          <w:sz w:val="20"/>
        </w:rPr>
        <w:t>. The Restricted Stock Units not yet vested and that have not previously been forfeited shall become 100% vested and transferable in the event that the Participant’s continuous service with the Company terminates by reason of the Participant’s death or Disability.</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(ii)    </w:t>
      </w:r>
      <w:r>
        <w:rPr>
          <w:rFonts w:ascii="Times New Roman;sans-serif" w:hAnsi="Times New Roman;sans-serif"/>
          <w:b w:val="false"/>
          <w:color w:val="000000"/>
          <w:sz w:val="20"/>
          <w:u w:val="single"/>
        </w:rPr>
        <w:t>Retirement</w:t>
      </w:r>
      <w:r>
        <w:rPr>
          <w:rFonts w:ascii="Times New Roman;sans-serif" w:hAnsi="Times New Roman;sans-serif"/>
          <w:b w:val="false"/>
          <w:color w:val="000000"/>
          <w:sz w:val="20"/>
        </w:rPr>
        <w:t>. The Restricted Stock Units not yet vested and that have not previously been forfeited shall become 100% vested and transferable in the event that (1) the Participant’s continuous service with the Company terminates by reason of the Participant’s retirement on or after the one year anniversary of the Grant Date and (2) at the time of such retirement:</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(A)    the Participant is at least fifty-five (55) years old and has completed twenty (20) years of continuous service with the Company; is at least fifty-six (56) years old and has completed ten (10) years of continuous service with the Company; is at least sixty (60) years old and has completed at least five (5) years of continuous service with the Company; or is at least sixty-five (65) years old (without regard to years of service), and in any of these cases has provided the Company not less than ninety (90) days prior written notice of Participant’s intent to retire; and</w:t>
      </w:r>
    </w:p>
    <w:p>
      <w:pPr>
        <w:pStyle w:val="TextBody"/>
        <w:bidi w:val="0"/>
        <w:spacing w:lineRule="auto" w:line="288" w:before="120" w:after="120"/>
        <w:ind w:left="0" w:right="0" w:firstLine="2880"/>
        <w:jc w:val="both"/>
        <w:rPr>
          <w:rFonts w:ascii="Times New Roman;sans-serif" w:hAnsi="Times New Roman;sans-serif"/>
          <w:b w:val="false"/>
          <w:color w:val="000000"/>
          <w:sz w:val="20"/>
        </w:rPr>
      </w:pPr>
      <w:r>
        <w:rPr>
          <w:rFonts w:ascii="Times New Roman;sans-serif" w:hAnsi="Times New Roman;sans-serif"/>
          <w:b w:val="false"/>
          <w:color w:val="000000"/>
          <w:sz w:val="20"/>
        </w:rPr>
        <w:t>(B)    the Company does not provide the Participant with written notice on or before the anticipated retirement date that the Company intends or has grounds to terminate the Participant’s continuous service for Cause.</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determining years of continuous service, service shall include service in any capacity as an employee or a director with any entity whose financial statements are required to be consolidated with the financial statements of the Company, including service with any such entity prior to the date on which the entity’s financial statements were required to be so consolidated.</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(iii)    </w:t>
      </w:r>
      <w:r>
        <w:rPr>
          <w:rFonts w:ascii="Times New Roman;sans-serif" w:hAnsi="Times New Roman;sans-serif"/>
          <w:b w:val="false"/>
          <w:color w:val="000000"/>
          <w:sz w:val="20"/>
          <w:u w:val="single"/>
        </w:rPr>
        <w:t>Employment Agreement</w:t>
      </w:r>
      <w:r>
        <w:rPr>
          <w:rFonts w:ascii="Times New Roman;sans-serif" w:hAnsi="Times New Roman;sans-serif"/>
          <w:b w:val="false"/>
          <w:color w:val="000000"/>
          <w:sz w:val="20"/>
        </w:rPr>
        <w:t>. In the event that the Participant has entered into any employment agreement between the Participant and the Company that is in effect on the date on which the Participant’s continuous service with the Company is terminated and such employment agreement provides benefits upon the Participant’s retirement and/or termination of employment, the applicable provisions within such employment agreement relating to the Participant’s retirement and/or termination of employment shall apply, notwithstanding any provision in Section 3(b)(ii) of this Agreement to the contrary. In addition, to the extent the Restricted Stock Units have not yet vested and have not previously been forfeited, such Restricted Stock Units shall become partially or fully vested and transferable at such times and in such amounts as may be required under the Company’s Executive Separation Policy, as amended from time to time and as applicable.</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Terms and Conditions</w:t>
      </w:r>
      <w:r>
        <w:rPr>
          <w:rFonts w:ascii="Times New Roman;sans-serif" w:hAnsi="Times New Roman;sans-serif"/>
          <w:b w:val="false"/>
          <w:color w:val="000000"/>
          <w:sz w:val="20"/>
        </w:rPr>
        <w:t>. This award of Restricted Stock Units is subject to the following terms and conditions: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Payment for Restricted Stock Units; Forfeiture of Unvested Units; Deferral of Restricted Stock Units</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 Except as otherwise provided in paragraph (ii) of this Section 4(a), Section 4(d) or Section 14 hereof, the Participant shall receive one share of Common Stock for each vested Restricted Stock Unit awarded hereunder, free and clear of the restrictions set forth in this Agreement, except for any restrictions necessary to comply with federal and state securities laws. Certificates (or other indicia of ownership) representing such shares shall be delivered to the Participant as promptly as practical (but in no event more than 30 days) following the date on which the portion of the Restricted Stock Units to which the distribution relates becomes vested. Any Restricted Stock Units that are not vested as of the Participant’s separation from service, within the meaning of Section 409A of the Code and applicable Treasury Regulations (the “Separation from Service”), and that will not become vested pursuant to Section 3(b) hereof, shall automatically and immediately be forfeited on the date of the Participant’s Separation from Service.</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3</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7"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The Participant may elect to defer the Restricted Stock Units pursuant to the Republic Services, Inc. Deferred Compensation Plan, as may be amended from time to time (the “Deferred Compensation Plan”), and if the Participant properly and timely does so, the Restricted Stock Units shall be automatically converted into a corresponding number of units under the Republic Services Stock Unit Fund (the “Units”), and shall be credited to the Participant’s Account Balance (as defined in the Deferred Compensation Plan) in accordance with Section 3.9(c) of the Deferred Compensation Plan. The Units shall remain subject to the vesting and forfeiture provisions set forth in Sections 3, 4(h) and 4(k) of this Agreement. The Units shall be payable in actual shares of Common Stock at the times provided for under the Deferred Compensation Plan as may be amended from time to time.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Hypothetical Nature of Restricted Stock Units</w:t>
      </w:r>
      <w:r>
        <w:rPr>
          <w:rFonts w:ascii="Times New Roman;sans-serif" w:hAnsi="Times New Roman;sans-serif"/>
          <w:b w:val="false"/>
          <w:color w:val="000000"/>
          <w:sz w:val="20"/>
        </w:rPr>
        <w:t>. The Restricted Stock Units awarded herein do not represent an equity security of the Company and do not carry any voting or dividend rights, except the right to receive Dividend Equivalents in accordance with Section 4(c) hereof.</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Dividend Equivalents</w:t>
      </w:r>
      <w:r>
        <w:rPr>
          <w:rFonts w:ascii="Times New Roman;sans-serif" w:hAnsi="Times New Roman;sans-serif"/>
          <w:b w:val="false"/>
          <w:color w:val="000000"/>
          <w:sz w:val="20"/>
        </w:rPr>
        <w:t>. Provided that the Participant’s continuous service has not terminated prior to the dividend record date, or the Participant’s continuous service terminated prior to the dividend record date but the Participant has not been paid for the Participant’s vested Restricted Stock Units as of the dividend record date solely on account of the Participant being a “specified employee” (as defined under Section 14(d) hereof) subject to the six-month delay for payment of the Participant’s vested Restricted Stock Units, as required under Section 14(d) hereof, the Participant shall receive Dividend Equivalents in the form of additional Restricted Stock Units or fractional Restricted Stock Units each time a dividend or other distribution is paid on the Company's Common Stock. The number of Restricted Stock Units awarded for a cash dividend or non-cash dividend other than a stock dividend shall be determined by (i) multiplying the number of Restricted Stock Units held by the Participant pursuant to this Agreement as of the dividend record date by the amount of the dividend per share of Common Stock and (ii) dividing the product so determined by the Fair Market Value of the Common Stock on the dividend payment date. The number of Restricted Stock Units awarded for a stock dividend shall be determined by multiplying the number of Restricted Stock Units held by the Participant pursuant to this Agreement as of the dividend record date by the number of additional shares of Common Stock actually paid as a dividend per share of Common Stock. Any additional Restricted Stock Units awarded pursuant to this Section 4(c) shall be awarded effective as of the date the dividend was paid, and shall have the same status, and shall be subject to the same terms and conditions (including without limitation the vesting and forfeiture provisions), under this Agreement as the Restricted Stock Units to which they relate, and shall be distributed on the same payment date referred to in Section 4(a) herein as the Restricted Stock Units to which they relate (or if later, as of the applicable dividend payment date), or alternatively, at the times provided for under the Deferred Compensation Plan to the extent the Participant elected to defer some or all of the Restricted Stock Units to which the Dividend Equivalents relate under the Deferred Compensation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Unforeseeable Financial Emergency</w:t>
      </w:r>
      <w:r>
        <w:rPr>
          <w:rFonts w:ascii="Times New Roman;sans-serif" w:hAnsi="Times New Roman;sans-serif"/>
          <w:b w:val="false"/>
          <w:color w:val="000000"/>
          <w:sz w:val="20"/>
        </w:rPr>
        <w:t>. If the Participant experiences an Unforeseeable Financial Emergency, the Participant may petition the Committee to receive the payment of shares of Common Stock for all or part of his vested Restricted Stock Units prior to his Separation from Service. If the Committee, in its sole discretion, grants the Participant’s petition, then the Participant shall only receive shares of Common Stock as necessary to satisfy the Unforeseeable Financial Emergency to the extent deemed necessary by the Committee. “Unforeseeable Financial Emergency” shall mean a severe financial hardship to the Participant resulting from (i) an illness or accident of the Participant, the Participant’s spouse, or the Participant’s dependent (as defined in Section 152 of the Code, without regard to Section 152(b)(1), (b)(2), or (d)(1)(B) of the Code), (ii) a loss of the Participant’s property due to casualty (including the need to rebuild a home following damage to a home not otherwise covered by insurance), or (iii) similar extraordinary and unforeseeable circumstances arising as a result of events beyond the control of the Participant, all as determined in the sole discretion of the Committee.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Tax Withholding</w:t>
      </w:r>
      <w:r>
        <w:rPr>
          <w:rFonts w:ascii="Times New Roman;sans-serif" w:hAnsi="Times New Roman;sans-serif"/>
          <w:b w:val="false"/>
          <w:color w:val="000000"/>
          <w:sz w:val="20"/>
        </w:rPr>
        <w:t>.</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The Participant shall pay to the Company, or make arrangements satisfactory to the Committee for payment of, any federal, state or local taxes of any kind required by law to be withheld with respect to the grant of Restricted Stock Units (including without limitation the vesting thereof) and any Dividend Equivalents or other distributions made by the Company to the Participant with respect to the Restricted Stock Units as and when the Company determines those amounts to be due, and the Company shall, to the extent permitted by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4</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08"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law, have the right to deduct from any payment of any kind otherwise due to Participant any federal, state, or local taxes of any kind required by law to be withheld with respect to the Restricted Stock Units or any Dividend Equivalents or other distributions made by the Company to the Participant with respect to any Restricted Stock Units.</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The Participant agrees that his or her minimum withholding tax obligation with respect to the granting or vesting of the Restricted Stock Units and any Dividend Equivalents or other distributions made by the Company to the Participant with respect to the Restricted Stock Units will be satisfied (provided that the Participant has enough vesting or vested shares available) by the Company’s withholding a portion of the shares of Common Stock otherwise deliverable to the Participant, such shares being valued at their fair market value as of the date on which the taxable event that gives rise to the withholding requirement occurs. The Participant further agrees that each time the Company withholds shares to satisfy his or her minimum withholding tax obligation, the Company will round up to the nearest whole number of shares (with any over withholding applied to federal income tax). For example, if 9.6 shares are required to satisfy the minimum withholding tax obligation, the Company will round up to 10 shares. Notwithstanding the foregoing, if the Company determines to allow fractional shares of Common Stock to be distributed or made available under the Company’s compensation and benefit plans, the foregoing rounding rules will cease to apply, and the Company instead will withhold a portion of the shares and fractional shares of Common Stock otherwise deliverable to the Participant, such shares and fractional shares being valued at their Fair Market Value as of the date of the taxable event that gives rise to the withholding requirement occurs. By accepting this Agreement, the Participant consents to this method of tax withholding, including the Company rounding up to the nearest whole number of shares (as applicable).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No</w:t>
      </w:r>
      <w:r>
        <w:rPr>
          <w:color w:val="000000"/>
          <w:u w:val="single"/>
        </w:rPr>
        <w:t xml:space="preserve"> </w:t>
      </w:r>
      <w:r>
        <w:rPr>
          <w:rFonts w:ascii="Times New Roman;sans-serif" w:hAnsi="Times New Roman;sans-serif"/>
          <w:b w:val="false"/>
          <w:color w:val="000000"/>
          <w:sz w:val="20"/>
          <w:u w:val="single"/>
        </w:rPr>
        <w:t>Right to Continued Employment or Service</w:t>
      </w:r>
      <w:r>
        <w:rPr>
          <w:rFonts w:ascii="Times New Roman;sans-serif" w:hAnsi="Times New Roman;sans-serif"/>
          <w:b w:val="false"/>
          <w:color w:val="000000"/>
          <w:sz w:val="20"/>
        </w:rPr>
        <w:t>. This Agreement does not confer upon the Participant any right with respect to continuance of employment or service by the Company, nor shall it interfere in any way with the right of the Company to terminate the Participant’s employment at any time.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Transferability of Awards</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 xml:space="preserve">(i) </w:t>
      </w:r>
      <w:r>
        <w:rPr>
          <w:rFonts w:ascii="Times New Roman;sans-serif" w:hAnsi="Times New Roman;sans-serif"/>
          <w:b w:val="false"/>
          <w:color w:val="000000"/>
          <w:sz w:val="20"/>
          <w:u w:val="single"/>
        </w:rPr>
        <w:t>Restrictions on Transfer</w:t>
      </w:r>
      <w:r>
        <w:rPr>
          <w:rFonts w:ascii="Times New Roman;sans-serif" w:hAnsi="Times New Roman;sans-serif"/>
          <w:b w:val="false"/>
          <w:color w:val="000000"/>
          <w:sz w:val="20"/>
        </w:rPr>
        <w:t>. No Restricted Stock Units shall be transferable or assignable by the Participant, other than by will or the laws of descent and distribution or pursuant to a domestic relations order within the meaning of Section 414(p)(1)(B) of the Code.</w:t>
      </w:r>
    </w:p>
    <w:p>
      <w:pPr>
        <w:pStyle w:val="TextBody"/>
        <w:bidi w:val="0"/>
        <w:spacing w:lineRule="auto" w:line="288" w:before="120" w:after="120"/>
        <w:ind w:left="0" w:right="0" w:firstLine="1440"/>
        <w:jc w:val="both"/>
        <w:rPr/>
      </w:pPr>
      <w:r>
        <w:rPr>
          <w:color w:val="000000"/>
        </w:rPr>
        <w:t>    </w:t>
      </w:r>
      <w:r>
        <w:rPr>
          <w:rFonts w:ascii="Times New Roman;sans-serif" w:hAnsi="Times New Roman;sans-serif"/>
          <w:b w:val="false"/>
          <w:color w:val="000000"/>
          <w:sz w:val="20"/>
        </w:rPr>
        <w:t xml:space="preserve">(ii) </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No transfer permitted under Section 4(g)(i) of any Restricted Stock Units shall be effective to bind the Company unless the Committee shall have been furnished with (1) a Notice of Restricted Stock Unit Transfer in the form required by the Committee executed and dated by the Participant (or the executor or personal representative of the deceased Participant’s estate) and a copy of the will, assignment or transfer document and/or such evidence as the Committee may deem necessary to establish the validity of the transfer, and (2) the Statement of Acknowledgement in the form required by the Committee executed and dated by the transferee which states that the transferee will comply with all the terms and conditions of the Plan and the Agreement relating to the Restricted Stock Units that are or would have been applicable to the Participant.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(h)    </w:t>
      </w:r>
      <w:r>
        <w:rPr>
          <w:rFonts w:ascii="Times New Roman;sans-serif" w:hAnsi="Times New Roman;sans-serif"/>
          <w:b w:val="false"/>
          <w:color w:val="000000"/>
          <w:sz w:val="20"/>
          <w:u w:val="single"/>
        </w:rPr>
        <w:t>Forfeiture by Reason of Detrimental Activity</w:t>
      </w:r>
      <w:r>
        <w:rPr>
          <w:rFonts w:ascii="Times New Roman;sans-serif" w:hAnsi="Times New Roman;sans-serif"/>
          <w:b w:val="false"/>
          <w:color w:val="000000"/>
          <w:sz w:val="20"/>
        </w:rPr>
        <w:t>. The Restricted Stock Units shall be subject to Section 17(n) of the Plan. Notwithstanding any other provision of this Agreement to the contrary, if the Participant engages in any Detrimental Activity at any time prior to or during the one year period after the latest date on which any portion of the Restricted Stock Units become vested but prior to a Change in Control, the Company shall, upon the recommendation of the Committee in its sole and absolute discretion, be entitled to (i) immediately terminate and cancel any portion of the Restricted Stock Units that have not previously been settled with shares of Common Stock, and/or (ii) require within two (2) years after the latest date on which any portion of the Restricted Stock Units are settled but prior to a Change in Control that the Participant (1) return to the Company any shares of Common Stock that were distributed to the Participant in settlement of the Restricted Stock Units, or if such shares of Common Stock are not still owned by the Participant, that the Participant pay to the Company an amount equal to the Fair Market Value of such shares of Common Stock on the date they were issued, and (2) return to the Company any cash or other property (other than Common Stock) received by the Participant from the Company pursuant to this Agreement.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Right to Set Off</w:t>
      </w:r>
      <w:r>
        <w:rPr>
          <w:rFonts w:ascii="Times New Roman;sans-serif" w:hAnsi="Times New Roman;sans-serif"/>
          <w:b w:val="false"/>
          <w:color w:val="000000"/>
          <w:sz w:val="20"/>
        </w:rPr>
        <w:t xml:space="preserve">. By accepting this Agreement, the Participant consents to a deduction from any amounts the Company owes the Participant from time to time (including amounts owed to the Participant </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5</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09"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wages or other compensation, for any benefits, or vacation pay, as well as any other amounts owed to the Participant by the Company), up to the dollar amount the Participant owes the Company under Section 4(h) or 4(k) hereof. Whether or not the Company elects to make any set off in whole or in part, if the Company does not recover by means of set off the full amount the Participant owes the Company calculated as set forth in Section 4(h) hereof, the Participant agrees to pay immediately the unpaid balance to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(j)    </w:t>
      </w:r>
      <w:r>
        <w:rPr>
          <w:rFonts w:ascii="Times New Roman;sans-serif" w:hAnsi="Times New Roman;sans-serif"/>
          <w:b w:val="false"/>
          <w:color w:val="000000"/>
          <w:sz w:val="20"/>
          <w:u w:val="single"/>
        </w:rPr>
        <w:t>Board of Director Discretion</w:t>
      </w:r>
      <w:r>
        <w:rPr>
          <w:rFonts w:ascii="Times New Roman;sans-serif" w:hAnsi="Times New Roman;sans-serif"/>
          <w:b w:val="false"/>
          <w:color w:val="000000"/>
          <w:sz w:val="20"/>
        </w:rPr>
        <w:t>. The Participant may be released from his or her obligations under Sections 4(h) and 4(i) hereof only if the Board, or a duly authorized committee thereof, determines, in its sole and absolute discretion, that such action is not adverse to the interests of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(k)    </w:t>
      </w:r>
      <w:r>
        <w:rPr>
          <w:rFonts w:ascii="Times New Roman;sans-serif" w:hAnsi="Times New Roman;sans-serif"/>
          <w:b w:val="false"/>
          <w:color w:val="000000"/>
          <w:sz w:val="20"/>
          <w:u w:val="single"/>
        </w:rPr>
        <w:t>Clawback Policy</w:t>
      </w:r>
      <w:r>
        <w:rPr>
          <w:rFonts w:ascii="Times New Roman;sans-serif" w:hAnsi="Times New Roman;sans-serif"/>
          <w:b w:val="false"/>
          <w:color w:val="000000"/>
          <w:sz w:val="20"/>
        </w:rPr>
        <w:t xml:space="preserve">. Notwithstanding anything to the contrary contained herein, in consideration of the grant of this award, the Participant agrees that the Restricted Stock Units will be subject to forfeiture or repayment to the extent provided for in the Republic Services, Inc. Clawback Policy, as it may be amended or restated from time to time, or in accordance with any rules or regulations adopted by the Securities and Exchange Commission and the New York Stock Exchange pursuant to Section 10D of the Securities Exchange Act of 1934 or other applicable law. </w:t>
      </w:r>
    </w:p>
    <w:p>
      <w:pPr>
        <w:pStyle w:val="TextBody"/>
        <w:bidi w:val="0"/>
        <w:spacing w:lineRule="auto" w:line="288" w:before="120" w:after="120"/>
        <w:ind w:left="0" w:right="0" w:hanging="360"/>
        <w:jc w:val="both"/>
        <w:rPr/>
      </w:pPr>
      <w:r>
        <w:rPr>
          <w:rFonts w:ascii="Times New Roman;sans-serif" w:hAnsi="Times New Roman;sans-serif"/>
          <w:b w:val="false"/>
          <w:color w:val="000000"/>
          <w:sz w:val="20"/>
        </w:rPr>
        <w:t>5.    </w:t>
      </w:r>
      <w:r>
        <w:rPr>
          <w:rFonts w:ascii="Times New Roman;sans-serif" w:hAnsi="Times New Roman;sans-serif"/>
          <w:b w:val="false"/>
          <w:color w:val="000000"/>
          <w:sz w:val="20"/>
          <w:u w:val="single"/>
        </w:rPr>
        <w:t>Change of Control or Capital Structure</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Change in Capital Structure</w:t>
      </w:r>
      <w:r>
        <w:rPr>
          <w:rFonts w:ascii="Times New Roman;sans-serif" w:hAnsi="Times New Roman;sans-serif"/>
          <w:b w:val="false"/>
          <w:color w:val="000000"/>
          <w:sz w:val="20"/>
        </w:rPr>
        <w:t>. Subject to any required action by the shareholders of the Company, the number of Restricted Stock Units covered by this award shall be proportionately adjusted and the terms of the restrictions on such Restricted Stock Units shall be adjusted as the Committee shall determine to be equitably required for any increase or decrease in the number of issued and outstanding shares of Common Stock of the Company resulting from any stock dividend (but only on the Common Stock), stock split, subdivision, combination, reclassification, recapitalization or general issuance to the holders of Common Stock of rights to purchase Common Stock at substantially below Fair Market Value or any change in the number of such shares outstanding effected without receipt of cash or property or labor or services by the Company or for any spin-off, spin-out, split-up, split-off or other distribution of assets to shareholders.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Change in Control</w:t>
      </w:r>
      <w:r>
        <w:rPr>
          <w:rFonts w:ascii="Times New Roman;sans-serif" w:hAnsi="Times New Roman;sans-serif"/>
          <w:b w:val="false"/>
          <w:color w:val="000000"/>
          <w:sz w:val="20"/>
        </w:rPr>
        <w:t>. The award of Restricted Stock Units shall not become immediately vested in the event that a Change in Control occurs, except to the extent required in any employment agreement or consulting agreement between the Company and the Participant or under the Company’s Executive Separation Policy, as amended from time to time and as applicable. In the event of a change in the Common Stock as presently constituted, which is limited to a change in all of its authorized shares without par value into the same number of shares with par value, the shares resulting from any such change shall be deemed to be the Common Stock within the meaning of the Plan.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Other Adjustments</w:t>
      </w:r>
      <w:r>
        <w:rPr>
          <w:rFonts w:ascii="Times New Roman;sans-serif" w:hAnsi="Times New Roman;sans-serif"/>
          <w:b w:val="false"/>
          <w:color w:val="000000"/>
          <w:sz w:val="20"/>
        </w:rPr>
        <w:t>. The award of Restricted Stock Units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pStyle w:val="TextBody"/>
        <w:bidi w:val="0"/>
        <w:spacing w:lineRule="auto" w:line="288" w:before="120" w:after="120"/>
        <w:ind w:left="0" w:right="0" w:firstLine="648"/>
        <w:jc w:val="both"/>
        <w:rPr/>
      </w:pPr>
      <w:r>
        <w:rPr>
          <w:rFonts w:ascii="Times New Roman;sans-serif" w:hAnsi="Times New Roman;sans-serif"/>
          <w:b w:val="false"/>
          <w:color w:val="000000"/>
          <w:sz w:val="20"/>
        </w:rPr>
        <w:t>6.    </w:t>
      </w:r>
      <w:r>
        <w:rPr>
          <w:rFonts w:ascii="Times New Roman;sans-serif" w:hAnsi="Times New Roman;sans-serif"/>
          <w:b w:val="false"/>
          <w:color w:val="000000"/>
          <w:sz w:val="20"/>
          <w:u w:val="single"/>
        </w:rPr>
        <w:t>Governing Law and Venue</w:t>
      </w:r>
      <w:r>
        <w:rPr>
          <w:rFonts w:ascii="Times New Roman;sans-serif" w:hAnsi="Times New Roman;sans-serif"/>
          <w:b w:val="false"/>
          <w:color w:val="000000"/>
          <w:sz w:val="20"/>
        </w:rPr>
        <w:t>. This Agreement shall be governed by and construed in accordance with the laws of the State of Delaware, without regard to its principles of conflict of laws. The parties agree that any action, suit or proceeding arising out of or related to this Agreement or the relationship of the Participant and the Company, shall be instituted only in the state or federal courts located in Maricopa County in the State of Arizona, and each party waives any objection which such party may now or hereafter have to such venue or jurisdictional court in any action, suit, or proceeding. Any and all services of process and any other notice in any such action, suit or proceeding shall be effective against any party if given by mail (registered or certified where possible, return receipt requested), postage prepaid, mailed to such party at the address set forth herein.</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7.    </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The invalidity or enforceability of any one or more provisions of this Agreement shall not affect the validity or enforceability of any other provision of this Agreement, which shall remain in full force and effect. In the event that a court of competent jurisdiction should determine that any time period provided for in Section 4(h) or 4(k) is unenforceable, then such period shall be reduced to the longest period of time which such court shall deem enforceable, taking into consideration the purpose and intent of the Plan to serve the interests of the Company and its shareholders.</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6</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0"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8.    </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or other communications with respect to the Restricted Stock Units shall be deemed given and delivered in person or mailed by registered or certified mail (return receipt requested, postage prepaid) to the Company’s Stock Administrator at the following address (or such other address, as shall be specified by like notice of a change of address) and shall be effective upon receipt: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 Administrator</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Republic Services, Inc.</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18500 N. Allied Way</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Phoenix, AZ 85054</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9.    </w:t>
      </w:r>
      <w:r>
        <w:rPr>
          <w:rFonts w:ascii="Times New Roman;sans-serif" w:hAnsi="Times New Roman;sans-serif"/>
          <w:b w:val="false"/>
          <w:color w:val="000000"/>
          <w:sz w:val="20"/>
          <w:u w:val="single"/>
        </w:rPr>
        <w:t>Waiver</w:t>
      </w:r>
      <w:r>
        <w:rPr>
          <w:rFonts w:ascii="Times New Roman;sans-serif" w:hAnsi="Times New Roman;sans-serif"/>
          <w:b w:val="false"/>
          <w:color w:val="000000"/>
          <w:sz w:val="20"/>
        </w:rPr>
        <w:t>. The failure of any party at any time to require strict performance of any condition, promise, agreement or understanding set forth in this Agreement shall not be construed as a waiver or relinquishment of the right to require strict performance of the same condition, promise, agreement or understanding at a subsequent time.</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10.    </w:t>
      </w:r>
      <w:r>
        <w:rPr>
          <w:rFonts w:ascii="Times New Roman;sans-serif" w:hAnsi="Times New Roman;sans-serif"/>
          <w:b w:val="false"/>
          <w:color w:val="000000"/>
          <w:sz w:val="20"/>
          <w:u w:val="single"/>
        </w:rPr>
        <w:t>Interpretation/Provisions of Plan Control</w:t>
      </w:r>
      <w:r>
        <w:rPr>
          <w:rFonts w:ascii="Times New Roman;sans-serif" w:hAnsi="Times New Roman;sans-serif"/>
          <w:b w:val="false"/>
          <w:color w:val="000000"/>
          <w:sz w:val="20"/>
        </w:rPr>
        <w:t>. In the event of any conflict between the provisions of the Plan and the provisions of this Agreement, the provisions of the Plan shall govern. The Participant hereby accepts as final, conclusive and binding, any decisions by the Committee with respect to the interpretation or administration of the Plan and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11.    </w:t>
      </w:r>
      <w:r>
        <w:rPr>
          <w:rFonts w:ascii="Times New Roman;sans-serif" w:hAnsi="Times New Roman;sans-serif"/>
          <w:b w:val="false"/>
          <w:color w:val="000000"/>
          <w:sz w:val="20"/>
          <w:u w:val="single"/>
        </w:rPr>
        <w:t>Participant Bound by Plan</w:t>
      </w:r>
      <w:r>
        <w:rPr>
          <w:rFonts w:ascii="Times New Roman;sans-serif" w:hAnsi="Times New Roman;sans-serif"/>
          <w:b w:val="false"/>
          <w:color w:val="000000"/>
          <w:sz w:val="20"/>
        </w:rPr>
        <w:t>. The Participant hereby acknowledges receipt of a copy of the Plan and agrees to be bound by all the terms, conditions and provisions thereof.</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12.    </w:t>
      </w:r>
      <w:r>
        <w:rPr>
          <w:rFonts w:ascii="Times New Roman;sans-serif" w:hAnsi="Times New Roman;sans-serif"/>
          <w:b w:val="false"/>
          <w:color w:val="000000"/>
          <w:sz w:val="20"/>
          <w:u w:val="single"/>
        </w:rPr>
        <w:t>Binding Effect</w:t>
      </w:r>
      <w:r>
        <w:rPr>
          <w:rFonts w:ascii="Times New Roman;sans-serif" w:hAnsi="Times New Roman;sans-serif"/>
          <w:b w:val="false"/>
          <w:color w:val="000000"/>
          <w:sz w:val="20"/>
        </w:rPr>
        <w:t>. Subject to the limitations stated in this Agreement and in the Plan, this Agreement shall be binding upon and inure to the benefit of the successors and assigns of the Company and the Participant’s heirs, legatees, distributees and personal representatives.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13.    </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Agreement may be signed in any number of counterparts, each of which shall be an original, with the same effect as if the signatures thereto and hereto were upon the same instrument. The facsimile or email transmission of a signed signature page or an electronic acceptance of the Agreement, by any party to the other(s), shall constitute valid execution and acceptance of this Agreement by the signing/transmitting party.</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14.    </w:t>
      </w:r>
      <w:r>
        <w:rPr>
          <w:rFonts w:ascii="Times New Roman;sans-serif" w:hAnsi="Times New Roman;sans-serif"/>
          <w:b w:val="false"/>
          <w:color w:val="000000"/>
          <w:sz w:val="20"/>
          <w:u w:val="single"/>
        </w:rPr>
        <w:t>Section 409A</w:t>
      </w:r>
      <w:r>
        <w:rPr>
          <w:rFonts w:ascii="Times New Roman;sans-serif" w:hAnsi="Times New Roman;sans-serif"/>
          <w:b w:val="false"/>
          <w:color w:val="000000"/>
          <w:sz w:val="20"/>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It is the intention of both the Company and the Participant that the benefits and rights to which the Participant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Participant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Participant and on the Company).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u w:val="single"/>
        </w:rPr>
        <w:t>No Representations as to Section 409A Compliance</w:t>
      </w:r>
      <w:r>
        <w:rPr>
          <w:rFonts w:ascii="Times New Roman;sans-serif" w:hAnsi="Times New Roman;sans-serif"/>
          <w:b w:val="false"/>
          <w:color w:val="000000"/>
          <w:sz w:val="20"/>
        </w:rPr>
        <w:t>. Notwithstanding the foregoing, the Company does not make any representation to the Participant that the Restricted Stock Units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Separation from Service</w:t>
      </w:r>
      <w:r>
        <w:rPr>
          <w:rFonts w:ascii="Times New Roman;sans-serif" w:hAnsi="Times New Roman;sans-serif"/>
          <w:b w:val="false"/>
          <w:color w:val="000000"/>
          <w:sz w:val="20"/>
        </w:rPr>
        <w:t>. If and to the extent permitted by Treasury Regulations Section 1.409A-1(h)(5) or other applicable law, the Participant provides services both as an employee of the Company and as a member of the Board, the services provided as a member of the Board shall not be taken into account in determining whether the Participant has incurred a Separation from Service for purposes of Section 4(a) hereof.</w:t>
      </w:r>
    </w:p>
    <w:p>
      <w:pPr>
        <w:pStyle w:val="TextBody"/>
        <w:bidi w:val="0"/>
        <w:spacing w:lineRule="auto" w:line="288" w:before="0" w:after="0"/>
        <w:jc w:val="right"/>
        <w:rPr>
          <w:rFonts w:ascii="Cambria;sans-serif" w:hAnsi="Cambria;sans-serif"/>
          <w:b w:val="false"/>
          <w:color w:val="000000"/>
          <w:sz w:val="20"/>
        </w:rPr>
      </w:pPr>
      <w:r>
        <w:rPr>
          <w:rFonts w:ascii="Cambria;sans-serif" w:hAnsi="Cambria;sans-serif"/>
          <w:b w:val="false"/>
          <w:color w:val="000000"/>
          <w:sz w:val="20"/>
        </w:rPr>
        <w:t>7</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1"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7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6 Month Delay for Specified Employees</w:t>
      </w:r>
      <w:r>
        <w:rPr>
          <w:rFonts w:ascii="Times New Roman;sans-serif" w:hAnsi="Times New Roman;sans-serif"/>
          <w:b w:val="false"/>
          <w:color w:val="000000"/>
          <w:sz w:val="20"/>
        </w:rPr>
        <w:t>.</w:t>
      </w:r>
      <w:r>
        <w:rPr>
          <w:color w:val="000000"/>
        </w:rPr>
        <w:t xml:space="preserve"> </w:t>
      </w:r>
    </w:p>
    <w:p>
      <w:pPr>
        <w:pStyle w:val="TextBody"/>
        <w:bidi w:val="0"/>
        <w:spacing w:lineRule="auto" w:line="288" w:before="120" w:after="120"/>
        <w:ind w:left="0" w:right="0" w:firstLine="2160"/>
        <w:jc w:val="both"/>
        <w:rPr/>
      </w:pPr>
      <w:r>
        <w:rPr>
          <w:rFonts w:ascii="Times New Roman;sans-serif" w:hAnsi="Times New Roman;sans-serif"/>
          <w:b w:val="false"/>
          <w:color w:val="000000"/>
          <w:sz w:val="20"/>
        </w:rPr>
        <w:t>(i)</w:t>
      </w:r>
      <w:r>
        <w:rPr>
          <w:color w:val="000000"/>
        </w:rPr>
        <w:t>    </w:t>
      </w:r>
      <w:r>
        <w:rPr>
          <w:rFonts w:ascii="Times New Roman;sans-serif" w:hAnsi="Times New Roman;sans-serif"/>
          <w:b w:val="false"/>
          <w:color w:val="000000"/>
          <w:sz w:val="20"/>
        </w:rPr>
        <w:t>If the Participant is a “Specified Employee,”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pStyle w:val="TextBody"/>
        <w:bidi w:val="0"/>
        <w:spacing w:lineRule="auto" w:line="288" w:before="120" w:after="12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    For purposes of this provision, the Participant shall be considered to be a “Specified Employee” if, at the time of his or her Separation from Service, the Participant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No Acceleration of Payments</w:t>
      </w:r>
      <w:r>
        <w:rPr>
          <w:rFonts w:ascii="Times New Roman;sans-serif" w:hAnsi="Times New Roman;sans-serif"/>
          <w:b w:val="false"/>
          <w:color w:val="000000"/>
          <w:sz w:val="20"/>
        </w:rPr>
        <w:t>. Neither the Company nor the Participant,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pStyle w:val="TextBody"/>
        <w:bidi w:val="0"/>
        <w:spacing w:lineRule="auto" w:line="288" w:before="120" w:after="120"/>
        <w:jc w:val="both"/>
        <w:rPr/>
      </w:pPr>
      <w:r>
        <w:rPr>
          <w:color w:val="000000"/>
        </w:rPr>
        <w:t>    </w:t>
      </w:r>
      <w:r>
        <w:rPr>
          <w:rFonts w:ascii="Times New Roman;sans-serif" w:hAnsi="Times New Roman;sans-serif"/>
          <w:b w:val="false"/>
          <w:color w:val="000000"/>
          <w:sz w:val="20"/>
        </w:rPr>
        <w:t>15.    </w:t>
      </w:r>
      <w:r>
        <w:rPr>
          <w:rFonts w:ascii="Times New Roman;sans-serif" w:hAnsi="Times New Roman;sans-serif"/>
          <w:b w:val="false"/>
          <w:color w:val="000000"/>
          <w:sz w:val="20"/>
          <w:u w:val="single"/>
        </w:rPr>
        <w:t>Fractional Restricted Stock Units</w:t>
      </w:r>
      <w:r>
        <w:rPr>
          <w:rFonts w:ascii="Times New Roman;sans-serif" w:hAnsi="Times New Roman;sans-serif"/>
          <w:b w:val="false"/>
          <w:color w:val="000000"/>
          <w:sz w:val="20"/>
        </w:rPr>
        <w:t>. Notwithstanding any provisions in this Agreement to the contrary, fractional Restricted Stock Units shall not vest until the date on which the Restricted Stock Units become 100% vested under Section 3 hereof, and no share of Common Stock will be issued for the fractional Restricted Stock Unit unless the fractional Restricted Stock Unit is for at least one-half of a Restricted Stock Unit; provided that if the Company determines to allow fractional shares of Common Stock to be distributed or made available under the Company’s compensation and benefit plans, any fractional share of Common Stock due under this Plan shall be distributed in the form of a fractional share of Common Stock, and the foregoing rounding rules shall cease to apply.</w:t>
      </w:r>
    </w:p>
    <w:p>
      <w:pPr>
        <w:pStyle w:val="TextBody"/>
        <w:bidi w:val="0"/>
        <w:spacing w:lineRule="auto" w:line="288" w:before="120" w:after="120"/>
        <w:ind w:left="0" w:right="0" w:firstLine="72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Company has caused this Agreement to be signed by a duly authorized officer, and the Participant has affixed his or her signature hereto.</w:t>
      </w:r>
    </w:p>
    <w:p>
      <w:pPr>
        <w:pStyle w:val="TextBody"/>
        <w:bidi w:val="0"/>
        <w:spacing w:lineRule="auto" w:line="288" w:before="120" w:after="120"/>
        <w:jc w:val="left"/>
        <w:rPr>
          <w:color w:val="000000"/>
        </w:rPr>
      </w:pPr>
      <w:r>
        <w:rPr>
          <w:color w:val="000000"/>
        </w:rPr>
        <w:t>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REPUBLIC SERVICES, INC.</w: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_____________________________</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By: Jon Vander Ark</w:t>
      </w:r>
    </w:p>
    <w:p>
      <w:pPr>
        <w:pStyle w:val="TextBody"/>
        <w:bidi w:val="0"/>
        <w:spacing w:lineRule="auto" w:line="288"/>
        <w:jc w:val="left"/>
        <w:rPr>
          <w:color w:val="000000"/>
        </w:rPr>
      </w:pPr>
      <w:r>
        <w:rPr>
          <w:color w:val="000000"/>
        </w:rPr>
        <w:t xml:space="preserve">                         </w:t>
      </w:r>
      <w:r>
        <w:rPr>
          <w:rFonts w:ascii="Times New Roman;sans-serif" w:hAnsi="Times New Roman;sans-serif"/>
          <w:b w:val="false"/>
          <w:color w:val="000000"/>
          <w:sz w:val="20"/>
        </w:rPr>
        <w:t>Chief Executive Officer and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10.27</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2"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bidi w:val="0"/>
                        <w:spacing w:lineRule="auto" w:line="333" w:before="0" w:after="60"/>
                        <w:jc w:val="center"/>
                        <w:rPr/>
                      </w:pPr>
                      <w:r>
                        <w:rPr>
                          <w:rFonts w:ascii="Open Sans;sans-serif" w:hAnsi="Open Sans;sans-serif"/>
                          <w:b w:val="false"/>
                          <w:color w:val="003F66"/>
                          <w:sz w:val="16"/>
                        </w:rPr>
                        <w:t>18500 N. Allied Way Phoenix, AZ 85054</w:t>
                      </w:r>
                      <w:r>
                        <w:rPr>
                          <w:color w:val="00198C"/>
                        </w:rPr>
                        <w:t xml:space="preserve"> </w:t>
                      </w:r>
                      <w:r>
                        <w:rPr>
                          <w:rFonts w:ascii="Open Sans;sans-serif" w:hAnsi="Open Sans;sans-serif"/>
                          <w:b/>
                          <w:color w:val="BD2532"/>
                          <w:sz w:val="16"/>
                        </w:rPr>
                        <w:t>|</w:t>
                      </w:r>
                      <w:r>
                        <w:rPr>
                          <w:color w:val="BD2532"/>
                        </w:rPr>
                        <w:t xml:space="preserve"> </w:t>
                      </w:r>
                      <w:r>
                        <w:rPr>
                          <w:rFonts w:ascii="Open Sans;sans-serif" w:hAnsi="Open Sans;sans-serif"/>
                          <w:b w:val="false"/>
                          <w:color w:val="003F66"/>
                          <w:sz w:val="16"/>
                        </w:rPr>
                        <w:t xml:space="preserve">RepublicServices.com </w:t>
                      </w:r>
                      <w:r>
                        <w:rPr>
                          <w:rFonts w:ascii="Open Sans;sans-serif" w:hAnsi="Open Sans;sans-serif"/>
                          <w:b/>
                          <w:color w:val="BD2532"/>
                          <w:sz w:val="16"/>
                        </w:rPr>
                        <w:t>|</w:t>
                      </w:r>
                      <w:r>
                        <w:rPr>
                          <w:color w:val="00198C"/>
                        </w:rPr>
                        <w:t xml:space="preserve"> </w:t>
                      </w:r>
                      <w:r>
                        <w:rPr>
                          <w:rFonts w:ascii="Open Sans;sans-serif" w:hAnsi="Open Sans;sans-serif"/>
                          <w:b w:val="false"/>
                          <w:color w:val="003F66"/>
                          <w:sz w:val="16"/>
                        </w:rPr>
                        <w:t>Environmental Services, Recycling &amp; Waste</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AMENDMENT NO. 1 TO THE REPUBLIC SERVICES, INC.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2018 EMPLOYEE STOCK PURCHASE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Republic Services, Inc., a Delaware corporation (the “Company”), adopted the Republic Services, Inc. 2018 Employee Stock Purchase Plan (the “Plan”), which was approved by the Company’s shareholders on May 11, 2018 at the Company’s 2018 Annual Meeting of Shareholders; and</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capitalized terms used herein and not herein defined shall have the respective meanings ascribed thereto in the Plan; and</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pursuant to the Section 18 of the Plan, the board of directors of the Company (the “Board”) reserved the right to amend the Plan; and</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Board deems it advisable and in the best interest of the Company and its stockholders to amend the Plan to provide for the purchase of fractional shares;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has determined that such amendment does not require the approval of the Company’s stockholders.</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NOW THEREFORE, </w:t>
      </w:r>
      <w:r>
        <w:rPr>
          <w:rFonts w:ascii="Times New Roman;sans-serif" w:hAnsi="Times New Roman;sans-serif"/>
          <w:b w:val="false"/>
          <w:color w:val="000000"/>
          <w:sz w:val="24"/>
        </w:rPr>
        <w:t>the Plan is hereby amended, effective February 4, 2025, as follows: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1.Section 8(a) of the Plan is amended in its entirety to read as follows:</w: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4"/>
        </w:rPr>
        <w:t>(a)    A participant’s option for the purchase of Common Stock shall be exercised automatically on the Exercise Date (even if such participant is no longer employed with the Company), and the maximum number of shares (including fractional shares) subject to an option shall be purchased for such participant at the applicable Purchase Price with the accumulated payroll deductions in his or her account.”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2.All other provisions of the Plan remain unchanged and in full force and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IN WITNESS WHEREOF, the Company has executed this Amendment on this 4</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February, 2025.</w:t>
      </w:r>
    </w:p>
    <w:p>
      <w:pPr>
        <w:pStyle w:val="TextBody"/>
        <w:bidi w:val="0"/>
        <w:spacing w:lineRule="atLeast" w:line="273" w:before="6" w:after="283"/>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REPUBLIC SERVICES, INC.</w:t>
      </w:r>
    </w:p>
    <w:p>
      <w:pPr>
        <w:pStyle w:val="TextBody"/>
        <w:bidi w:val="0"/>
        <w:spacing w:before="6" w:after="283"/>
        <w:ind w:left="0" w:right="0" w:firstLine="720"/>
        <w:jc w:val="left"/>
        <w:rPr/>
      </w:pPr>
      <w:r>
        <w:rPr/>
      </w:r>
    </w:p>
    <w:p>
      <w:pPr>
        <w:pStyle w:val="TextBody"/>
        <w:bidi w:val="0"/>
        <w:spacing w:lineRule="atLeast" w:line="273" w:before="6" w:after="283"/>
        <w:ind w:left="0" w:right="0" w:firstLine="72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Catharine D. Ellingsen        </w:t>
      </w:r>
    </w:p>
    <w:p>
      <w:pPr>
        <w:pStyle w:val="TextBody"/>
        <w:bidi w:val="0"/>
        <w:spacing w:before="6" w:after="283"/>
        <w:ind w:left="0" w:right="0" w:firstLine="720"/>
        <w:jc w:val="left"/>
        <w:rPr/>
      </w:pPr>
      <w:r>
        <w:rPr/>
      </w:r>
    </w:p>
    <w:p>
      <w:pPr>
        <w:pStyle w:val="TextBody"/>
        <w:bidi w:val="0"/>
        <w:spacing w:lineRule="atLeast" w:line="273" w:before="6"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Catharine D. Ellingsen            </w:t>
      </w:r>
    </w:p>
    <w:p>
      <w:pPr>
        <w:pStyle w:val="TextBody"/>
        <w:bidi w:val="0"/>
        <w:spacing w:before="6" w:after="283"/>
        <w:ind w:left="0" w:right="0" w:firstLine="720"/>
        <w:jc w:val="left"/>
        <w:rPr/>
      </w:pPr>
      <w:r>
        <w:rPr/>
      </w:r>
    </w:p>
    <w:p>
      <w:pPr>
        <w:pStyle w:val="TextBody"/>
        <w:bidi w:val="0"/>
        <w:spacing w:lineRule="atLeast" w:line="273" w:before="6"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Vice President, Chief Legal Officer,</w:t>
      </w:r>
    </w:p>
    <w:p>
      <w:pPr>
        <w:pStyle w:val="TextBody"/>
        <w:bidi w:val="0"/>
        <w:spacing w:lineRule="atLeast" w:line="273"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Ethics &amp; Compliance Officer and Corporate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10.28</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50520"/>
                <wp:effectExtent l="0" t="0" r="0" b="0"/>
                <wp:wrapNone/>
                <wp:docPr id="213" name="Frame2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07.4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AMENDMENT NO. 1 TO THE REPUBLIC SERVICES, INC.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2021 STOCK INCENTIVE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Republic Services, Inc., a Delaware corporation (the “Company”), adopted the Republic Services, Inc. 2021 Stock Incentive Plan (the “Plan”), which was approved by the Company’s shareholders on May 8, 2020 at the Company’s 2020 Annual Meeting of Shareholders; and</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capitalized terms used herein and not herein defined shall have the respective meanings ascribed thereto in the Plan; and</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pursuant to the Section 17(k) of the Plan, the board of directors of the Company (the “Board”) reserved the right to amend the Plan; and</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Board deems it advisable and in the best interest of the Company and its stockholders to amend the Plan to permit the issuance of fractional shares of Common Stock;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Board has determined that such amendment does not require the approval of the Company’s stockholders.</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NOW THEREFORE, </w:t>
      </w:r>
      <w:r>
        <w:rPr>
          <w:rFonts w:ascii="Times New Roman;sans-serif" w:hAnsi="Times New Roman;sans-serif"/>
          <w:b w:val="false"/>
          <w:color w:val="000000"/>
          <w:sz w:val="24"/>
        </w:rPr>
        <w:t>the Plan is hereby amended, effective February 4, 2025, as follows: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1.Section 6(d) of the Plan is amended in its entirety to read as follows: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rPr>
        <w:t>(d)    </w:t>
      </w:r>
      <w:r>
        <w:rPr>
          <w:rFonts w:ascii="Times New Roman;sans-serif" w:hAnsi="Times New Roman;sans-serif"/>
          <w:b w:val="false"/>
          <w:i/>
          <w:color w:val="000000"/>
          <w:sz w:val="24"/>
          <w:u w:val="single"/>
        </w:rPr>
        <w:t>Recapitalization</w:t>
      </w:r>
      <w:r>
        <w:rPr>
          <w:rFonts w:ascii="Times New Roman;sans-serif" w:hAnsi="Times New Roman;sans-serif"/>
          <w:b w:val="false"/>
          <w:color w:val="000000"/>
          <w:sz w:val="24"/>
        </w:rPr>
        <w:t>. If the outstanding shares of Common Stock are increased or decreased or changed into or exchanged for a different number or kind of shares or other securities of Republic by reason of any recapitalization, reclassification, reorganization, stock split, reverse split, combination of shares, exchange of shares, stock dividend or other distribution payable in capital stock of Republic or other increase or decrease in such shares effected without receipt of consideration by Republic occurring after the Effective Date, an appropriate and proportionate adjustment shall be made by the Committee to (i) the aggregate number and kind of shares of Common Stock available under the Plan; (ii) the aggregate limit of the number of shares of Common Stock that may be granted pursuant to an Incentive Stock Option, (iii) the limits on the number of shares of Common Stock that may be granted to an Eligible Individual in any one fiscal year; (iv) the calculation of the reduction of shares of Common Stock available under the Plan; (v) the number and kind of shares of Common Stock issuable upon exercise (or vesting) of outstanding Awards; (vi) the Exercise Price of outstanding Options or Stock Appreciation Rights granted under the Plan and/or (vii) number of shares of Common Stock subject to Awards granted to Non-Employee Directors under Section 13. Any adjustments made under this Section 6(d) with respect to any Incentive Stock Options must be made in accordance with Code Section 424.”</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67665"/>
                <wp:effectExtent l="0" t="0" r="0" b="0"/>
                <wp:wrapNone/>
                <wp:docPr id="214" name="Frame2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2.Section 10(e)(ii) of the Plan is amended in its entirety to read as follows: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rPr>
        <w:t>(ii)    </w:t>
      </w:r>
      <w:r>
        <w:rPr>
          <w:rFonts w:ascii="Times New Roman;sans-serif" w:hAnsi="Times New Roman;sans-serif"/>
          <w:b w:val="false"/>
          <w:i/>
          <w:color w:val="000000"/>
          <w:sz w:val="24"/>
          <w:u w:val="single"/>
        </w:rPr>
        <w:t>Termination of Employment for Death or Disability</w:t>
      </w:r>
      <w:r>
        <w:rPr>
          <w:rFonts w:ascii="Times New Roman;sans-serif" w:hAnsi="Times New Roman;sans-serif"/>
          <w:b w:val="false"/>
          <w:color w:val="000000"/>
          <w:sz w:val="24"/>
        </w:rPr>
        <w:t>. If a Participant’s employment or other service with the Company terminates by reason of the Participant’s death or Disability prior to the end of a Performance Period, the Participant, or the Participant’s estate, devisee or heir at law (whichever is applicable), shall be entitled to a payment of the Participant’s outstanding Performance Units and Performance Share at the end of the applicable Performance Period, pursuant to the terms of the Plan and the Participant’s Award Agreement; provided, however, that the Participant shall be deemed to have earned only that proportion of the Performance Units or Performance Shares granted to the Participant under such Award as the number of months of the Performance Period which have elapsed since the first day of the Performance Period for which the Award was granted to the end of the month in which the Participant’s termination of employment or other service occurs, bears to the total number of months in the Performance Period, subject to the attainment of the Performance Goals associated with the Award as determined by the Committee. The right to receive any remaining Performance Units or Performance Shares shall be canceled and forfeited.”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3.All other provisions of the Plan remain unchanged and in full force and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executed this Amendment on this 4th day of February, 2025.</w:t>
      </w:r>
    </w:p>
    <w:p>
      <w:pPr>
        <w:pStyle w:val="TextBody"/>
        <w:bidi w:val="0"/>
        <w:spacing w:before="0" w:after="240"/>
        <w:ind w:left="0" w:right="0" w:firstLine="720"/>
        <w:jc w:val="both"/>
        <w:rPr/>
      </w:pPr>
      <w:r>
        <w:rPr/>
      </w:r>
    </w:p>
    <w:p>
      <w:pPr>
        <w:pStyle w:val="TextBody"/>
        <w:bidi w:val="0"/>
        <w:spacing w:lineRule="atLeast" w:line="273" w:before="6" w:after="283"/>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REPUBLIC SERVICES, INC.</w:t>
      </w:r>
    </w:p>
    <w:p>
      <w:pPr>
        <w:pStyle w:val="TextBody"/>
        <w:bidi w:val="0"/>
        <w:spacing w:before="6" w:after="283"/>
        <w:ind w:left="0" w:right="0" w:firstLine="720"/>
        <w:jc w:val="left"/>
        <w:rPr/>
      </w:pPr>
      <w:r>
        <w:rPr/>
      </w:r>
    </w:p>
    <w:p>
      <w:pPr>
        <w:pStyle w:val="TextBody"/>
        <w:bidi w:val="0"/>
        <w:spacing w:before="6" w:after="283"/>
        <w:ind w:left="0" w:right="0" w:firstLine="720"/>
        <w:jc w:val="left"/>
        <w:rPr/>
      </w:pPr>
      <w:r>
        <w:rPr/>
      </w:r>
    </w:p>
    <w:p>
      <w:pPr>
        <w:pStyle w:val="TextBody"/>
        <w:bidi w:val="0"/>
        <w:spacing w:lineRule="atLeast" w:line="273" w:before="6" w:after="283"/>
        <w:ind w:left="0" w:right="0" w:firstLine="72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Catharine D. Ellingsen        </w:t>
      </w:r>
    </w:p>
    <w:p>
      <w:pPr>
        <w:pStyle w:val="TextBody"/>
        <w:bidi w:val="0"/>
        <w:spacing w:before="6" w:after="283"/>
        <w:ind w:left="0" w:right="0" w:firstLine="720"/>
        <w:jc w:val="left"/>
        <w:rPr/>
      </w:pPr>
      <w:r>
        <w:rPr/>
      </w:r>
    </w:p>
    <w:p>
      <w:pPr>
        <w:pStyle w:val="TextBody"/>
        <w:bidi w:val="0"/>
        <w:spacing w:lineRule="atLeast" w:line="273" w:before="6"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Name: Catharine D. Ellingsen            </w:t>
      </w:r>
    </w:p>
    <w:p>
      <w:pPr>
        <w:pStyle w:val="TextBody"/>
        <w:bidi w:val="0"/>
        <w:spacing w:before="6" w:after="283"/>
        <w:ind w:left="0" w:right="0" w:firstLine="720"/>
        <w:jc w:val="left"/>
        <w:rPr/>
      </w:pPr>
      <w:r>
        <w:rPr/>
      </w:r>
    </w:p>
    <w:p>
      <w:pPr>
        <w:pStyle w:val="TextBody"/>
        <w:bidi w:val="0"/>
        <w:spacing w:lineRule="atLeast" w:line="273" w:before="6"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Vice President, Chief Legal Officer,</w:t>
      </w:r>
    </w:p>
    <w:p>
      <w:pPr>
        <w:pStyle w:val="TextBody"/>
        <w:bidi w:val="0"/>
        <w:spacing w:lineRule="atLeast" w:line="273"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Ethics &amp; Compliance Officer and Corporate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67665"/>
                <wp:effectExtent l="0" t="0" r="0" b="0"/>
                <wp:wrapNone/>
                <wp:docPr id="215" name="Frame2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43100" cy="609600"/>
            <wp:effectExtent l="0" t="0" r="0" b="0"/>
            <wp:docPr id="2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7" descr=""/>
                    <pic:cNvPicPr>
                      <a:picLocks noChangeAspect="1" noChangeArrowheads="1"/>
                    </pic:cNvPicPr>
                  </pic:nvPicPr>
                  <pic:blipFill>
                    <a:blip r:embed="rId131"/>
                    <a:stretch>
                      <a:fillRect/>
                    </a:stretch>
                  </pic:blipFill>
                  <pic:spPr bwMode="auto">
                    <a:xfrm>
                      <a:off x="0" y="0"/>
                      <a:ext cx="1943100" cy="60960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4A7C"/>
          <w:sz w:val="32"/>
        </w:rPr>
      </w:pPr>
      <w:r>
        <w:rPr>
          <w:rFonts w:ascii="Arial;sans-serif" w:hAnsi="Arial;sans-serif"/>
          <w:b/>
          <w:color w:val="004A7C"/>
          <w:sz w:val="32"/>
        </w:rPr>
        <w:t>INSIDER TRADING POLICY</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4A7C"/>
          <w:sz w:val="24"/>
        </w:rPr>
      </w:pPr>
      <w:r>
        <w:rPr>
          <w:rFonts w:ascii="Arial;sans-serif" w:hAnsi="Arial;sans-serif"/>
          <w:b w:val="false"/>
          <w:color w:val="004A7C"/>
          <w:sz w:val="24"/>
        </w:rPr>
        <w:t xml:space="preserve">PURPOSE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purpose of this Insider Trading Policy (the “Policy”) is to describe Republic Services, Inc.’s and its subsidiaries’ (“Republic” or the “Company”) policies for compliance with federal securities laws regarding trading in securities on the basis of Material Nonpublic Information.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4A7C"/>
          <w:sz w:val="24"/>
        </w:rPr>
      </w:pPr>
      <w:r>
        <w:rPr>
          <w:rFonts w:ascii="Arial;sans-serif" w:hAnsi="Arial;sans-serif"/>
          <w:b w:val="false"/>
          <w:color w:val="004A7C"/>
          <w:sz w:val="24"/>
        </w:rPr>
        <w:t xml:space="preserve">SCOPE </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This Policy applies to all employees, officers, directors, consultants and contractors of the Company (collectively referred to in this Policy as “Company Representatives”).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4A7C"/>
          <w:sz w:val="24"/>
        </w:rPr>
      </w:pPr>
      <w:r>
        <w:rPr>
          <w:rFonts w:ascii="Arial;sans-serif" w:hAnsi="Arial;sans-serif"/>
          <w:b w:val="false"/>
          <w:color w:val="004A7C"/>
          <w:sz w:val="24"/>
        </w:rPr>
        <w:t xml:space="preserve">REQUIREMENTS AND RESPONSIBILITIES </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Policy Statement</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All Company Representatives who possess Material Nonpublic Information about the Company are prohibited from purchasing or selling securities, including debt and equity securities, of the Company (collectively referred to in this Policy as “Company Securities”) or passing on such Material Nonpublic Information to others. Additionally, all Company Representatives are prohibited from trading in the securities of any other company if they are in possession of Material Nonpublic Information about that company that they obtained in the course of their employment with or service to the Company.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Company Representatives are prohibited from engaging in certain specific transactions (“Prohibited Transactions”) at all times, regardless of their possession of Material Nonpublic Information. These Prohibited Transactions include hedging, pledging, “short sales,” and “in-and-out” trading of Company Securities, among other Prohibited Transactions, as more fully described in the related Insider Trading Procedures (the “Procedures”). </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color w:val="000000"/>
          <w:sz w:val="20"/>
        </w:rPr>
        <w:t xml:space="preserve">This Policy and the Procedures do not apply to the following involving Company Representatives who are </w:t>
      </w:r>
      <w:r>
        <w:rPr>
          <w:rFonts w:ascii="Arial;sans-serif" w:hAnsi="Arial;sans-serif"/>
          <w:b w:val="false"/>
          <w:color w:val="000000"/>
          <w:sz w:val="20"/>
          <w:u w:val="single"/>
        </w:rPr>
        <w:t>not</w:t>
      </w:r>
      <w:r>
        <w:rPr>
          <w:color w:val="000000"/>
        </w:rPr>
        <w:t xml:space="preserve"> </w:t>
      </w:r>
      <w:r>
        <w:rPr>
          <w:rFonts w:ascii="Arial;sans-serif" w:hAnsi="Arial;sans-serif"/>
          <w:b w:val="false"/>
          <w:color w:val="000000"/>
          <w:sz w:val="20"/>
        </w:rPr>
        <w:t>Insiders:</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 xml:space="preserve">The exercise of an employee stock option (where the acquired shares are not sold) or the exercise of a tax withholding right pursuant to which a Company Representative elects to have the Company withhold shares subject to an option to satisfy tax withholding requirements. </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The exercise of a tax withholding right pursuant to which a Company Representative elects to tender back to the Company shares of vested restricted stock or to have the Company withhold shares issuable upon vesting of restricted stock units to satisfy tax withholding requirements at the time of vesting.</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This Policy and the Procedures do apply, however, to the following:</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Any sale of stock following a Company Representative’s exercise of an option as part of a broker-assisted cashless exercise of an option or any other market sale for the purpose of generating cash needed to pay the exercise price of an option or otherwise.</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Any Company Representative’s sale of stock following the vesting of shares of restricted stock or restricted stock units.</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31445"/>
                <wp:effectExtent l="0" t="0" r="0" b="0"/>
                <wp:wrapNone/>
                <wp:docPr id="217" name="Frame2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1</w:t>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 xml:space="preserve">Refer to the Procedures for information regarding responsibilities, controls and processes that must be followed to comply with this Policy.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4A7C"/>
          <w:sz w:val="24"/>
        </w:rPr>
      </w:pPr>
      <w:r>
        <w:rPr>
          <w:rFonts w:ascii="Arial;sans-serif" w:hAnsi="Arial;sans-serif"/>
          <w:b w:val="false"/>
          <w:color w:val="004A7C"/>
          <w:sz w:val="24"/>
        </w:rPr>
        <w:t xml:space="preserve">CONSEQUENCES OF NON-COMPLIANCE </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Any Republic employee, regardless of position or title, who violates any provision of this policy, may be subject to disciplinary action, including in certain circumstances termination of employment. Violations by any third party acting on behalf of the Company may result in removal of assignment.</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4A7C"/>
          <w:sz w:val="24"/>
        </w:rPr>
      </w:pPr>
      <w:r>
        <w:rPr>
          <w:rFonts w:ascii="Arial;sans-serif" w:hAnsi="Arial;sans-serif"/>
          <w:b w:val="false"/>
          <w:color w:val="004A7C"/>
          <w:sz w:val="24"/>
        </w:rPr>
        <w:t xml:space="preserve">REPORTING AND PROTECTION FROM RETALIATION </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Employees are encouraged to speak up without fear of retaliation when they see or suspect policy violations. Retaliation is prohibited and will not be tolerated at Republic. Retaliation means that an employee is subjected to a negative consequence for reporting a concern under this Policy or participating in an investigation under this Policy.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4A7C"/>
          <w:sz w:val="24"/>
        </w:rPr>
      </w:pPr>
      <w:r>
        <w:rPr>
          <w:rFonts w:ascii="Arial;sans-serif" w:hAnsi="Arial;sans-serif"/>
          <w:b w:val="false"/>
          <w:color w:val="004A7C"/>
          <w:sz w:val="24"/>
        </w:rPr>
        <w:t xml:space="preserve">DEFINITIONS </w:t>
      </w:r>
    </w:p>
    <w:p>
      <w:pPr>
        <w:pStyle w:val="TextBody"/>
        <w:bidi w:val="0"/>
        <w:spacing w:lineRule="auto" w:line="319" w:before="0" w:after="0"/>
        <w:jc w:val="left"/>
        <w:rPr>
          <w:color w:val="000000"/>
        </w:rPr>
      </w:pPr>
      <w:r>
        <w:rPr>
          <w:color w:val="000000"/>
        </w:rPr>
        <w:t>“</w:t>
      </w:r>
      <w:r>
        <w:rPr>
          <w:rFonts w:ascii="Arial;sans-serif" w:hAnsi="Arial;sans-serif"/>
          <w:b w:val="false"/>
          <w:color w:val="000000"/>
          <w:sz w:val="20"/>
        </w:rPr>
        <w:t xml:space="preserve">Insiders” means the Company’s Board of Directors (“directors”) and officers as defined pursuant to Section 16 of the Securities Exchange Act of 1934, as amended. </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w:t>
      </w:r>
      <w:r>
        <w:rPr>
          <w:rFonts w:ascii="Arial;sans-serif" w:hAnsi="Arial;sans-serif"/>
          <w:b w:val="false"/>
          <w:color w:val="000000"/>
          <w:sz w:val="20"/>
        </w:rPr>
        <w:t>Material Nonpublic Information” means any information about a company, or its business, not generally available to the public which a reasonable investor would consider important in deciding whether to buy, hold, or sell any securities in the company. The SEC and the courts have generally given a broad interpretation to what is considered “material information.” The following is a non-exhaustive list of examples of Material Nonpublic Information: (i) information about a transaction that will significantly affect the financial condition of a company; (ii) projections of future earnings or losses; (iii) news of a pending or proposed merger, acquisition or tender offer; (iv) news of a significant sale of assets or the disposition of a subsidiary; (v) dividend actions; (vi) changes in management; (vii) major new customers, projects, products or services; (viii) impending bankruptcy or financial liquidity problems; (ix) gain or loss of a substantial contract; (x) important financing transactions; (xi) labor negotiations; (xii) major marketing changes; or (xiii) information about cyber security risks or incidents. Either positive or negative information may be material. Any information that could reasonably affect the market price of a security is material. When doubt exists, the information should be presumed to be material.</w:t>
      </w:r>
    </w:p>
    <w:p>
      <w:pPr>
        <w:pStyle w:val="TextBody"/>
        <w:bidi w:val="0"/>
        <w:spacing w:before="0" w:after="0"/>
        <w:jc w:val="left"/>
        <w:rPr/>
      </w:pPr>
      <w:r>
        <w:rPr/>
      </w:r>
    </w:p>
    <w:p>
      <w:pPr>
        <w:pStyle w:val="TextBody"/>
        <w:bidi w:val="0"/>
        <w:spacing w:lineRule="auto" w:line="319" w:before="0" w:after="0"/>
        <w:jc w:val="left"/>
        <w:rPr>
          <w:rFonts w:ascii="Arial Narrow;sans-serif" w:hAnsi="Arial Narrow;sans-serif"/>
          <w:b w:val="false"/>
          <w:color w:val="000000"/>
          <w:sz w:val="20"/>
        </w:rPr>
      </w:pPr>
      <w:r>
        <w:rPr>
          <w:rFonts w:ascii="Arial Narrow;sans-serif" w:hAnsi="Arial Narrow;sans-serif"/>
          <w:b w:val="false"/>
          <w:color w:val="000000"/>
          <w:sz w:val="20"/>
        </w:rPr>
        <w:t>Original effective date: 03/15/2010</w:t>
      </w:r>
    </w:p>
    <w:p>
      <w:pPr>
        <w:pStyle w:val="TextBody"/>
        <w:bidi w:val="0"/>
        <w:spacing w:lineRule="auto" w:line="319" w:before="0" w:after="0"/>
        <w:jc w:val="left"/>
        <w:rPr>
          <w:rFonts w:ascii="Arial Narrow;sans-serif" w:hAnsi="Arial Narrow;sans-serif"/>
          <w:b w:val="false"/>
          <w:color w:val="000000"/>
          <w:sz w:val="20"/>
        </w:rPr>
      </w:pPr>
      <w:r>
        <w:rPr>
          <w:rFonts w:ascii="Arial Narrow;sans-serif" w:hAnsi="Arial Narrow;sans-serif"/>
          <w:b w:val="false"/>
          <w:color w:val="000000"/>
          <w:sz w:val="20"/>
        </w:rPr>
        <w:t>Latest revision date: 07/01/2023</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19.2</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32740"/>
                <wp:effectExtent l="0" t="0" r="0" b="0"/>
                <wp:wrapNone/>
                <wp:docPr id="218" name="Frame2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43100" cy="609600"/>
            <wp:effectExtent l="0" t="0" r="0" b="0"/>
            <wp:docPr id="2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8" descr=""/>
                    <pic:cNvPicPr>
                      <a:picLocks noChangeAspect="1" noChangeArrowheads="1"/>
                    </pic:cNvPicPr>
                  </pic:nvPicPr>
                  <pic:blipFill>
                    <a:blip r:embed="rId132"/>
                    <a:stretch>
                      <a:fillRect/>
                    </a:stretch>
                  </pic:blipFill>
                  <pic:spPr bwMode="auto">
                    <a:xfrm>
                      <a:off x="0" y="0"/>
                      <a:ext cx="1943100" cy="609600"/>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4A7C"/>
          <w:sz w:val="32"/>
        </w:rPr>
      </w:pPr>
      <w:r>
        <w:rPr>
          <w:rFonts w:ascii="Arial;sans-serif" w:hAnsi="Arial;sans-serif"/>
          <w:b/>
          <w:color w:val="004A7C"/>
          <w:sz w:val="32"/>
        </w:rPr>
        <w:t>INSIDER TRADING PROCEDURES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4A7C"/>
          <w:sz w:val="24"/>
        </w:rPr>
      </w:pPr>
      <w:r>
        <w:rPr>
          <w:rFonts w:ascii="Arial;sans-serif" w:hAnsi="Arial;sans-serif"/>
          <w:b w:val="false"/>
          <w:color w:val="004A7C"/>
          <w:sz w:val="24"/>
        </w:rPr>
        <w:t xml:space="preserve">PURPOSE </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The purpose of these Procedures is to explain the detailed steps and responsibilities to be followed in order to achieve compliance with Republic’s Insider Trading Policy (the “Policy”).</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4A7C"/>
          <w:sz w:val="24"/>
        </w:rPr>
      </w:pPr>
      <w:r>
        <w:rPr>
          <w:rFonts w:ascii="Arial;sans-serif" w:hAnsi="Arial;sans-serif"/>
          <w:b w:val="false"/>
          <w:color w:val="004A7C"/>
          <w:sz w:val="24"/>
        </w:rPr>
        <w:t xml:space="preserve">SCOPE </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 xml:space="preserve">These Procedures apply to all employees, officers, directors, consultants and contractors of the Company (collectively referred to in these Procedures as “Company Representatives”). </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4A7C"/>
          <w:sz w:val="24"/>
        </w:rPr>
      </w:pPr>
      <w:r>
        <w:rPr>
          <w:rFonts w:ascii="Arial;sans-serif" w:hAnsi="Arial;sans-serif"/>
          <w:b w:val="false"/>
          <w:color w:val="004A7C"/>
          <w:sz w:val="24"/>
        </w:rPr>
        <w:t>GENERAL PROCEDURES, CONTROLS AND RESPONSIBILITIES</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 xml:space="preserve">The following sets forth the responsibilities, controls, and processes, required to ensure compliance with the Policy. </w:t>
      </w:r>
    </w:p>
    <w:p>
      <w:pPr>
        <w:pStyle w:val="TextBody"/>
        <w:bidi w:val="0"/>
        <w:spacing w:before="0" w:after="0"/>
        <w:jc w:val="left"/>
        <w:rPr/>
      </w:pPr>
      <w:r>
        <w:rPr/>
      </w:r>
    </w:p>
    <w:p>
      <w:pPr>
        <w:pStyle w:val="TextBody"/>
        <w:bidi w:val="0"/>
        <w:spacing w:lineRule="auto" w:line="300" w:before="0" w:after="160"/>
        <w:ind w:left="0" w:right="0" w:hanging="720"/>
        <w:jc w:val="left"/>
        <w:rPr/>
      </w:pPr>
      <w:r>
        <w:rPr>
          <w:rFonts w:ascii="Arial;sans-serif" w:hAnsi="Arial;sans-serif"/>
          <w:b w:val="false"/>
          <w:color w:val="000000"/>
          <w:sz w:val="20"/>
        </w:rPr>
        <w:t>I.</w:t>
      </w:r>
      <w:r>
        <w:rPr>
          <w:rFonts w:ascii="Arial;sans-serif" w:hAnsi="Arial;sans-serif"/>
          <w:b w:val="false"/>
          <w:color w:val="000000"/>
          <w:sz w:val="20"/>
          <w:u w:val="single"/>
        </w:rPr>
        <w:t>Employee Responsibilities</w:t>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A.Employees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1)Employees must comply with the Policy and these Procedures. Employees who violate the Policy or these Procedures are subject to disciplinary action, up to and including termination of employment.</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2)Employees must inform Immediate Family Members of those portions of the Policy and Procedures applicable to their activities.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B.Officers, directors, consultants and contractors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1)Officers, directors, consultants and contractors of the Company must comply with the Policy and these Procedures. Any officer, director, consultant or contractor who violates the Policy or these Procedures is subject to termination of the respective relationship with the Company.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C.Company Representatives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1)Each Company Representative is responsible for the transactions of their Immediate Family Members and must make them aware of the need to connect with the Company Representative before the Immediate Family Members trade in Company Securities. Pursuant to federal and state securities laws, Company Representatives may be subject to criminal and civil fines and penalties as well as imprisonment for engaging in transactions in the Company’s Securities at a time when they have knowledge of Material Nonpublic Information regarding the Company. If a Company Representative communicates information that someone else uses to trade illegally in securities, legal penalties can be imposed whether or not such person personally derived any benefit from the illegal trading. The Securities and Exchange Commission (the “SEC”), the stock exchanges and the Financial Industry Regulatory Authority use sophisticated surveillance techniques to uncover improper trading.</w:t>
      </w:r>
    </w:p>
    <w:p>
      <w:pPr>
        <w:pStyle w:val="TextBody"/>
        <w:bidi w:val="0"/>
        <w:spacing w:before="0" w:after="0"/>
        <w:jc w:val="left"/>
        <w:rPr/>
      </w:pPr>
      <w:r>
        <w:rPr/>
      </w:r>
    </w:p>
    <w:p>
      <w:pPr>
        <w:pStyle w:val="TextBody"/>
        <w:bidi w:val="0"/>
        <w:spacing w:lineRule="auto" w:line="300"/>
        <w:ind w:left="0" w:right="0" w:hanging="360"/>
        <w:jc w:val="left"/>
        <w:rPr>
          <w:rFonts w:ascii="Arial;sans-serif" w:hAnsi="Arial;sans-serif"/>
          <w:b w:val="false"/>
          <w:color w:val="000000"/>
          <w:sz w:val="20"/>
        </w:rPr>
      </w:pPr>
      <w:r>
        <w:rPr>
          <w:rFonts w:ascii="Arial;sans-serif" w:hAnsi="Arial;sans-serif"/>
          <w:b w:val="false"/>
          <w:color w:val="000000"/>
          <w:sz w:val="20"/>
        </w:rPr>
        <w:t xml:space="preserve">2)Company Representatives who are Insiders must comply with all additional restrictions imposed under Rule 144 of the Securities Act of 1933, Section 16 of the Securities Exchange Act of 1934 (the “Act”), and other applicable state and federal laws.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0"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D.Company Representatives – Post-Termination of Relationship.</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1)A Company Representative who is aware of Material Nonpublic Information when he or she terminates service with the Company may not trade in Company Securities until that information has become public or is no longer material. In all other respects, these Procedures will cease to apply to transactions in Company Securities as follows: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i.If a Quarterly Blackout Period is in effect when the Company Representative’s service with the Company terminates, these Procedures will cease to apply to transactions in Company Securities when such Quarterly Blackout Period ends.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ii.If a Quarterly Blackout Period is not in effect when the Company Representative’s service with the Company terminates, these Procedures will cease to apply immediately upon the Company Representative’s termination of service with the Company. </w:t>
      </w:r>
    </w:p>
    <w:p>
      <w:pPr>
        <w:pStyle w:val="TextBody"/>
        <w:bidi w:val="0"/>
        <w:spacing w:before="0" w:after="0"/>
        <w:jc w:val="left"/>
        <w:rPr/>
      </w:pPr>
      <w:r>
        <w:rPr/>
      </w:r>
    </w:p>
    <w:p>
      <w:pPr>
        <w:pStyle w:val="TextBody"/>
        <w:bidi w:val="0"/>
        <w:spacing w:lineRule="auto" w:line="300" w:before="0" w:after="160"/>
        <w:ind w:left="0" w:right="0" w:hanging="720"/>
        <w:jc w:val="left"/>
        <w:rPr/>
      </w:pPr>
      <w:r>
        <w:rPr>
          <w:rFonts w:ascii="Arial;sans-serif" w:hAnsi="Arial;sans-serif"/>
          <w:b w:val="false"/>
          <w:color w:val="000000"/>
          <w:sz w:val="20"/>
        </w:rPr>
        <w:t>II.</w:t>
      </w:r>
      <w:r>
        <w:rPr>
          <w:rFonts w:ascii="Arial;sans-serif" w:hAnsi="Arial;sans-serif"/>
          <w:b w:val="false"/>
          <w:color w:val="000000"/>
          <w:sz w:val="20"/>
          <w:u w:val="single"/>
        </w:rPr>
        <w:t>General Procedures and Controls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A.When any Company Representative possesses Material Nonpublic Information about the Company, the Company Representatives and their Immediate Family Members are prohibited from:</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1)purchasing or selling (other than pursuant to a pre-approved trading plan that complies with Rule 10b5-1 under the Act) any Company Securities while in possession of Material Nonpublic Information about the Company, or engaging in any other activity to take personal advantage of the Material Nonpublic Information; and</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2)selectively disclosing such Material Nonpublic Information to others who may trade Company Securities, including securities analysts, other market professionals and non-Company employees.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A.Company Representatives must not communicate any nonpublic information about the Company to any person, including Immediate Family Members and friends, unless the person has a need to know the information for Company-related reasons. This prohibition applies without regard to the materiality of the information.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B.Company Representatives must be discreet with nonpublic information and refrain from discussing it in public places where it can be overheard, such as elevators and other public spaces in the Company’s offices, restaurants, taxis and airplanes. Company Representatives must not discuss the Company or its business in an internet “chat room” or similar internet-based forum. To avoid even the appearance of impropriety, Company Representatives must at all times refrain from providing advice or making recommendations regarding the purchase or sale of the Company Securities or the securities of other companies of which they have knowledge as a result of their employment or association with the Company. </w:t>
      </w:r>
    </w:p>
    <w:p>
      <w:pPr>
        <w:pStyle w:val="TextBody"/>
        <w:bidi w:val="0"/>
        <w:spacing w:before="0" w:after="0"/>
        <w:ind w:left="0" w:right="0" w:hanging="36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C.Company Representatives must direct all inquiries seeking information regarding the Company, its business and financial results to the Company’s Corporate Investor Relations Department at (480) 627-2700.</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D.Any Company Representative who, in the course of working for or providing service to the Company, learns of Material Nonpublic Information about another company, including a customer or supplier of the Company, or a company with which the Company is engaged in discussions regarding the acquisition or disposition of assets, may not trade in the other company’s securities until the Material Nonpublic Information becomes public or is no longer material.</w:t>
      </w:r>
    </w:p>
    <w:p>
      <w:pPr>
        <w:pStyle w:val="TextBody"/>
        <w:bidi w:val="0"/>
        <w:spacing w:before="0" w:after="0"/>
        <w:jc w:val="left"/>
        <w:rPr/>
      </w:pPr>
      <w:r>
        <w:rPr/>
      </w:r>
    </w:p>
    <w:p>
      <w:pPr>
        <w:pStyle w:val="TextBody"/>
        <w:bidi w:val="0"/>
        <w:spacing w:lineRule="auto" w:line="300" w:before="0" w:after="160"/>
        <w:ind w:left="0" w:right="0" w:hanging="720"/>
        <w:jc w:val="left"/>
        <w:rPr/>
      </w:pPr>
      <w:r>
        <w:rPr>
          <w:rFonts w:ascii="Arial;sans-serif" w:hAnsi="Arial;sans-serif"/>
          <w:b w:val="false"/>
          <w:color w:val="000000"/>
          <w:sz w:val="20"/>
        </w:rPr>
        <w:t>III.</w:t>
      </w:r>
      <w:r>
        <w:rPr>
          <w:rFonts w:ascii="Arial;sans-serif" w:hAnsi="Arial;sans-serif"/>
          <w:b w:val="false"/>
          <w:color w:val="000000"/>
          <w:sz w:val="20"/>
          <w:u w:val="single"/>
        </w:rPr>
        <w:t>Procedures for Trading After Public Disclosure</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32740"/>
                <wp:effectExtent l="0" t="0" r="0" b="0"/>
                <wp:wrapNone/>
                <wp:docPr id="221" name="Frame2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A.Until Material Nonpublic Information has been publicly disclosed, Company Representatives must refrain from buying or selling the Company Securities until the Material Nonpublic Information has been adequately disseminated (e.g., by way of SEC filing, press release, etc.) to the public so that investors have the opportunity to evaluate the Material Nonpublic Information.</w:t>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B.Company Representatives must not enter into a trade immediately after the Company has made a public announcement of material information. The appropriate period between an announcement and a subsequent trade depends on the nature of the information disclosed. Generally, information regarding relatively simple matters will be deemed for purposes of the Policy and these Procedures to have been adequately disseminated to and absorbed by the market by the beginning of the second business day after its release. When more complex matters, such as a prospective major acquisition or disposition, are announced, it may be necessary to allow additional time for investors to absorb the information.</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C.Selective disclosure to a few persons does not constitute public dissemination of information. Material Nonpublic Information is not considered to be public merely because it is reflected by rumors or other unofficial statements in the marketplace</w:t>
      </w:r>
    </w:p>
    <w:p>
      <w:pPr>
        <w:pStyle w:val="TextBody"/>
        <w:bidi w:val="0"/>
        <w:spacing w:before="0" w:after="0"/>
        <w:jc w:val="left"/>
        <w:rPr/>
      </w:pPr>
      <w:r>
        <w:rPr/>
      </w:r>
    </w:p>
    <w:p>
      <w:pPr>
        <w:pStyle w:val="TextBody"/>
        <w:bidi w:val="0"/>
        <w:spacing w:lineRule="auto" w:line="300" w:before="0" w:after="160"/>
        <w:ind w:left="0" w:right="0" w:hanging="720"/>
        <w:jc w:val="left"/>
        <w:rPr/>
      </w:pPr>
      <w:r>
        <w:rPr>
          <w:rFonts w:ascii="Arial;sans-serif" w:hAnsi="Arial;sans-serif"/>
          <w:b w:val="false"/>
          <w:color w:val="000000"/>
          <w:sz w:val="20"/>
        </w:rPr>
        <w:t>IV.</w:t>
      </w:r>
      <w:r>
        <w:rPr>
          <w:rFonts w:ascii="Arial;sans-serif" w:hAnsi="Arial;sans-serif"/>
          <w:b w:val="false"/>
          <w:color w:val="000000"/>
          <w:sz w:val="20"/>
          <w:u w:val="single"/>
        </w:rPr>
        <w:t>Trading Procedures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A.Insiders and other persons selected by the Company from time to time and so notified by the Company (the “Blackout Personnel”) and their Immediate Family Members are prohibited from engaging in transactions involving Company Securities during Quarterly Blackout Periods.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B.Blackout Personnel and their Immediate Family Members may engage in transactions involving Company Securities on dates that are outside of the Quarterly Blackout Periods, unless (i) they possess Material Nonpublic Information, (ii) the transaction is completed during a retirement plan blackout period, or (iii) in the case of Insiders, the trading results in short-swing profits under Section 16 of the Act.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C.Insiders are prohibited from adopting any “non-Rule 10b5-1 trading arrangements” as such term is defined in Item 408(c) of Regulation S-K unless such arrangement is approved by the Chief Legal Officer (or, in the case of an arrangement implemented by the Chief Legal Officer, the Chief Financial Officer) in writing.</w:t>
      </w:r>
    </w:p>
    <w:p>
      <w:pPr>
        <w:pStyle w:val="TextBody"/>
        <w:bidi w:val="0"/>
        <w:spacing w:before="0" w:after="0"/>
        <w:jc w:val="left"/>
        <w:rPr/>
      </w:pPr>
      <w:r>
        <w:rPr/>
      </w:r>
    </w:p>
    <w:p>
      <w:pPr>
        <w:pStyle w:val="TextBody"/>
        <w:bidi w:val="0"/>
        <w:spacing w:lineRule="auto" w:line="300"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D.In the event any non-Rule 10b5-1 trading arrangements are approved, Insiders that adopt or terminate any such trading arrangements that are not otherwise prohibited by the Policy and these Procedures must immediately report to the Company in writing: (i) the names and titles of the individuals adopting or terminating the arrangement, (ii) the date of adoption or termination, (iii) the stated duration of the arrangement, and (iv) the aggregate amount of Company Securities to be sold or purchased under the arrangement.</w:t>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E.Blackout Personnel who have an unexpected and urgent need to sell Company Securities to generate cash during a Quarterly Blackout Period may, in appropriate circumstances, be permitted to sell Company Securities during the Quarterly Blackout Period.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1)The affected Blackout Personnel must request a hardship exception to the Quarterly Blackout Period from the Chief Legal Officer at least two days before the proposed trade.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2)The Chief Legal Officer may grant the hardship exception if he or she concludes that the Company’s earnings information for the applicable quarter does not constitute Material Nonpublic Information.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3)Under no circumstance will a hardship exception be granted during an event-specific blackout period (refer to Section V of these Procedures).</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32740"/>
                <wp:effectExtent l="0" t="0" r="0" b="0"/>
                <wp:wrapNone/>
                <wp:docPr id="222" name="Frame2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3</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affected Blackout Personnel must not possess any Material Nonpublic Information at the time of the sale.</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F.Insiders and their Immediate Family Members may not engage in any transaction involving Company Securities (including an option exercise, gift, loan, contribution to a trust, or any other transfer) without first obtaining pre-clearance of the transaction from the Company’s Chief Legal Officer.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1)The affected Insider must submit a request for pre-clearance to the Chief Legal Officer at least two days in advance of the proposed transaction.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Chief Legal Officer is under no obligation to approve a trade submitted for pre-clearance, and may determine not to permit the trade, in their sole discretion.</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3)If, upon requesting pre-clearance, an Insider is advised that Company Securities may be traded, he or she may engage in the approved transaction within two business days after clearance is granted, but only if the Insider does not otherwise possess Material Nonpublic Information.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4)If for any reason the transaction is not completed within two business days, an Insider must obtain pre-clearance again before Company Securities may be traded.</w:t>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5)If, upon requesting clearance, an Insider is advised that Company Securities may not be traded, he or she shall not engage in any trade of any type under any circumstances, nor may he or she inform anyone of the restriction.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6)The Insider may reapply for pre-clearance at a later date when trading restrictions may no longer be applicable.</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7)If a trade is completed, the Insider must cause his or her broker to report immediately to the Company (a) via telephone and (b) in writing (via e-mail or fax) the details of the trade.</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G.Blackout Personnel or their Immediate Family Members may implement a trading plan under Rule 10b5-1.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1)The Blackout Personnel must first submit the plan to the Chief Legal Officer (or, in the case of a plan implemented by the Chief Legal Officer, to the Chief Financial Officer) for written approval.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2)A trading plan will be approved only if it meets all of the conditions of Rule 10b5-1, including the following: </w:t>
      </w:r>
    </w:p>
    <w:p>
      <w:pPr>
        <w:pStyle w:val="TextBody"/>
        <w:bidi w:val="0"/>
        <w:spacing w:before="0" w:after="16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i.a person may enter into a trading plan only when he or she does not possess Material Nonpublic Information;</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ii.in the case of any Insiders, trades under the trading plan cannot commence until the later of 90 days after the adoption of the trading plan or two business days after the disclosure of the Company's financial results on Form 10-Q for the fiscal quarter (or Form 10-K in the case of the fourth quarter), provided that in no event will such period be longer than 120 days after adoption of the trading plan;</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iii.in the case of any other Blackout Personnel, trades under the trading plan cannot commence until 30 days after the adoption of the trading plan;</w:t>
      </w:r>
    </w:p>
    <w:p>
      <w:pPr>
        <w:pStyle w:val="TextBody"/>
        <w:bidi w:val="0"/>
        <w:spacing w:before="0" w:after="0"/>
        <w:jc w:val="left"/>
        <w:rPr/>
      </w:pPr>
      <w:r>
        <w:rPr/>
      </w:r>
    </w:p>
    <w:p>
      <w:pPr>
        <w:pStyle w:val="TextBody"/>
        <w:bidi w:val="0"/>
        <w:spacing w:lineRule="auto" w:line="300"/>
        <w:ind w:left="0" w:right="0" w:hanging="360"/>
        <w:jc w:val="left"/>
        <w:rPr>
          <w:rFonts w:ascii="Arial;sans-serif" w:hAnsi="Arial;sans-serif"/>
          <w:b w:val="false"/>
          <w:color w:val="000000"/>
          <w:sz w:val="20"/>
        </w:rPr>
      </w:pPr>
      <w:r>
        <w:rPr>
          <w:rFonts w:ascii="Arial;sans-serif" w:hAnsi="Arial;sans-serif"/>
          <w:b w:val="false"/>
          <w:color w:val="000000"/>
          <w:sz w:val="20"/>
        </w:rPr>
        <w:t xml:space="preserve">iv.Blackout Personnel must certify at the time of adoption or any modification of the trading plan that they are not aware of any Material Nonpublic Information and they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32740"/>
                <wp:effectExtent l="0" t="0" r="0" b="0"/>
                <wp:wrapNone/>
                <wp:docPr id="223" name="Frame2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4</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 xml:space="preserve">are adopting the trading plan in good faith and not as part of a scheme to evade the prohibitions of Section 10(b) and Rule 10b-5 under the Act;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v.Blackout Personnel adopting a new trading plan under Rule 10b5-1 may not have any other outstanding Rule 10b5-1 trading plans and may not subsequently enter into any additional Rule 10b5-1 trading plan, subject to certain exceptions;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vi.Blackout Personnel may not adopt, in any 12-month period, more than one Rule 10b5-1 trading plan that is designed to effect the open-market purchase or sale of the total amount of securities as a single transaction; and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vii.a person entering a plan must act in good faith with respect to the plan. </w:t>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3)A person who is subject to a blackout period may not enter into a trading plan during the blackout period.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4)Transactions effected pursuant to a pre-cleared trading plan will not require further pre-clearance at the time of the transaction, nor will such transactions be subject to the restrictions on trading Company Securities during the Quarterly Blackout Periods or the Event-Specific Blackout Periods described in Section V of these Procedures, if in each case the trading plan specifies the dates, prices and amounts of the contemplated trades or establishes a formula for determining the dates, prices and amounts. </w:t>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5)A person must submit any amendments or modifications to any trading plan to the Chief Legal Officer (or, in the case of a trading plan implemented by the Chief Legal Officer, to the Chief Financial Officer) for approval. Note that, under Rule 10b5-1, any modification to the amount, pricing or timing of purchases or sales of securities under an outstanding trading plan constitutes the termination of such plan and the adoption of a new trading plan, which new trading plan will be required to meet the cooling-off period and other applicable conditions of Rule 10b5-1.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6)A person must notify the Chief Legal Officer (or, in the case of a trading plan implemented by the Chief Legal Officer, the Chief Financial Officer) of any termination of a trading plan.</w:t>
      </w:r>
    </w:p>
    <w:p>
      <w:pPr>
        <w:pStyle w:val="TextBody"/>
        <w:bidi w:val="0"/>
        <w:spacing w:before="0" w:after="16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7)The Insider must cause his or her broker to report immediately to the Company (a) via telephone and (b) in writing (via e-mail or fax) the details of any trading plan transaction.</w:t>
      </w:r>
    </w:p>
    <w:p>
      <w:pPr>
        <w:pStyle w:val="TextBody"/>
        <w:bidi w:val="0"/>
        <w:spacing w:before="0" w:after="0"/>
        <w:jc w:val="left"/>
        <w:rPr/>
      </w:pPr>
      <w:r>
        <w:rPr/>
      </w:r>
    </w:p>
    <w:p>
      <w:pPr>
        <w:pStyle w:val="TextBody"/>
        <w:bidi w:val="0"/>
        <w:spacing w:lineRule="auto" w:line="300" w:before="0" w:after="160"/>
        <w:ind w:left="0" w:right="0" w:hanging="720"/>
        <w:jc w:val="left"/>
        <w:rPr/>
      </w:pPr>
      <w:r>
        <w:rPr>
          <w:rFonts w:ascii="Arial;sans-serif" w:hAnsi="Arial;sans-serif"/>
          <w:b w:val="false"/>
          <w:color w:val="000000"/>
          <w:sz w:val="20"/>
        </w:rPr>
        <w:t>V.</w:t>
      </w:r>
      <w:r>
        <w:rPr>
          <w:rFonts w:ascii="Arial;sans-serif" w:hAnsi="Arial;sans-serif"/>
          <w:b w:val="false"/>
          <w:color w:val="000000"/>
          <w:sz w:val="20"/>
          <w:u w:val="single"/>
        </w:rPr>
        <w:t>Event-Specific Blackout Periods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A.An event may occur that is material to the Company and is known by only a few directors or executives. So long as the event remains material and nonpublic, directors, executive officers, and any other persons designated by the Chief Legal Officer may not trade in Company Securities.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B.No person with knowledge of the event may announce the existence of an event-specific blackout to any other person, other than to those who are aware of the event giving rise to the blackout. Notwithstanding the foregoing, if a person whose trades are subject to pre-clearance approval requests permission to trade in the Company Securities during an event-specific blackout, the Chief Legal Officer may inform the requester of the existence of a blackout period, without disclosing the reason for the blackout. Any person made aware of the existence of an event-specific blackout should not disclose the existence of the blackout to any other person.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C.The failure of the Chief Legal Officer to designate a person as being subject to an event-specific blackout will not relieve that person of the obligation not to trade while aware of Material Nonpublic Information.</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32740"/>
                <wp:effectExtent l="0" t="0" r="0" b="0"/>
                <wp:wrapNone/>
                <wp:docPr id="224" name="Frame2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5</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hanging="720"/>
        <w:jc w:val="left"/>
        <w:rPr/>
      </w:pPr>
      <w:r>
        <w:rPr>
          <w:rFonts w:ascii="Arial;sans-serif" w:hAnsi="Arial;sans-serif"/>
          <w:b w:val="false"/>
          <w:color w:val="000000"/>
          <w:sz w:val="20"/>
        </w:rPr>
        <w:t>VI.</w:t>
      </w:r>
      <w:r>
        <w:rPr>
          <w:rFonts w:ascii="Arial;sans-serif" w:hAnsi="Arial;sans-serif"/>
          <w:b w:val="false"/>
          <w:color w:val="000000"/>
          <w:sz w:val="20"/>
          <w:u w:val="single"/>
        </w:rPr>
        <w:t>Prohibited Transactions</w:t>
      </w:r>
    </w:p>
    <w:p>
      <w:pPr>
        <w:pStyle w:val="TextBody"/>
        <w:bidi w:val="0"/>
        <w:spacing w:before="0" w:after="0"/>
        <w:jc w:val="left"/>
        <w:rPr/>
      </w:pPr>
      <w:r>
        <w:rPr/>
      </w:r>
    </w:p>
    <w:p>
      <w:pPr>
        <w:pStyle w:val="TextBody"/>
        <w:bidi w:val="0"/>
        <w:spacing w:lineRule="auto" w:line="300" w:before="0" w:after="0"/>
        <w:ind w:left="0" w:right="0" w:hanging="360"/>
        <w:jc w:val="left"/>
        <w:rPr/>
      </w:pPr>
      <w:r>
        <w:rPr>
          <w:rFonts w:ascii="Arial;sans-serif" w:hAnsi="Arial;sans-serif"/>
          <w:b w:val="false"/>
          <w:color w:val="000000"/>
          <w:sz w:val="20"/>
        </w:rPr>
        <w:t xml:space="preserve">A.There are many transactions involving Company Securities that might be technically “legal” for a Company Representative to engage in while he or she is not in possession of Material Nonpublic Information. Some of these transactions are designed to lock in profits, which may adversely impact the Company Representative’s incentive to see the value of the Company Securities increase and therefore might send a negative message to the market. Other transactions (such as short sales or trading in options) create the appearance that the Company Representative is using inside information to “bet” on the Company’s short-term performance. Still other transactions (such as margining or pledging Company Securities) can put the Company Representative (or the pledgee) at risk of being forced to sell the pledged Securities at an inappropriate time. For all of these reasons, all Company Representatives and their Immediate Family Members are prohibited from engaging in the following activities </w:t>
      </w:r>
      <w:r>
        <w:rPr>
          <w:rFonts w:ascii="Arial;sans-serif" w:hAnsi="Arial;sans-serif"/>
          <w:b w:val="false"/>
          <w:color w:val="000000"/>
          <w:sz w:val="20"/>
          <w:u w:val="single"/>
        </w:rPr>
        <w:t>at any time</w:t>
      </w:r>
      <w:r>
        <w:rPr>
          <w:color w:val="000000"/>
        </w:rPr>
        <w:t xml:space="preserve"> </w:t>
      </w:r>
      <w:r>
        <w:rPr>
          <w:rFonts w:ascii="Arial;sans-serif" w:hAnsi="Arial;sans-serif"/>
          <w:b w:val="false"/>
          <w:color w:val="000000"/>
          <w:sz w:val="20"/>
        </w:rPr>
        <w:t>(collectively, “Prohibited Transactions”):</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1)purchasing or selling “puts” or “calls” for Company Securities or other derivative securities related to Company Securities (Note: the funds in the Company’s Deferred Compensation Plan that are based on Republic’s stock are not derivative securities for these purposes); </w:t>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2)effectuating a “short sale” (the sale of Company Securities or derivatives thereof that are not owned and where delivery is made with borrowed, or subsequently purchased, Company Securities or derivatives thereof or a “short sale against the box” (a sale with delayed delivery of Company Securities or derivatives thereof);</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3)placing “standing orders” (other than pursuant to a pre-cleared trading plan under Rule 10b5-1);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4)engaging in short-term or “in-and-out” trading in any Company Securities or derivatives thereof; </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5)holding Company Securities or derivatives thereof in a margin account or pledging Company Securities or derivatives thereof as collateral for a loan; or</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6)engaging in any similar transaction related to Company Securities or derivatives thereof.</w:t>
      </w:r>
    </w:p>
    <w:p>
      <w:pPr>
        <w:pStyle w:val="TextBody"/>
        <w:bidi w:val="0"/>
        <w:spacing w:before="0" w:after="0"/>
        <w:jc w:val="left"/>
        <w:rPr/>
      </w:pPr>
      <w:r>
        <w:rPr/>
      </w:r>
    </w:p>
    <w:p>
      <w:pPr>
        <w:pStyle w:val="TextBody"/>
        <w:bidi w:val="0"/>
        <w:spacing w:lineRule="auto" w:line="300" w:before="0" w:after="0"/>
        <w:ind w:left="0" w:right="0" w:hanging="360"/>
        <w:jc w:val="left"/>
        <w:rPr>
          <w:rFonts w:ascii="Arial;sans-serif" w:hAnsi="Arial;sans-serif"/>
          <w:b w:val="false"/>
          <w:color w:val="000000"/>
          <w:sz w:val="20"/>
        </w:rPr>
      </w:pPr>
      <w:r>
        <w:rPr>
          <w:rFonts w:ascii="Arial;sans-serif" w:hAnsi="Arial;sans-serif"/>
          <w:b w:val="false"/>
          <w:color w:val="000000"/>
          <w:sz w:val="20"/>
        </w:rPr>
        <w:t>B.Company Representatives and their Immediate Family Members may not assist or advise third persons in making any transaction that the Company Representative is prohibited from making under the Policy and these Procedures.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4A7C"/>
          <w:sz w:val="24"/>
        </w:rPr>
      </w:pPr>
      <w:r>
        <w:rPr>
          <w:rFonts w:ascii="Arial;sans-serif" w:hAnsi="Arial;sans-serif"/>
          <w:b w:val="false"/>
          <w:color w:val="004A7C"/>
          <w:sz w:val="24"/>
        </w:rPr>
        <w:t xml:space="preserve">DEFINITIONS </w:t>
      </w:r>
    </w:p>
    <w:p>
      <w:pPr>
        <w:pStyle w:val="TextBody"/>
        <w:bidi w:val="0"/>
        <w:spacing w:lineRule="auto" w:line="300" w:before="0" w:after="0"/>
        <w:jc w:val="left"/>
        <w:rPr>
          <w:color w:val="000000"/>
        </w:rPr>
      </w:pPr>
      <w:r>
        <w:rPr>
          <w:color w:val="000000"/>
        </w:rPr>
        <w:t>“</w:t>
      </w:r>
      <w:r>
        <w:rPr>
          <w:rFonts w:ascii="Arial;sans-serif" w:hAnsi="Arial;sans-serif"/>
          <w:b w:val="false"/>
          <w:color w:val="000000"/>
          <w:sz w:val="20"/>
        </w:rPr>
        <w:t>Company Securities” means debt and equity securities of the Company.</w:t>
      </w:r>
    </w:p>
    <w:p>
      <w:pPr>
        <w:pStyle w:val="TextBody"/>
        <w:bidi w:val="0"/>
        <w:spacing w:lineRule="auto" w:line="300" w:before="0" w:after="0"/>
        <w:jc w:val="left"/>
        <w:rPr>
          <w:color w:val="000000"/>
        </w:rPr>
      </w:pPr>
      <w:r>
        <w:rPr>
          <w:color w:val="000000"/>
        </w:rPr>
        <w:t>“</w:t>
      </w:r>
      <w:r>
        <w:rPr>
          <w:rFonts w:ascii="Arial;sans-serif" w:hAnsi="Arial;sans-serif"/>
          <w:b w:val="false"/>
          <w:color w:val="000000"/>
          <w:sz w:val="20"/>
        </w:rPr>
        <w:t>Immediate Family Members” means a Company Representative’s family member (child, stepchild, grandchild, parent, stepparent, grandparent, spouse, sibling, mother-in-law, father-in-law, son-in-law, daughter-in-law, brother-in-law, or sister-in-law) sharing the same household, as well as any family members who do not live in the Company Representative’s household but whose transactions in Company Securities are directed by the Company Representative or are subject to the Company Representative’s influence or control (such as parents or children who consult with the Company Representative before they trade in Company Securities).</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Arial;sans-serif" w:hAnsi="Arial;sans-serif"/>
          <w:b w:val="false"/>
          <w:color w:val="000000"/>
          <w:sz w:val="20"/>
        </w:rPr>
        <w:t xml:space="preserve">Insiders” means the Company’s Board of Directors (“directors”) and officers as defined pursuant to Section 16 of the Act. </w:t>
      </w:r>
    </w:p>
    <w:p>
      <w:pPr>
        <w:pStyle w:val="TextBody"/>
        <w:bidi w:val="0"/>
        <w:spacing w:before="0" w:after="0"/>
        <w:jc w:val="left"/>
        <w:rPr/>
      </w:pPr>
      <w:r>
        <w:rPr/>
      </w:r>
    </w:p>
    <w:p>
      <w:pPr>
        <w:pStyle w:val="TextBody"/>
        <w:bidi w:val="0"/>
        <w:spacing w:lineRule="auto" w:line="300"/>
        <w:jc w:val="left"/>
        <w:rPr>
          <w:color w:val="000000"/>
        </w:rPr>
      </w:pPr>
      <w:r>
        <w:rPr>
          <w:color w:val="000000"/>
        </w:rPr>
        <w:t>“</w:t>
      </w:r>
      <w:r>
        <w:rPr>
          <w:rFonts w:ascii="Arial;sans-serif" w:hAnsi="Arial;sans-serif"/>
          <w:b w:val="false"/>
          <w:color w:val="000000"/>
          <w:sz w:val="20"/>
        </w:rPr>
        <w:t xml:space="preserve">Material Nonpublic Information” means any information about a company, or its business, not generally available to the public which a reasonable investor would consider important in deciding whether to buy, hold, or sell any securities in the company. The SEC and the courts have generally given a broad interpretation to what is considered “material information.” The following is a non-exhaustive list of examples of Material Nonpublic Information: (i) information about a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32740"/>
                <wp:effectExtent l="0" t="0" r="0" b="0"/>
                <wp:wrapNone/>
                <wp:docPr id="225" name="Frame2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6</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transaction that will significantly affect the financial condition of a company; (ii) projections of future earnings or losses; (iii) news of a pending or proposed merger, acquisition or tender offer; (iv) news of a significant sale of assets or the disposition of a subsidiary; (v) dividend actions; (vi) changes in management; (vii) major new customers, projects, products or services; (viii) impending bankruptcy or financial liquidity problems; (ix) gain or loss of a substantial contract; (x) important financing transactions; (xi) labor negotiations; (xii) major marketing changes; or (xiii) information about cyber security risks or incidents. Either positive or negative information may be material. Any information that could reasonably affect the market price of a security is material. When doubt exists, the information should be presumed to be material.</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Arial;sans-serif" w:hAnsi="Arial;sans-serif"/>
          <w:b w:val="false"/>
          <w:color w:val="000000"/>
          <w:sz w:val="20"/>
        </w:rPr>
        <w:t xml:space="preserve">Quarterly Blackout Periods” means the blackout periods that begin on March 15, June 15, September 15, and December 15 each year and continue through the beginning of the second day following the Company’s quarterly earnings announcement. Announcements made in the morning prior to the start of trading on the New York Stock Exchange will be deemed to have been made on the immediately preceding day. </w:t>
      </w:r>
    </w:p>
    <w:p>
      <w:pPr>
        <w:pStyle w:val="TextBody"/>
        <w:bidi w:val="0"/>
        <w:spacing w:before="0" w:after="0"/>
        <w:jc w:val="left"/>
        <w:rPr/>
      </w:pPr>
      <w:r>
        <w:rPr/>
      </w:r>
    </w:p>
    <w:p>
      <w:pPr>
        <w:pStyle w:val="TextBody"/>
        <w:bidi w:val="0"/>
        <w:spacing w:lineRule="auto" w:line="319" w:before="0" w:after="0"/>
        <w:jc w:val="left"/>
        <w:rPr>
          <w:rFonts w:ascii="Arial Narrow;sans-serif" w:hAnsi="Arial Narrow;sans-serif"/>
          <w:b w:val="false"/>
          <w:color w:val="000000"/>
          <w:sz w:val="20"/>
        </w:rPr>
      </w:pPr>
      <w:r>
        <w:rPr>
          <w:rFonts w:ascii="Arial Narrow;sans-serif" w:hAnsi="Arial Narrow;sans-serif"/>
          <w:b w:val="false"/>
          <w:color w:val="000000"/>
          <w:sz w:val="20"/>
        </w:rPr>
        <w:t>Original effective date: 03/15/2010</w:t>
      </w:r>
    </w:p>
    <w:p>
      <w:pPr>
        <w:pStyle w:val="TextBody"/>
        <w:bidi w:val="0"/>
        <w:spacing w:lineRule="auto" w:line="319" w:before="0" w:after="0"/>
        <w:jc w:val="left"/>
        <w:rPr>
          <w:rFonts w:ascii="Arial Narrow;sans-serif" w:hAnsi="Arial Narrow;sans-serif"/>
          <w:b w:val="false"/>
          <w:color w:val="000000"/>
          <w:sz w:val="20"/>
        </w:rPr>
      </w:pPr>
      <w:r>
        <w:rPr>
          <w:rFonts w:ascii="Arial Narrow;sans-serif" w:hAnsi="Arial Narrow;sans-serif"/>
          <w:b w:val="false"/>
          <w:color w:val="000000"/>
          <w:sz w:val="20"/>
        </w:rPr>
        <w:t>Latest revision date: 07/01/2023</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943100" cy="609600"/>
            <wp:effectExtent l="0" t="0" r="0" b="0"/>
            <wp:docPr id="2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9" descr=""/>
                    <pic:cNvPicPr>
                      <a:picLocks noChangeAspect="1" noChangeArrowheads="1"/>
                    </pic:cNvPicPr>
                  </pic:nvPicPr>
                  <pic:blipFill>
                    <a:blip r:embed="rId133"/>
                    <a:stretch>
                      <a:fillRect/>
                    </a:stretch>
                  </pic:blipFill>
                  <pic:spPr bwMode="auto">
                    <a:xfrm>
                      <a:off x="0" y="0"/>
                      <a:ext cx="1943100" cy="609600"/>
                    </a:xfrm>
                    <a:prstGeom prst="rect">
                      <a:avLst/>
                    </a:prstGeom>
                  </pic:spPr>
                </pic:pic>
              </a:graphicData>
            </a:graphic>
          </wp:inline>
        </w:drawing>
      </w:r>
      <w:r>
        <w:rPr>
          <w:color w:val="000000"/>
        </w:rPr>
        <w:t xml:space="preserve"> </w:t>
      </w:r>
      <w:r>
        <w:rPr>
          <w:rFonts w:ascii="Times New Roman;sans-serif" w:hAnsi="Times New Roman;sans-serif"/>
          <w:b/>
          <w:color w:val="000000"/>
          <w:sz w:val="22"/>
        </w:rPr>
        <w:t>EXHIBIT 19.3</w:t>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32740"/>
                <wp:effectExtent l="0" t="0" r="0" b="0"/>
                <wp:wrapNone/>
                <wp:docPr id="227" name="Frame2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08080"/>
                          <w:sz w:val="18"/>
                        </w:rPr>
                      </w:pPr>
                      <w:r>
                        <w:rPr>
                          <w:rFonts w:ascii="Arial;sans-serif" w:hAnsi="Arial;sans-serif"/>
                          <w:b w:val="false"/>
                          <w:color w:val="808080"/>
                          <w:sz w:val="18"/>
                        </w:rPr>
                        <w:t>Page 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br/>
        <w:t>Republic Services Share Repurchase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Purpose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sets guidelines for Republic Services, Inc. (the “Company”) to follow when repurchasing shares of the Company’s common stock or other publicly listed Company securities (“Republic Securities”). The United States tax and securities laws, as well as the tax and securities laws of the various countries where the Company has subsidiaries, may place significant restrictions on dealing of any kind in Republic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Restriction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general, the Company and any employee acting on behalf of the Company are not allowed to deal in Republic Securities. Exceptions to this restriction include (i) transactions in Republic Securities by, and for the benefit of, Company employees who are subject to the Company’s Insider Trading Policy, (ii) any Company share repurchase program authorized by the Company’s Board of Directors (the “Board”) and managed and executed by (or under the direction of) Company management pursuant to the Board’s authority, (iii) any debt repurchase or tender offer program authorized by the Board and managed and executed by (or under the direction of) Company management pursuant to the Board’s authority, (iv) certain Company employee benefit or stock plans approved by the Board that involve the issuance, sale, purchase, cancellation or other transactions in Republic Securities by the Company, and (v) any other transaction, program or activity involving the Company transacting in Republic Securities that is specifically authorized by the Board.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Share Repurchase Programs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may choose to repurchase shares of Company common stock as part of a publicly announced share repurchase program authorized by the Company’s Board, including through the use of plans designed to comply with Rules 10b5-1 and 10b-18 of the Securities Exchange Act of 1934, as amended. Any such share repurchase program may be extended, suspended or discontinued at any time.</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On a quarterly basis, an update of share repurchase activity is provided to the Board and the Finance Committee of the Board. If there are any material updates to the program, those updates are disclosed publicly. The timing, magnitude and volume of individual share repurchase contracts under the program during the fiscal year, as well as the brokers utilized to execute share repurchase contracts, are at the discretion of management and must be in compliance with all applicable securities laws. To the extent possible and subject to the next sentence, repurchase contracts or cancellation of existing contracts, if applicable, must be entered into or cancelled, as applicable, during an open trading window under the Company’s Insider Trading Policy. In all cases, the Chief Legal Officer and the Chief Financial Officer or their respective designee must confirm that the Company is not in possession of material non-public information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entering into a new contract or cancelling an existing contract. Company employees with direct responsibility for managing any share repurchase program will provide the Company’s Legal Department with any share purchase data necessary for the Company’s securities filings.</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(Dated: February 11,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88620"/>
                <wp:effectExtent l="0" t="0" r="0" b="0"/>
                <wp:wrapNone/>
                <wp:docPr id="229" name="Frame22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4"/>
                              </w:rPr>
                            </w:pPr>
                            <w:r>
                              <w:rPr>
                                <w:rFonts w:ascii="Open Sans;sans-serif" w:hAnsi="Open Sans;sans-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4"/>
                        </w:rPr>
                      </w:pPr>
                      <w:r>
                        <w:rPr>
                          <w:rFonts w:ascii="Open Sans;sans-serif" w:hAnsi="Open Sans;sans-serif"/>
                          <w:b w:val="false"/>
                          <w:color w:val="000000"/>
                          <w:sz w:val="24"/>
                        </w:rPr>
                        <w:t>2</w:t>
                      </w:r>
                    </w:p>
                    <w:p>
                      <w:pPr>
                        <w:pStyle w:val="TextBody"/>
                        <w:bidi w:val="0"/>
                        <w:spacing w:before="0" w:after="0"/>
                        <w:jc w:val="left"/>
                        <w:rPr/>
                      </w:pPr>
                      <w:r>
                        <w:rPr/>
                      </w:r>
                    </w:p>
                  </w:txbxContent>
                </v:textbox>
                <w10:wrap type="none"/>
              </v:rect>
            </w:pict>
          </mc:Fallback>
        </mc:AlternateContent>
      </w:r>
    </w:p>
    <w:tbl>
      <w:tblPr>
        <w:tblW w:w="5924" w:type="dxa"/>
        <w:jc w:val="center"/>
        <w:tblInd w:w="0" w:type="dxa"/>
        <w:tblLayout w:type="fixed"/>
        <w:tblCellMar>
          <w:top w:w="28" w:type="dxa"/>
          <w:left w:w="28" w:type="dxa"/>
          <w:bottom w:w="28" w:type="dxa"/>
          <w:right w:w="28" w:type="dxa"/>
        </w:tblCellMar>
      </w:tblPr>
      <w:tblGrid>
        <w:gridCol w:w="1300"/>
        <w:gridCol w:w="1141"/>
        <w:gridCol w:w="1144"/>
        <w:gridCol w:w="685"/>
        <w:gridCol w:w="685"/>
        <w:gridCol w:w="969"/>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Subsidiaries and Affiliates</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Jurisdiction of Formation</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11456091 Canada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(Federal)</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 Environmental Park,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15974356 Canada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(Federal)</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16037721 Canada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(Federal)</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Ashdown Road Solar,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3G&amp;L</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623 Landfill,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 M Properties,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8439117 Canada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(Federal)</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 A J Corporation</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A-Best Disposal,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Abilene Landfill TX, LP</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 Disposal Services,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 Property Acquistion Partners III,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 Property Acquistion Partners IV,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 Property Acquistion Partners V,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 Property Acquistion Partners VI,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 Property Acquistion Partners,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Action Disposal,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ACV Enviro 1045 RE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ACV Enviro CC Holding Corporation</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ACV Enviro Corporation</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ACV Enviro Holding Corporation</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ACV Enviro MA RE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ACV Enviro MD RE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ACV Enviro MI Corporation</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ACV Environmental Services,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 Landfill,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ADS of Illinois,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ADS, Inc.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Chemical Transport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Chemical Treatment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Mexico</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Accabonac Solar,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Broadalbin Solar,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CE RS XVI,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CE RS XXII,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II,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III,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IV,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IX,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V,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VI,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VII, LLC</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09" w:type="dxa"/>
        <w:jc w:val="center"/>
        <w:tblInd w:w="0" w:type="dxa"/>
        <w:tblLayout w:type="fixed"/>
        <w:tblCellMar>
          <w:top w:w="28" w:type="dxa"/>
          <w:left w:w="28" w:type="dxa"/>
          <w:bottom w:w="28" w:type="dxa"/>
          <w:right w:w="28" w:type="dxa"/>
        </w:tblCellMar>
      </w:tblPr>
      <w:tblGrid>
        <w:gridCol w:w="1651"/>
        <w:gridCol w:w="1448"/>
        <w:gridCol w:w="1461"/>
        <w:gridCol w:w="306"/>
        <w:gridCol w:w="306"/>
        <w:gridCol w:w="437"/>
      </w:tblGrid>
      <w:tr>
        <w:trPr/>
        <w:tc>
          <w:tcPr>
            <w:tcW w:w="165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VIII,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X,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XI,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XII,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XIV,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DE RS XV,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ES Westwing,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Gabreski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Greece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Holland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Johnsville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Kekaha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Lawa'i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Monroe Solar A,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Monroe Solar B,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Monroe Solar C,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Monroe Solar D,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Monroe Solar E,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Orphan Farm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RH RS XVII,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RH RS XXI,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Rochester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Tonawanda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Wawarsing Solar,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Agricultural Acquisitions,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Agri-Tech, Inc. of Oregon</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Agromin OC,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 Recycling Services,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Albany-Lebanon Sanitation,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Gas Recovery Systems,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Green Power,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Nova Scotia,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Remediation Services,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Research Affiliates,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Services,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Environmental Management Group,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Holdings (Canada) Ltd.</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Industries (Arizona),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Industries of Illinois,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Industries of Tennessee,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Industries,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Landfill Holdings,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Niagara Falls Landfill,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North America, LLC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of California, Inc.</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134" w:type="dxa"/>
        <w:jc w:val="center"/>
        <w:tblInd w:w="0" w:type="dxa"/>
        <w:tblLayout w:type="fixed"/>
        <w:tblCellMar>
          <w:top w:w="28" w:type="dxa"/>
          <w:left w:w="28" w:type="dxa"/>
          <w:bottom w:w="28" w:type="dxa"/>
          <w:right w:w="28" w:type="dxa"/>
        </w:tblCellMar>
      </w:tblPr>
      <w:tblGrid>
        <w:gridCol w:w="1726"/>
        <w:gridCol w:w="1519"/>
        <w:gridCol w:w="1524"/>
        <w:gridCol w:w="400"/>
        <w:gridCol w:w="400"/>
        <w:gridCol w:w="565"/>
      </w:tblGrid>
      <w:tr>
        <w:trPr/>
        <w:tc>
          <w:tcPr>
            <w:tcW w:w="172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Recycling Services of New Hampshire,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Rural Sanitation,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Services of Colorado,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Services of Fort Worth,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Services of Massachusetts,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Services of North America,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Services of Page,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Idaho</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Services of Stillwater,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Sycamore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Systems Holdings,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Systems of Arizona,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Systems of Colorado,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Systems of Michigan,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Systems of Montana,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Systems of Pennsylvania,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Systems,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Transfer Services of Arizona,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Transfer Services of California,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Transfer Services of Florida,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Transfer Services of New York,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Transfer Services of North Carolina,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Transfer Services of Oregon,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Transfer Services of Rhode Island,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Transfer Services of Utah,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Waste Transportation,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Allis Medina Solar,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Alpine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Amaterasu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Ameresco Roxana RNG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Disposal Services of Illinois,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Disposal Services of Kansas,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Disposal Services of Missouri,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Disposal Services of New Jersey,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Disposal Services of West Virginia,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Disposal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Disposal Transfer Services of Illinois,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Ecology Environmental Services Corporation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Materials Recycling Corp.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Sanitation,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Idaho</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Transfer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Anderson Solid Waste,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Anson County Landfill NC,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Apache Junction Landfill Corporation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 Walden Solar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Aqua Clean Environmental Company,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64" w:type="dxa"/>
        <w:jc w:val="center"/>
        <w:tblInd w:w="0" w:type="dxa"/>
        <w:tblLayout w:type="fixed"/>
        <w:tblCellMar>
          <w:top w:w="28" w:type="dxa"/>
          <w:left w:w="28" w:type="dxa"/>
          <w:bottom w:w="28" w:type="dxa"/>
          <w:right w:w="28" w:type="dxa"/>
        </w:tblCellMar>
      </w:tblPr>
      <w:tblGrid>
        <w:gridCol w:w="1630"/>
        <w:gridCol w:w="1431"/>
        <w:gridCol w:w="1438"/>
        <w:gridCol w:w="398"/>
        <w:gridCol w:w="398"/>
        <w:gridCol w:w="569"/>
      </w:tblGrid>
      <w:tr>
        <w:trPr/>
        <w:tc>
          <w:tcPr>
            <w:tcW w:w="163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Aqua Clean Environmental of Virginia,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Arbor Hills Holdings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Area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Ariana,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Aries Venture Investments Company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Assonet Solar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Astro Waste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Atlantic Waste Holding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Atlas Transport,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Attwoods of North America,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Autauga County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Automated Modular Systems,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Autoshred,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AWIN Leasing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AWIN Management,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Bakersfield Industrial PV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Bakersfield PV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Barker Brothers Waste, Incorporated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Barker Brothers,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Bay Collection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Bay Environmental Management,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Bay Landfills,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Bay Leasing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Bayside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BBCO,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Bealine Service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Beals Medina Solar,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Belleville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Benfield Holdings of Mooresville,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Benfield Sanitation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Benson Valley Landfill General Partnership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Berkeley Sanitary Service,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Berrien County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Bestway Recycling,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BFGSI Series 1997-A Trust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BFGSI,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Atlantic,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Energy Systems of Albany,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Energy Systems of Delaware County,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Energy Systems of Essex County,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Energy Systems of Hempstead,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Energy Systems of Niagara II,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Energy Systems of Niagara,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Energy Systems of SEMASS,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Energy Systems of Southeastern Connecticut,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45" w:type="dxa"/>
        <w:jc w:val="center"/>
        <w:tblInd w:w="0" w:type="dxa"/>
        <w:tblLayout w:type="fixed"/>
        <w:tblCellMar>
          <w:top w:w="28" w:type="dxa"/>
          <w:left w:w="28" w:type="dxa"/>
          <w:bottom w:w="28" w:type="dxa"/>
          <w:right w:w="28" w:type="dxa"/>
        </w:tblCellMar>
      </w:tblPr>
      <w:tblGrid>
        <w:gridCol w:w="2102"/>
        <w:gridCol w:w="1849"/>
        <w:gridCol w:w="1854"/>
        <w:gridCol w:w="422"/>
        <w:gridCol w:w="422"/>
        <w:gridCol w:w="596"/>
      </w:tblGrid>
      <w:tr>
        <w:trPr/>
        <w:tc>
          <w:tcPr>
            <w:tcW w:w="2102"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Energy Systems of Southeastern Connecticut, Limited Partnership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REF-FUEL,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Trans River (GP),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Trans River (LP),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Transfer Systems of Alabama,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Transfer Systems of Georgia,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Transfer Systems of Massachusetts,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Transfer Systems of Mississippi,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Transfer Systems of New Jersey,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Transfer Systems of Pennsylvania,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Transfer Systems of Texas, LP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Transfer Systems of Virginia,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Services of Indiana, LP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Services of Pennsylvania,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Services of Texas, LP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Services,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Alabama,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Arkansas,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Georgia,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Louisiana,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Massachusetts,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Mississippi,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Missouri,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New Jersey,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North America,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Oklahoma,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Tennessee,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BFI Waste Systems of Virginia,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Bio-Med of Oregon,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Blackhorse Farm Solar,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Rhode Island</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Bloomington Haulers,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Mountain Recycling,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Polymers,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Ridge Landfill TX, LP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Bom Ambiente Insurance Company</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Bond County Landfill,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Borrego Landfill,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 Pit Corp.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Brenham Total Roll-Offs, LP</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Brickyard Disposal &amp; Recycling,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Bridgeton Landfill,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Bridgeton Transfer Station, LLC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Industries Chemical Services,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Industries de Mexico, S.A. de C.V.</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Industries of California, Inc.</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58" w:type="dxa"/>
        <w:jc w:val="center"/>
        <w:tblInd w:w="0" w:type="dxa"/>
        <w:tblLayout w:type="fixed"/>
        <w:tblCellMar>
          <w:top w:w="28" w:type="dxa"/>
          <w:left w:w="28" w:type="dxa"/>
          <w:bottom w:w="28" w:type="dxa"/>
          <w:right w:w="28" w:type="dxa"/>
        </w:tblCellMar>
      </w:tblPr>
      <w:tblGrid>
        <w:gridCol w:w="1483"/>
        <w:gridCol w:w="1304"/>
        <w:gridCol w:w="1307"/>
        <w:gridCol w:w="422"/>
        <w:gridCol w:w="422"/>
        <w:gridCol w:w="520"/>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Industries of Florida,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Industries of Illinois,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Industries of New Jersey,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Industries of New York,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Industries of Ohio,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Industries of Tennessee,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Industries,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Industries,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Services,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Browning-Ferris,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Brunswick Waste Management Facility,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BSS Recycling,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Bullock Freetown Solar 1,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Bunting Trash Service,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Butler County Landfill,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BWC Lake Lashaway,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BWC Muddy Brook,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&amp; C Expanded Sanitary Landfill,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Cactus Waste Systems,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Calvert Trash Service, Incorporated</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Calvert Trash Systems, Incorporated</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Camelot Landfill TX, LP</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Waste &amp; Recycling,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Capitol Recycling and Disposal,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Carbon Limestone Landfill,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 Landfill,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CECOS International,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Cefe Landfill TX, LP</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Celina Landfill,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Arizona Transfer,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Line Solar,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Sanitary Landfill,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Texas Refuse,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Central Virginia Properties,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Champlin Refuse,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Charter Evaporation Resource Recovery Systems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Cherokee Run Landfill,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Chilton Landfill,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Citizens Disposal,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City-Star Services,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Clarkston Disposal,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Venture,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Clinton County Landfill Partnership</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Cocopah Landfill,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Compactor Rental Systems of Delaware,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05" w:type="dxa"/>
        <w:jc w:val="center"/>
        <w:tblInd w:w="0" w:type="dxa"/>
        <w:tblLayout w:type="fixed"/>
        <w:tblCellMar>
          <w:top w:w="28" w:type="dxa"/>
          <w:left w:w="28" w:type="dxa"/>
          <w:bottom w:w="28" w:type="dxa"/>
          <w:right w:w="28" w:type="dxa"/>
        </w:tblCellMar>
      </w:tblPr>
      <w:tblGrid>
        <w:gridCol w:w="1622"/>
        <w:gridCol w:w="1428"/>
        <w:gridCol w:w="1434"/>
        <w:gridCol w:w="385"/>
        <w:gridCol w:w="385"/>
        <w:gridCol w:w="551"/>
      </w:tblGrid>
      <w:tr>
        <w:trPr/>
        <w:tc>
          <w:tcPr>
            <w:tcW w:w="162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Congress Development Co.</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Disposal Service,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Processing,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Continental Waste Industries - Gary,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Continental Waste Industries,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 Shamrock Holdings,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 Mountain Landfill,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Corvallis Disposal Co.</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County Disposal (Ohio),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County Disposal,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County Environmental Landfill,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County Land Development Landfill,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County Landfill,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County Line Landfill Partnership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Courtney Ridge Landfill,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Covington Waste,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Crockett Sanitary Service,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Cronin Road Solar 1,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 Landfill TX,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County Development Company,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CWI of Florida,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CWI of Illinois,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CWI of Missouri,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Cycle Chem,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&amp; L Disposal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Delano PV 1,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Delta Container Corporation</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Delta Dade Recycling Corp.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Delta Paper Stock, Co.</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Delta Resources Corp.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Delta Site Development Corp.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Delta Waste Corp.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Dempsey Waste Systems II,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 RL North,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Desarrollo del Rancho La Gloria TX,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Devens Recycling Center,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Dinverno,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DTC Management,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Dunstable Solar 1,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 &amp; P Investment Corporation</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Construction and Environmental Services,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Industries Leasing,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Brookfield Main Street Solar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Chicago Compost Facility,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ECDC Environmental, 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48" w:type="dxa"/>
        <w:jc w:val="center"/>
        <w:tblInd w:w="0" w:type="dxa"/>
        <w:tblLayout w:type="fixed"/>
        <w:tblCellMar>
          <w:top w:w="28" w:type="dxa"/>
          <w:left w:w="28" w:type="dxa"/>
          <w:bottom w:w="28" w:type="dxa"/>
          <w:right w:w="28" w:type="dxa"/>
        </w:tblCellMar>
      </w:tblPr>
      <w:tblGrid>
        <w:gridCol w:w="2164"/>
        <w:gridCol w:w="1896"/>
        <w:gridCol w:w="1909"/>
        <w:gridCol w:w="404"/>
        <w:gridCol w:w="404"/>
        <w:gridCol w:w="571"/>
      </w:tblGrid>
      <w:tr>
        <w:trPr/>
        <w:tc>
          <w:tcPr>
            <w:tcW w:w="216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ECDC Holdings,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ECOFLO Field Services,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ECOFLO Holding,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ECOFLO Logistics,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ECOFLO Recycling,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ECOFLO Southeast,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ECOFLO,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 Centro Landfill, L.P.</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Elder Creek Transfer &amp; Recovery,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Ellis County Landfill TX, LP</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Ellis Scott Landfill MO,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Envirite of Illinois,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Envirite of Ohio,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Envirite of Pennsylvania,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Envirite Transportation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Envirocycle,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Development Corp.</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Quality Industrial Services de Mexico, S. de R.L. de C.V.</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Reclamation Company</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Services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Environtech,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EnviroTech Consultants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Envirowaste,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Envotech-Illinois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 Detroit,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 Holdings,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 Industrial Services,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 Metals Recovery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 Northeast,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 Parent Company,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Essential Water Solutions,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Evergreen National Indemnity Company</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Evergreen Scavenger Service,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Evergreen Scavenger Service,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 P. McNamara Rubbish Removal,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FCR Camden,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FCR Florida,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FCR Greensboro,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FCR Morris,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FCR Tennessee,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FCR,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Finchville Solar,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Fiorito Enterprises,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Part Development,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Flint Hill Road,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21" w:type="dxa"/>
        <w:jc w:val="center"/>
        <w:tblInd w:w="0" w:type="dxa"/>
        <w:tblLayout w:type="fixed"/>
        <w:tblCellMar>
          <w:top w:w="28" w:type="dxa"/>
          <w:left w:w="28" w:type="dxa"/>
          <w:bottom w:w="28" w:type="dxa"/>
          <w:right w:w="28" w:type="dxa"/>
        </w:tblCellMar>
      </w:tblPr>
      <w:tblGrid>
        <w:gridCol w:w="1625"/>
        <w:gridCol w:w="1424"/>
        <w:gridCol w:w="1451"/>
        <w:gridCol w:w="384"/>
        <w:gridCol w:w="384"/>
        <w:gridCol w:w="553"/>
      </w:tblGrid>
      <w:tr>
        <w:trPr/>
        <w:tc>
          <w:tcPr>
            <w:tcW w:w="162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FLL,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 Recycling Solutions,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Foothill Sanitary Landfill,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Forest View Landfill,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Worth Landfill TX,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Founder's Homestead Farm Solar,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Rhode Island</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Frankfort Environmental Development Company,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Frontier Waste Services (Colorado),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Frontier Waste Services (Utah),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Frontier Waste Services of Louisiana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Frontier Waste Services,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 Van Dyken Disposal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Galveston County Landfill TX,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Gateway Landfill,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GEK,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Refuse Rolloff Corp.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 Recycling Services,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GGH North Dakota,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Dakota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GGWM,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Indemnity Assurance Company</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Vermont</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Golden Bear Transfer Services,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Golden Triangle Landfill TX,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Golden Waste Disposal,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 Pass Sanitation,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Lakes Disposal Service,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Plains Landfill OK,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 Valley Landfill General Partnership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Greenridge Reclamation,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Greenridge Waste Services,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Greenwich Solar 1,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Greenwood Landfill TX,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GreenWorks,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Gulf West Landfill TX,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Gulfcoast Waste Service,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 B Data Security,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Hancock County Development Company,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Harland's Sanitary Landfill,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Harrison County Landfill,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HMD Waste,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Honeygo Run Reclamation Center,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 Street Holdings,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Baylor 27th Avenue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Baylor Atlantic County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Baylor Beacon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04" w:type="dxa"/>
        <w:jc w:val="center"/>
        <w:tblInd w:w="0" w:type="dxa"/>
        <w:tblLayout w:type="fixed"/>
        <w:tblCellMar>
          <w:top w:w="28" w:type="dxa"/>
          <w:left w:w="28" w:type="dxa"/>
          <w:bottom w:w="28" w:type="dxa"/>
          <w:right w:w="28" w:type="dxa"/>
        </w:tblCellMar>
      </w:tblPr>
      <w:tblGrid>
        <w:gridCol w:w="1390"/>
        <w:gridCol w:w="1223"/>
        <w:gridCol w:w="1226"/>
        <w:gridCol w:w="400"/>
        <w:gridCol w:w="400"/>
        <w:gridCol w:w="565"/>
      </w:tblGrid>
      <w:tr>
        <w:trPr/>
        <w:tc>
          <w:tcPr>
            <w:tcW w:w="139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Baylor Cape May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Baylor North Gateway,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Baylor Tucson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Hyder Waste Container,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Illiana Disposal Partnership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 Recycling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 Valley Recycling,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Trucking Company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Ingrum Waste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Disposal Corp. of California</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Island Waste Services Ltd.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Itasca Landfill TX,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Jefferson City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Jetter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JG Environmental,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Johnstown Solar 1,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JRM Hauling and Recycling Services II,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JRM Hauling and Recycling Services,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JSI Houston Transfer Station,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 &amp; K Trash Removal,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Kankakee Quarry,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Keller Canyon Landfill Company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Keller Drop Box,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Kent-Meridian Disposal Company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Kerrville Landfill TX,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Waste Indiana Partnership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 Cañada Disposal Company,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Lake County C &amp; D Development Partnership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Lake Norman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LandComp Corporation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Lane Ave Solar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Lathrop Sunrise Sanitation Corporation</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Lee County Landfill SC,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Lee County Landfill,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Lemons Landfill,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Lewistown Disposal,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Lewisville Landfill TX,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LGS Renewables I, 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Waste Holdings,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Waste Services Limited,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Waste Services of Illinois,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Waste Services of McCook,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Lightning Renewables,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703" w:type="dxa"/>
        <w:jc w:val="center"/>
        <w:tblInd w:w="0" w:type="dxa"/>
        <w:tblLayout w:type="fixed"/>
        <w:tblCellMar>
          <w:top w:w="28" w:type="dxa"/>
          <w:left w:w="28" w:type="dxa"/>
          <w:bottom w:w="28" w:type="dxa"/>
          <w:right w:w="28" w:type="dxa"/>
        </w:tblCellMar>
      </w:tblPr>
      <w:tblGrid>
        <w:gridCol w:w="1928"/>
        <w:gridCol w:w="1696"/>
        <w:gridCol w:w="1700"/>
        <w:gridCol w:w="426"/>
        <w:gridCol w:w="426"/>
        <w:gridCol w:w="527"/>
      </w:tblGrid>
      <w:tr>
        <w:trPr/>
        <w:tc>
          <w:tcPr>
            <w:tcW w:w="1928"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Local Sanitation of Rowan County,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Loop Recycling,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Loop Transfer, Incorporated</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Lorain Carbon Zero Solutions,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Lorain County Landfill,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 Pinto &amp; Son, Inc., Sanitation Contractors</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Lucas County Landfill,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Madison County Development,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Manteca PV 1,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Manumit of Florida,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Marion Investment Group,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Marion Recycling Center,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Marion Resource Recovery Facility,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Maui 17-2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Hawaii</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McCarty Road Landfill TX, LP</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McCusker Recycling,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McInnis Waste Systems,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 Landfill,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Menands Environmental Solutions,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Mesa Disposal,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Mesquite Landfill TX, LP</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Mexia Landfill TX, LP</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 Disposal Services,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 Disposal,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 America Contractors,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Middletown Solar 1,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 Waste Paper Company</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 City Landfill,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Modern Power,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Modern-Mallard Energy,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 Waste Systems,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Morgantown Landfill,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MORS Refining Systems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Home Disposal,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States Packaging,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 Leasing Company,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Response Corp. Aruba N.V.</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Aruba</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Response Corporation</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Response Corporation Mexico NRC, S. de R.L. de C.V.</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NationsWaste Catawba Regional Landfill,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NationsWaste,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Natl Response Corporation of Puerto Rico</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Brunswick Recycling Center,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Mexico Disposal Co., LLC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Morgan Landfill Company, Inc.</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44" w:type="dxa"/>
        <w:jc w:val="center"/>
        <w:tblInd w:w="0" w:type="dxa"/>
        <w:tblLayout w:type="fixed"/>
        <w:tblCellMar>
          <w:top w:w="28" w:type="dxa"/>
          <w:left w:w="28" w:type="dxa"/>
          <w:bottom w:w="28" w:type="dxa"/>
          <w:right w:w="28" w:type="dxa"/>
        </w:tblCellMar>
      </w:tblPr>
      <w:tblGrid>
        <w:gridCol w:w="1421"/>
        <w:gridCol w:w="1253"/>
        <w:gridCol w:w="1256"/>
        <w:gridCol w:w="529"/>
        <w:gridCol w:w="414"/>
        <w:gridCol w:w="571"/>
      </w:tblGrid>
      <w:tr>
        <w:trPr/>
        <w:tc>
          <w:tcPr>
            <w:tcW w:w="142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Waste Services,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Newton County Landfill Partnership</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Nichols Street Properties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NMRT,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Mexico</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Noble Road Landfill,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South Fibres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State Renewables,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 Landfill,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Northlake Transfer,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Northwest Tennessee Disposal Corporation</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(Asia Pacific) Ltd.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(Egypt)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Egypt</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(Trinidad and Tobago)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Trinidad</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East Environmental Services,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Environmental of Maine,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Environmental Services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Gulf Environmental Services,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Int. Holding Company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Marshall Islands</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Intermediate Int. Holding Company,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NY Environmental Services,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Payroll Management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NRC Servicing Limited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 RNM Project1,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 RNM Project1A,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 RNM Project2,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 RNM Project3,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 RNM Project4,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Oahu SPE 101-14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Hawaii</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Oahu SPE 101-19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Hawaii</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Oahu SPE 101-2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Hawaii</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Oahu SPE 101-4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Hawaii</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Oahu SPE 101-9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Hawaii</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Oakland Heights Development,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Obscurity Land Development,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Oceanside Waste &amp; Recycling Services</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Republic Contracts, II,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Republic Contracts,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 City Landfill,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OP-TECH Avix,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Oscar's Collection System of Fremont,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OSRV Holdings,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Otay Landfill,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Ottawa County Landfill,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Packerton Land Company, L.L.C.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Palomar Transfer Station, Inc.</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90" w:type="dxa"/>
        <w:jc w:val="center"/>
        <w:tblInd w:w="0" w:type="dxa"/>
        <w:tblLayout w:type="fixed"/>
        <w:tblCellMar>
          <w:top w:w="28" w:type="dxa"/>
          <w:left w:w="28" w:type="dxa"/>
          <w:bottom w:w="28" w:type="dxa"/>
          <w:right w:w="28" w:type="dxa"/>
        </w:tblCellMar>
      </w:tblPr>
      <w:tblGrid>
        <w:gridCol w:w="1202"/>
        <w:gridCol w:w="1054"/>
        <w:gridCol w:w="1059"/>
        <w:gridCol w:w="372"/>
        <w:gridCol w:w="372"/>
        <w:gridCol w:w="531"/>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Peltier Real Estate Company</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Peninsula Waste Systems,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Perdomo &amp; Sons,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Pinal County Landfill Corp.</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Pine Bend Holdings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Pine Hill Farms Landfill TX, LP</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Pinecrest Landfill OK,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Pittsburg County Landfill,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Pleasant Oaks Landfill TX, LP</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 Clinton Landfill,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Portable Storage Co.</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Preble County Landfill,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&amp; Sons Recycling Company</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Prichard Landfill Corporation</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Virginia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Quail Run Services,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R.C. Miller Enterprises,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R.C. Miller Refuse Service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Rabanco Companies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Rabanco Recycling,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Rabanco, Ltd.</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Rainbow Disposal Co.,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Rainbow Environmental Services,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Rainbow Transfer/Recycling,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Rainbow West Florida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Ramona Landfill,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Randy's Rentals,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Randy's Sanitation,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Ransomville Solar 1,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RCS,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 Community Delaware,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 Community Great Lakes,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 Community Holdings II,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 Community Renew New York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 Biodiesel,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ReCommunity Corporation</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ReCommunity Farmingdale,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ReCommunity Kentucky,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ReCommunity West Corporation</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Diamond Disposal,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Disposal Company</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Reliable Disposal,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Circular Solutions,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Dumpco, Inc.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EES,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Environmental Services, LLC</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65" w:type="dxa"/>
        <w:jc w:val="center"/>
        <w:tblInd w:w="0" w:type="dxa"/>
        <w:tblLayout w:type="fixed"/>
        <w:tblCellMar>
          <w:top w:w="28" w:type="dxa"/>
          <w:left w:w="28" w:type="dxa"/>
          <w:bottom w:w="28" w:type="dxa"/>
          <w:right w:w="28" w:type="dxa"/>
        </w:tblCellMar>
      </w:tblPr>
      <w:tblGrid>
        <w:gridCol w:w="1776"/>
        <w:gridCol w:w="1561"/>
        <w:gridCol w:w="1568"/>
        <w:gridCol w:w="455"/>
        <w:gridCol w:w="455"/>
        <w:gridCol w:w="650"/>
      </w:tblGrid>
      <w:tr>
        <w:trPr/>
        <w:tc>
          <w:tcPr>
            <w:tcW w:w="177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Environmental Technologies,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Industrial and Energy Solutions,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Lightning,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Ohio Contracts,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Polymer Centers Holdings,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Polymers II,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Polymers III,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Polymers IV,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Polymers,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Recycling Services of Nevada,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Alliance Group II,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Alliance Group III,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Alliance Group IV,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Alliance Group,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Aviation,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Blue Ridge Energy Development,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Customer Resource Center Central,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Customer Resource Center East,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Customer Resource Center West,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Digital Ventures I,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Environmental Solutions II,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Environmental Solutions III,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Environmental,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Group,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Holding Company,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Intellectual Property Holdings,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Leasing Company,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National Accounts,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Arizona Hauling,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British Columbia,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Buffalo,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California Holding Company,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California II,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Canada,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Colorado Hauling,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Colorado I,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Florida GP,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Florida LP,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Florida, Limited Partnership</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Georgia GP,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Georgia LP,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Georgia, Limited Partnership</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Indiana LP, Inc.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Indiana Transportation, LLC</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Indiana, Limited Partnership</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388" w:type="dxa"/>
        <w:jc w:val="center"/>
        <w:tblInd w:w="0" w:type="dxa"/>
        <w:tblLayout w:type="fixed"/>
        <w:tblCellMar>
          <w:top w:w="28" w:type="dxa"/>
          <w:left w:w="28" w:type="dxa"/>
          <w:bottom w:w="28" w:type="dxa"/>
          <w:right w:w="28" w:type="dxa"/>
        </w:tblCellMar>
      </w:tblPr>
      <w:tblGrid>
        <w:gridCol w:w="1817"/>
        <w:gridCol w:w="1597"/>
        <w:gridCol w:w="1610"/>
        <w:gridCol w:w="398"/>
        <w:gridCol w:w="398"/>
        <w:gridCol w:w="568"/>
      </w:tblGrid>
      <w:tr>
        <w:trPr/>
        <w:tc>
          <w:tcPr>
            <w:tcW w:w="181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Iowa,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Kentucky,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Maryland,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Massachusetts,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Michigan Hauling,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Michigan Holding Company,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Michigan I,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Michigan II,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Michigan III,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Michigan IV,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New Jersey,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North Carolina,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Ohio Hauling,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Ohio I,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Ohio II,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Ohio III,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Ohio IV,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Ohio Transportation,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Ontario,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Oxnard,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PA - Environmental Solutions,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Pennsylvania,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Smith County,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Sonoma County Energy Producers,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Sonoma County,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South Carolina,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Southern California,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Tennessee,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Virginia,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Wisconsin GP,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Wisconsin LP,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of Wisconsin, Limited Partnership</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Organic Holding,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Organic Solutions,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Procurement,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Real Estate Holding,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Recycling of Indiana,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Renewable Energy II,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Renewable Energy III,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Renewable Energy,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Risk Management,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Vasco Road,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Silver State Disposal,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Transportation Services of Canada,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Waste Services of Southern California,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49" w:type="dxa"/>
        <w:jc w:val="center"/>
        <w:tblInd w:w="0" w:type="dxa"/>
        <w:tblLayout w:type="fixed"/>
        <w:tblCellMar>
          <w:top w:w="28" w:type="dxa"/>
          <w:left w:w="28" w:type="dxa"/>
          <w:bottom w:w="28" w:type="dxa"/>
          <w:right w:w="28" w:type="dxa"/>
        </w:tblCellMar>
      </w:tblPr>
      <w:tblGrid>
        <w:gridCol w:w="1405"/>
        <w:gridCol w:w="1236"/>
        <w:gridCol w:w="1244"/>
        <w:gridCol w:w="398"/>
        <w:gridCol w:w="398"/>
        <w:gridCol w:w="568"/>
      </w:tblGrid>
      <w:tr>
        <w:trPr/>
        <w:tc>
          <w:tcPr>
            <w:tcW w:w="140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Waste Services of Texas GP,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Waste Services of Texas LP,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Waste Services of Texas, Ltd.</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Waste, Limited Partnership</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Recovery Systems,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Recovery,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RI/Alameda Corp.</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Richmond Administrative,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Richmond Sanitary Service,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Richmond Solar Power 1,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Rhode Island</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RIES Holdings,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Rincon Solar I,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RITM,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 Recycling,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 Street Solar 1,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Roosevelt Associates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Ross Bros. Waste &amp; Recycling Co.</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Rossman Sanitary Service,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Roxana Landfill,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 Holdings,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RSG Cayman Group,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RT52 Walden Solar 1,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RTF Romulus,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Rubbish Control,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RWS Texas Leasing Company,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RWS Transport, L.P.</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Road Solar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&amp; S Recycling,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Saguaro National Captive Insurance Company</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Saline County Landfill,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Diego Landfill Systems,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Bay Railway,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Marcos NCRRF,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Sand Valley Holdings,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Sandy Hollow Landfill Corp.</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Virginia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Sangamon Valley Landfill,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Sanifill,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Sanitary Disposal Service, Inc.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Santek Environmental of Alabama,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Santek Environmental of Arkansas,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Arkansas</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Santek Environmental of Georgia,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Santek Environmental of Kentucky,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Santek Environmental of North Carolina,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Santek Environmental of Pine Belt,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Santek Environmental of Tennessee, LLC</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90" w:type="dxa"/>
        <w:jc w:val="center"/>
        <w:tblInd w:w="0" w:type="dxa"/>
        <w:tblLayout w:type="fixed"/>
        <w:tblCellMar>
          <w:top w:w="28" w:type="dxa"/>
          <w:left w:w="28" w:type="dxa"/>
          <w:bottom w:w="28" w:type="dxa"/>
          <w:right w:w="28" w:type="dxa"/>
        </w:tblCellMar>
      </w:tblPr>
      <w:tblGrid>
        <w:gridCol w:w="1435"/>
        <w:gridCol w:w="1259"/>
        <w:gridCol w:w="1266"/>
        <w:gridCol w:w="443"/>
        <w:gridCol w:w="443"/>
        <w:gridCol w:w="644"/>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Santek Environmental of Texas,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Santek Environmental of Virginia,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Santek Environmental,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Santek Waste Services,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Sauk Trail Development,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Schofield Corporation of Orlando</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Shamrock Environmental Corporation</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Show-Me Landfill,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Shred - All Recycling Systems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 Peak Energy,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Simmons &amp; Eastern,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Skipjack Solar Center,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Solano Garbage Company</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Source Recycling,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Trans,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Southeast Landfill,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Illinois Regional Landfill,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Sanitation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Tank Leasing,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Waste Services,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Southwest Landfill TX, LP</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Specialized Response Solutions (Canada)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Specialized Response Solutions, L.P.</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Springfield Environmental General Partnership</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S-Road Facility,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Paul Haulers,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Stablex Canada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(Federal)</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Disposal Services,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Environmental Services,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Waste,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Streator Area Landfill,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Suburban Transfer,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Suburban Warehouse,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Waste Systems,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Sanitation Service,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Sunset Disposal Service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Sunset Disposal,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Sycamore Landfill,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Tate's Transfer Systems,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Tay-Ban Corporation</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Tayman Industries,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Ecology Group,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Disposal Service,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Tidal Tank,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Tippecanoe County Waste Services Partnership</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280" w:type="dxa"/>
        <w:jc w:val="center"/>
        <w:tblInd w:w="0" w:type="dxa"/>
        <w:tblLayout w:type="fixed"/>
        <w:tblCellMar>
          <w:top w:w="28" w:type="dxa"/>
          <w:left w:w="28" w:type="dxa"/>
          <w:bottom w:w="28" w:type="dxa"/>
          <w:right w:w="28" w:type="dxa"/>
        </w:tblCellMar>
      </w:tblPr>
      <w:tblGrid>
        <w:gridCol w:w="2517"/>
        <w:gridCol w:w="2217"/>
        <w:gridCol w:w="2225"/>
        <w:gridCol w:w="387"/>
        <w:gridCol w:w="387"/>
        <w:gridCol w:w="547"/>
      </w:tblGrid>
      <w:tr>
        <w:trPr/>
        <w:tc>
          <w:tcPr>
            <w:tcW w:w="2517"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TMC Services,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Tom Luciano's Disposal Service,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Toro Energy of Indiana,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Roll-Offs,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Solid Waste Recyclers,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Waste,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Mexico</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Trash Butler,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Tricil (N.Y.),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Tri-County Refuse Service,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Tri-State Recycling Services,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Tri-State Refuse Corporation</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 Creek Landfill TX, LP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Disposal Service,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University Solar,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Rhode Island</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Upper Rock Island County Landfill,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Alaska,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Burlington,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Canada Inc. /Les Solutions Environnementales US Ecology Canada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Energy Waste Disposal Services,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Group Holdings Corp.</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Group Holdings,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Holdings Group,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Holdings,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Holdings,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Houston,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Idaho,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Illinois,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Karnes County Disposal,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Livonia,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Michigan,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Nevada,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Romulus,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Stablex Holdings,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Sulligent,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Tampa,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Taylor,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Texas,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Thermal Services,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Transportation Solutions,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Tulsa,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US Holding Company,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Vernon,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Washington,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Winnie,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Ecology,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60" w:type="dxa"/>
        <w:jc w:val="center"/>
        <w:tblInd w:w="0" w:type="dxa"/>
        <w:tblLayout w:type="fixed"/>
        <w:tblCellMar>
          <w:top w:w="28" w:type="dxa"/>
          <w:left w:w="28" w:type="dxa"/>
          <w:bottom w:w="28" w:type="dxa"/>
          <w:right w:w="28" w:type="dxa"/>
        </w:tblCellMar>
      </w:tblPr>
      <w:tblGrid>
        <w:gridCol w:w="1426"/>
        <w:gridCol w:w="1246"/>
        <w:gridCol w:w="1258"/>
        <w:gridCol w:w="447"/>
        <w:gridCol w:w="447"/>
        <w:gridCol w:w="636"/>
      </w:tblGrid>
      <w:tr>
        <w:trPr/>
        <w:tc>
          <w:tcPr>
            <w:tcW w:w="14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Canada Holdings,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(Federal)</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EWD Holdco,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Valley Landfills,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Venezuelan Response Corporation</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Venezuela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VHG,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 Landfill TX, LP</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Vining Disposal Service,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American Industries,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 Orange RD Solar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Warner Hill Development Company</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Wasatch Regional Landfill,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 Control Systems,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 Repurposing International,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 Services Group,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 Services of Alabama,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 Services of Georgia,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 Services of Hattiesburg,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 Services of Kentucky,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 Services of New York,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 Services of Tennessee,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 Services of Texas,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Wastehaul,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County Land Development,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County Landfill IL,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Developers,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Wayne Disposal,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WDTR,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Parish Landfill,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Wellkept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Brookfield Boston Post Road Solar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Contra Costa Energy Recovery Company</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Contra Costa Sanitary Landfill,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County Landfill,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County Resource Recovery,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Street Solar 1,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Whispering Pines Landfill TX, LP</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Wilbur Woods Solar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Willamette Resources,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Williams County Landfill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Williamsburg East Street Solar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Willow Ridge Landfill,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Wilshire Disposal Service</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Winchendon Ash Street Solar 1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Winchendon Lincoln Avenue Solar 1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Winchendon Lincoln Avenue Solar 2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425" w:type="dxa"/>
        <w:jc w:val="center"/>
        <w:tblInd w:w="0" w:type="dxa"/>
        <w:tblLayout w:type="fixed"/>
        <w:tblCellMar>
          <w:top w:w="28" w:type="dxa"/>
          <w:left w:w="28" w:type="dxa"/>
          <w:bottom w:w="28" w:type="dxa"/>
          <w:right w:w="28" w:type="dxa"/>
        </w:tblCellMar>
      </w:tblPr>
      <w:tblGrid>
        <w:gridCol w:w="1124"/>
        <w:gridCol w:w="989"/>
        <w:gridCol w:w="991"/>
        <w:gridCol w:w="386"/>
        <w:gridCol w:w="386"/>
        <w:gridCol w:w="549"/>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WJR Environmental,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Woodlake Sanitary Service, Inc.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Zakaroff Services</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2017-001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2017-003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2017-007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2017-008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2017-011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2017-014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2017-017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2017-021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2017-023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2017-024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2017-038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ZPD-PT Solar Project 2017-044 LLC</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Consent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consent to the incorporation by reference in the following Registration Statements: </w:t>
      </w:r>
    </w:p>
    <w:tbl>
      <w:tblPr>
        <w:tblW w:w="10205" w:type="dxa"/>
        <w:jc w:val="left"/>
        <w:tblInd w:w="0" w:type="dxa"/>
        <w:tblLayout w:type="fixed"/>
        <w:tblCellMar>
          <w:top w:w="28" w:type="dxa"/>
          <w:left w:w="28" w:type="dxa"/>
          <w:bottom w:w="28" w:type="dxa"/>
          <w:right w:w="28" w:type="dxa"/>
        </w:tblCellMar>
      </w:tblPr>
      <w:tblGrid>
        <w:gridCol w:w="282"/>
        <w:gridCol w:w="248"/>
        <w:gridCol w:w="249"/>
        <w:gridCol w:w="109"/>
        <w:gridCol w:w="109"/>
        <w:gridCol w:w="109"/>
        <w:gridCol w:w="329"/>
        <w:gridCol w:w="329"/>
        <w:gridCol w:w="331"/>
        <w:gridCol w:w="109"/>
        <w:gridCol w:w="109"/>
        <w:gridCol w:w="109"/>
        <w:gridCol w:w="2511"/>
        <w:gridCol w:w="2179"/>
        <w:gridCol w:w="3093"/>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333-150943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2007 Stock Incentive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333-156070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2006 Incentive Stock Plan (f/k/a Allied Waste Industries, Inc. 2006 Incentive Stock Plan) and Republic Services, Inc. 2005 Non-Employee Director Equity Compensation Plan (f/k/a Allied Waste Industries, Inc. 2005 Non-Employee Director Equity Compensation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333-170174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Deferred Compensation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333-175879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Amended and Restated 2007 Stock Incentive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333-221582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Deferred Compensation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333-228002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Republic Services, Inc. 2018 Employee Stock Purchase Plan </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333-249990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Republic Services, Inc. 2021 Stock Incentive Plan</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333-266553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w:t>
            </w:r>
          </w:p>
        </w:tc>
      </w:tr>
    </w:tbl>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of our reports dated February 13, 2025, with respect to the consolidated financial statements of Republic Services, Inc. and the effectiveness of internal control over financial reporting of Republic Services, Inc., included in this Annual Report (Form 10-K) of Republic Services, Inc. for the year ended December 31, 2024.</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Ernst &amp; Young LLP</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Phoenix, Arizona</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13,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Jon Vander Ark, certify that: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2024 Annual Report on Form 10-K of Republic Services, Inc.;</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236" w:type="dxa"/>
        <w:jc w:val="left"/>
        <w:tblInd w:w="0" w:type="dxa"/>
        <w:tblLayout w:type="fixed"/>
        <w:tblCellMar>
          <w:top w:w="28" w:type="dxa"/>
          <w:left w:w="28" w:type="dxa"/>
          <w:bottom w:w="28" w:type="dxa"/>
          <w:right w:w="28" w:type="dxa"/>
        </w:tblCellMar>
      </w:tblPr>
      <w:tblGrid>
        <w:gridCol w:w="124"/>
        <w:gridCol w:w="109"/>
        <w:gridCol w:w="109"/>
        <w:gridCol w:w="847"/>
        <w:gridCol w:w="847"/>
        <w:gridCol w:w="12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President and Chief Executive Officer</w:t>
              <w:br/>
              <w:t>(Principal Executive Officer)</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80" w:after="283"/>
        <w:jc w:val="left"/>
        <w:rPr/>
      </w:pPr>
      <w:r>
        <w:rPr>
          <w:rFonts w:ascii="Times New Roman;sans-serif" w:hAnsi="Times New Roman;sans-serif"/>
          <w:b w:val="false"/>
          <w:color w:val="000000"/>
          <w:sz w:val="20"/>
        </w:rPr>
        <w:t>I, Brian D</w:t>
      </w:r>
      <w:r>
        <w:rPr>
          <w:rFonts w:ascii="Times New Roman;sans-serif" w:hAnsi="Times New Roman;sans-serif"/>
          <w:b w:val="false"/>
          <w:color w:val="000000"/>
          <w:sz w:val="16"/>
        </w:rPr>
        <w:t>el</w:t>
      </w:r>
      <w:r>
        <w:rPr>
          <w:rFonts w:ascii="Times New Roman;sans-serif" w:hAnsi="Times New Roman;sans-serif"/>
          <w:b w:val="false"/>
          <w:color w:val="000000"/>
          <w:sz w:val="20"/>
        </w:rPr>
        <w:t>Ghiaccio, certify that: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2024 Annual Report on Form 10-K of Republic Services, Inc.;</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787" w:type="dxa"/>
        <w:jc w:val="left"/>
        <w:tblInd w:w="0" w:type="dxa"/>
        <w:tblLayout w:type="fixed"/>
        <w:tblCellMar>
          <w:top w:w="28" w:type="dxa"/>
          <w:left w:w="28" w:type="dxa"/>
          <w:bottom w:w="28" w:type="dxa"/>
          <w:right w:w="28" w:type="dxa"/>
        </w:tblCellMar>
      </w:tblPr>
      <w:tblGrid>
        <w:gridCol w:w="124"/>
        <w:gridCol w:w="109"/>
        <w:gridCol w:w="109"/>
        <w:gridCol w:w="715"/>
        <w:gridCol w:w="715"/>
        <w:gridCol w:w="1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BRIAN D</w:t>
            </w:r>
            <w:r>
              <w:rPr>
                <w:rFonts w:ascii="Times New Roman;sans-serif" w:hAnsi="Times New Roman;sans-serif"/>
                <w:b w:val="false"/>
                <w:color w:val="000000"/>
                <w:sz w:val="16"/>
              </w:rPr>
              <w:t>EL</w:t>
            </w:r>
            <w:r>
              <w:rPr>
                <w:rFonts w:ascii="Times New Roman;sans-serif" w:hAnsi="Times New Roman;sans-serif"/>
                <w:b w:val="false"/>
                <w:color w:val="000000"/>
                <w:sz w:val="20"/>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Brian D</w:t>
            </w:r>
            <w:r>
              <w:rPr>
                <w:rFonts w:ascii="Times New Roman;sans-serif" w:hAnsi="Times New Roman;sans-serif"/>
                <w:b/>
                <w:color w:val="000000"/>
                <w:sz w:val="16"/>
              </w:rPr>
              <w:t>el</w:t>
            </w:r>
            <w:r>
              <w:rPr>
                <w:rFonts w:ascii="Times New Roman;sans-serif" w:hAnsi="Times New Roman;sans-serif"/>
                <w:b/>
                <w:color w:val="000000"/>
                <w:sz w:val="18"/>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Vice President,</w:t>
              <w:br/>
              <w:t>Chief Financial Officer</w:t>
              <w:br/>
              <w:t>(Principal Financial Officer)</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Republic Services, Inc. (the Company) for the annual period ended December 31, 2024 as filed with the Securities and Exchange Commission on the date hereof (the Report), I, Jon Vander Ark, President and Chief Executive Officer of the Company, hereby certify, pursuant to 18 U.S.C. Section 1350, as adopted pursuant to Section 906 of the Sarbanes-Oxley Act of 2002, that to the best of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236" w:type="dxa"/>
        <w:jc w:val="left"/>
        <w:tblInd w:w="0" w:type="dxa"/>
        <w:tblLayout w:type="fixed"/>
        <w:tblCellMar>
          <w:top w:w="28" w:type="dxa"/>
          <w:left w:w="28" w:type="dxa"/>
          <w:bottom w:w="28" w:type="dxa"/>
          <w:right w:w="28" w:type="dxa"/>
        </w:tblCellMar>
      </w:tblPr>
      <w:tblGrid>
        <w:gridCol w:w="124"/>
        <w:gridCol w:w="109"/>
        <w:gridCol w:w="109"/>
        <w:gridCol w:w="847"/>
        <w:gridCol w:w="847"/>
        <w:gridCol w:w="12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President and Chief Executive Officer</w:t>
              <w:br/>
              <w:t>(Principal Executive Officer)</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180" w:after="283"/>
        <w:jc w:val="left"/>
        <w:rPr/>
      </w:pPr>
      <w:r>
        <w:rPr>
          <w:rFonts w:ascii="Times New Roman;sans-serif" w:hAnsi="Times New Roman;sans-serif"/>
          <w:b w:val="false"/>
          <w:color w:val="000000"/>
          <w:sz w:val="20"/>
        </w:rPr>
        <w:t>In connection with the Annual Report on Form 10-K of Republic Services, Inc. (the Company) for the annual period ended December 31, 2024 as filed with the Securities and Exchange Commission on the date hereof (the Report), I, Brian D</w:t>
      </w:r>
      <w:r>
        <w:rPr>
          <w:rFonts w:ascii="Times New Roman;sans-serif" w:hAnsi="Times New Roman;sans-serif"/>
          <w:b w:val="false"/>
          <w:color w:val="000000"/>
          <w:sz w:val="18"/>
        </w:rPr>
        <w:t>e</w:t>
      </w:r>
      <w:r>
        <w:rPr>
          <w:rFonts w:ascii="Times New Roman;sans-serif" w:hAnsi="Times New Roman;sans-serif"/>
          <w:b w:val="false"/>
          <w:color w:val="000000"/>
          <w:sz w:val="20"/>
        </w:rPr>
        <w:t>lGhiaccio, Chief Financial Officer of the Company,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787" w:type="dxa"/>
        <w:jc w:val="left"/>
        <w:tblInd w:w="0" w:type="dxa"/>
        <w:tblLayout w:type="fixed"/>
        <w:tblCellMar>
          <w:top w:w="28" w:type="dxa"/>
          <w:left w:w="28" w:type="dxa"/>
          <w:bottom w:w="28" w:type="dxa"/>
          <w:right w:w="28" w:type="dxa"/>
        </w:tblCellMar>
      </w:tblPr>
      <w:tblGrid>
        <w:gridCol w:w="124"/>
        <w:gridCol w:w="109"/>
        <w:gridCol w:w="109"/>
        <w:gridCol w:w="715"/>
        <w:gridCol w:w="715"/>
        <w:gridCol w:w="1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BRIAN D</w:t>
            </w:r>
            <w:r>
              <w:rPr>
                <w:rFonts w:ascii="Times New Roman;sans-serif" w:hAnsi="Times New Roman;sans-serif"/>
                <w:b w:val="false"/>
                <w:color w:val="000000"/>
                <w:sz w:val="16"/>
              </w:rPr>
              <w:t>EL</w:t>
            </w:r>
            <w:r>
              <w:rPr>
                <w:rFonts w:ascii="Times New Roman;sans-serif" w:hAnsi="Times New Roman;sans-serif"/>
                <w:b w:val="false"/>
                <w:color w:val="000000"/>
                <w:sz w:val="20"/>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Brian D</w:t>
            </w:r>
            <w:r>
              <w:rPr>
                <w:rFonts w:ascii="Times New Roman;sans-serif" w:hAnsi="Times New Roman;sans-serif"/>
                <w:b/>
                <w:color w:val="000000"/>
                <w:sz w:val="16"/>
              </w:rPr>
              <w:t>el</w:t>
            </w:r>
            <w:r>
              <w:rPr>
                <w:rFonts w:ascii="Times New Roman;sans-serif" w:hAnsi="Times New Roman;sans-serif"/>
                <w:b/>
                <w:color w:val="000000"/>
                <w:sz w:val="18"/>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Vice President,</w:t>
              <w:br/>
              <w:t>Chief Financial Officer</w:t>
              <w:br/>
              <w:t>(Principal Financial Officer)</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13, 2025</w:t>
      </w:r>
    </w:p>
    <w:p>
      <w:pPr>
        <w:pStyle w:val="TextBody"/>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Cambria">
    <w:altName w:val="sans-serif"/>
    <w:charset w:val="01"/>
    <w:family w:val="auto"/>
    <w:pitch w:val="default"/>
  </w:font>
  <w:font w:name="Open Sans">
    <w:altName w:val="sans-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060391/000106039124000142/rsg-20231231.htm" TargetMode="External"/><Relationship Id="rId4" Type="http://schemas.openxmlformats.org/officeDocument/2006/relationships/hyperlink" Target="https://www.sec.gov/Archives/edgar/data/1060391/0000950144-98-009679.txt" TargetMode="External"/><Relationship Id="rId5" Type="http://schemas.openxmlformats.org/officeDocument/2006/relationships/hyperlink" Target="http://www.sec.gov/Archives/edgar/data/1060391/0000950144-98-009679.txt" TargetMode="External"/><Relationship Id="rId6" Type="http://schemas.openxmlformats.org/officeDocument/2006/relationships/hyperlink" Target="https://www.sec.gov/Archives/edgar/data/1060391/000095014499008298/0000950144-99-008298.txt" TargetMode="External"/><Relationship Id="rId7" Type="http://schemas.openxmlformats.org/officeDocument/2006/relationships/hyperlink" Target="http://www.sec.gov/Archives/edgar/data/1060391/000095014499008298/0000950144-99-008298.txt" TargetMode="External"/><Relationship Id="rId8" Type="http://schemas.openxmlformats.org/officeDocument/2006/relationships/hyperlink" Target="https://www.sec.gov/Archives/edgar/data/1060391/000106039122000027/rsgex3193022.htm" TargetMode="External"/><Relationship Id="rId9" Type="http://schemas.openxmlformats.org/officeDocument/2006/relationships/hyperlink" Target="http://www.sec.gov/Archives/edgar/data/1060391/000106039116000079/exhibit33amendedandrestate.htm" TargetMode="External"/><Relationship Id="rId10" Type="http://schemas.openxmlformats.org/officeDocument/2006/relationships/hyperlink" Target="http://www.sec.gov/Archives/edgar/data/1060391/000106039116000079/exhibit33amendedandrestate.htm" TargetMode="External"/><Relationship Id="rId11" Type="http://schemas.openxmlformats.org/officeDocument/2006/relationships/hyperlink" Target="http://www.sec.gov/Archives/edgar/data/1060391/000106039116000079/exhibit33amendedandrestate.htm" TargetMode="External"/><Relationship Id="rId12" Type="http://schemas.openxmlformats.org/officeDocument/2006/relationships/hyperlink" Target="http://www.sec.gov/Archives/edgar/data/1060391/000106039116000079/exhibit33amendedandrestate.htm" TargetMode="External"/><Relationship Id="rId13" Type="http://schemas.openxmlformats.org/officeDocument/2006/relationships/hyperlink" Target="http://www.sec.gov/Archives/edgar/data/1060391/000106039116000079/exhibit33amendedandrestate.htm" TargetMode="External"/><Relationship Id="rId14" Type="http://schemas.openxmlformats.org/officeDocument/2006/relationships/hyperlink" Target="http://www.sec.gov/Archives/edgar/data/1060391/000106039116000079/exhibit33amendedandrestate.htm" TargetMode="External"/><Relationship Id="rId15" Type="http://schemas.openxmlformats.org/officeDocument/2006/relationships/hyperlink" Target="http://www.sec.gov/Archives/edgar/data/1060391/000106039116000079/exhibit33amendedandrestate.htm" TargetMode="External"/><Relationship Id="rId16" Type="http://schemas.openxmlformats.org/officeDocument/2006/relationships/hyperlink" Target="https://www.sec.gov/Archives/edgar/data/1060391/000095014499008298/0000950144-99-008298.txt" TargetMode="External"/><Relationship Id="rId17" Type="http://schemas.openxmlformats.org/officeDocument/2006/relationships/hyperlink" Target="http://www.sec.gov/Archives/edgar/data/1060391/000095014499008298/0000950144-99-008298.txt" TargetMode="External"/><Relationship Id="rId18" Type="http://schemas.openxmlformats.org/officeDocument/2006/relationships/hyperlink" Target="https://www.sec.gov/Archives/edgar/data/1060391/000095014401506094/g71256ex4-1.txt" TargetMode="External"/><Relationship Id="rId19" Type="http://schemas.openxmlformats.org/officeDocument/2006/relationships/hyperlink" Target="https://www.sec.gov/Archives/edgar/data/1060391/000095014405005037/g95037exv4w1.htm" TargetMode="External"/><Relationship Id="rId20" Type="http://schemas.openxmlformats.org/officeDocument/2006/relationships/hyperlink" Target="http://www.sec.gov/Archives/edgar/data/1060391/000095014405005037/g95037exv4w1.htm" TargetMode="External"/><Relationship Id="rId21" Type="http://schemas.openxmlformats.org/officeDocument/2006/relationships/hyperlink" Target="https://www.sec.gov/Archives/edgar/data/1060391/000095012309042209/p15846exv4w1.htm" TargetMode="External"/><Relationship Id="rId22" Type="http://schemas.openxmlformats.org/officeDocument/2006/relationships/hyperlink" Target="http://www.sec.gov/Archives/edgar/data/1060391/000095012309042209/p15846exv4w1.htm" TargetMode="External"/><Relationship Id="rId23" Type="http://schemas.openxmlformats.org/officeDocument/2006/relationships/hyperlink" Target="https://www.sec.gov/Archives/edgar/data/1060391/000095012311047183/p18861exv4w3.htm" TargetMode="External"/><Relationship Id="rId24" Type="http://schemas.openxmlformats.org/officeDocument/2006/relationships/hyperlink" Target="https://www.sec.gov/Archives/edgar/data/1060391/000095012311047183/p18861exv4w3.htm" TargetMode="External"/><Relationship Id="rId25" Type="http://schemas.openxmlformats.org/officeDocument/2006/relationships/hyperlink" Target="https://www.sec.gov/Archives/edgar/data/1060391/000095012309066038/p16405exv4w1.htm" TargetMode="External"/><Relationship Id="rId26" Type="http://schemas.openxmlformats.org/officeDocument/2006/relationships/hyperlink" Target="https://www.sec.gov/Archives/edgar/data/1060391/000095012309066038/p16405exv4w1.htm" TargetMode="External"/><Relationship Id="rId27" Type="http://schemas.openxmlformats.org/officeDocument/2006/relationships/hyperlink" Target="https://www.sec.gov/Archives/edgar/data/1060391/000095012310020978/p17075exv4w2.htm" TargetMode="External"/><Relationship Id="rId28" Type="http://schemas.openxmlformats.org/officeDocument/2006/relationships/hyperlink" Target="https://www.sec.gov/Archives/edgar/data/1060391/000095012310020978/p17075exv4w2.htm" TargetMode="External"/><Relationship Id="rId29" Type="http://schemas.openxmlformats.org/officeDocument/2006/relationships/hyperlink" Target="https://www.sec.gov/Archives/edgar/data/848865/000095012301504402/p65122a1ex4-22.txt" TargetMode="External"/><Relationship Id="rId30" Type="http://schemas.openxmlformats.org/officeDocument/2006/relationships/hyperlink" Target="https://www.sec.gov/Archives/edgar/data/848865/000095012301504402/p65122a1ex4-22.txt" TargetMode="External"/><Relationship Id="rId31" Type="http://schemas.openxmlformats.org/officeDocument/2006/relationships/hyperlink" Target="https://www.sec.gov/Archives/edgar/data/848865/000095012301504402/p65122a1ex4-23.txt" TargetMode="External"/><Relationship Id="rId32" Type="http://schemas.openxmlformats.org/officeDocument/2006/relationships/hyperlink" Target="https://www.sec.gov/Archives/edgar/data/848865/000095012301504402/p65122a1ex4-23.txt" TargetMode="External"/><Relationship Id="rId33" Type="http://schemas.openxmlformats.org/officeDocument/2006/relationships/hyperlink" Target="https://www.sec.gov/Archives/edgar/data/848865/000095015305000309/p70182exv4w33.txt" TargetMode="External"/><Relationship Id="rId34" Type="http://schemas.openxmlformats.org/officeDocument/2006/relationships/hyperlink" Target="https://www.sec.gov/Archives/edgar/data/848865/000095015305000309/p70182exv4w33.txt" TargetMode="External"/><Relationship Id="rId35" Type="http://schemas.openxmlformats.org/officeDocument/2006/relationships/hyperlink" Target="https://www.sec.gov/Archives/edgar/data/1060391/000095014408009225/g16932exv4w1.htm" TargetMode="External"/><Relationship Id="rId36" Type="http://schemas.openxmlformats.org/officeDocument/2006/relationships/hyperlink" Target="https://www.sec.gov/Archives/edgar/data/1060391/000095014408009225/g16932exv4w1.htm" TargetMode="External"/><Relationship Id="rId37" Type="http://schemas.openxmlformats.org/officeDocument/2006/relationships/hyperlink" Target="https://www.sec.gov/Archives/edgar/data/1060391/000119312515087339/d888900dex41.htm" TargetMode="External"/><Relationship Id="rId38" Type="http://schemas.openxmlformats.org/officeDocument/2006/relationships/hyperlink" Target="https://www.sec.gov/Archives/edgar/data/1060391/000119312515087339/d888900dex41.htm" TargetMode="External"/><Relationship Id="rId39" Type="http://schemas.openxmlformats.org/officeDocument/2006/relationships/hyperlink" Target="https://www.sec.gov/Archives/edgar/data/1060391/000119312516641673/d207655dex41.htm" TargetMode="External"/><Relationship Id="rId40" Type="http://schemas.openxmlformats.org/officeDocument/2006/relationships/hyperlink" Target="https://www.sec.gov/Archives/edgar/data/1060391/000119312516641673/d207655dex41.htm" TargetMode="External"/><Relationship Id="rId41" Type="http://schemas.openxmlformats.org/officeDocument/2006/relationships/hyperlink" Target="https://www.sec.gov/Archives/edgar/data/1060391/000119312517343919/d493740dex41.htm" TargetMode="External"/><Relationship Id="rId42" Type="http://schemas.openxmlformats.org/officeDocument/2006/relationships/hyperlink" Target="https://www.sec.gov/Archives/edgar/data/1060391/000119312517343919/d493740dex41.htm" TargetMode="External"/><Relationship Id="rId43" Type="http://schemas.openxmlformats.org/officeDocument/2006/relationships/hyperlink" Target="https://www.sec.gov/Archives/edgar/data/14827/0000014827-95-000020.txt" TargetMode="External"/><Relationship Id="rId44" Type="http://schemas.openxmlformats.org/officeDocument/2006/relationships/hyperlink" Target="https://www.sec.gov/Archives/edgar/data/14827/0000014827-95-000020.txt" TargetMode="External"/><Relationship Id="rId45" Type="http://schemas.openxmlformats.org/officeDocument/2006/relationships/hyperlink" Target="https://www.sec.gov/Archives/edgar/data/1060391/000119312518160817/d582592dex41.htm" TargetMode="External"/><Relationship Id="rId46" Type="http://schemas.openxmlformats.org/officeDocument/2006/relationships/hyperlink" Target="https://www.sec.gov/Archives/edgar/data/1060391/000119312518160817/d582592dex41.htm" TargetMode="External"/><Relationship Id="rId47" Type="http://schemas.openxmlformats.org/officeDocument/2006/relationships/hyperlink" Target="https://www.sec.gov/Archives/edgar/data/1060391/000106039120000016/exhibit423descriptiono.htm" TargetMode="External"/><Relationship Id="rId48" Type="http://schemas.openxmlformats.org/officeDocument/2006/relationships/hyperlink" Target="https://www.sec.gov/Archives/edgar/data/1060391/000106039120000016/exhibit423descriptiono.htm" TargetMode="External"/><Relationship Id="rId49" Type="http://schemas.openxmlformats.org/officeDocument/2006/relationships/hyperlink" Target="https://www.sec.gov/Archives/edgar/data/1060391/000119312520044707/d870415dex41.htm" TargetMode="External"/><Relationship Id="rId50" Type="http://schemas.openxmlformats.org/officeDocument/2006/relationships/hyperlink" Target="https://www.sec.gov/Archives/edgar/data/1060391/000119312520044707/d870415dex41.htm" TargetMode="External"/><Relationship Id="rId51" Type="http://schemas.openxmlformats.org/officeDocument/2006/relationships/hyperlink" Target="https://www.sec.gov/Archives/edgar/data/1060391/000119312520044707/d870415dex41.htm" TargetMode="External"/><Relationship Id="rId52" Type="http://schemas.openxmlformats.org/officeDocument/2006/relationships/hyperlink" Target="https://www.sec.gov/Archives/edgar/data/1060391/000119312520219229/d942697dex41.htm" TargetMode="External"/><Relationship Id="rId53" Type="http://schemas.openxmlformats.org/officeDocument/2006/relationships/hyperlink" Target="https://www.sec.gov/Archives/edgar/data/1060391/000119312520219229/d942697dex41.htm" TargetMode="External"/><Relationship Id="rId54" Type="http://schemas.openxmlformats.org/officeDocument/2006/relationships/hyperlink" Target="https://www.sec.gov/Archives/edgar/data/1060391/000119312520290904/d77048dex41.htm" TargetMode="External"/><Relationship Id="rId55" Type="http://schemas.openxmlformats.org/officeDocument/2006/relationships/hyperlink" Target="https://www.sec.gov/Archives/edgar/data/1060391/000119312520290904/d77048dex41.htm" TargetMode="External"/><Relationship Id="rId56" Type="http://schemas.openxmlformats.org/officeDocument/2006/relationships/hyperlink" Target="https://www.sec.gov/Archives/edgar/data/0001060391/000119312521320162/d596044dex41.htm" TargetMode="External"/><Relationship Id="rId57" Type="http://schemas.openxmlformats.org/officeDocument/2006/relationships/hyperlink" Target="https://www.sec.gov/Archives/edgar/data/0001060391/000119312521320162/d596044dex41.htm" TargetMode="External"/><Relationship Id="rId58" Type="http://schemas.openxmlformats.org/officeDocument/2006/relationships/hyperlink" Target="https://www.sec.gov/Archives/edgar/data/1060391/000110465922097012/tm2224887d1_ex10-1.htm" TargetMode="External"/><Relationship Id="rId59" Type="http://schemas.openxmlformats.org/officeDocument/2006/relationships/hyperlink" Target="https://www.sec.gov/Archives/edgar/data/1060391/000110465922097012/tm2224887d1_ex10-1.htm" TargetMode="External"/><Relationship Id="rId60" Type="http://schemas.openxmlformats.org/officeDocument/2006/relationships/hyperlink" Target="https://www.sec.gov/Archives/edgar/data/1060391/000119312523077927/d395685dex41.htm" TargetMode="External"/><Relationship Id="rId61" Type="http://schemas.openxmlformats.org/officeDocument/2006/relationships/hyperlink" Target="https://www.sec.gov/Archives/edgar/data/1060391/000119312523077927/d395685dex41.htm" TargetMode="External"/><Relationship Id="rId62" Type="http://schemas.openxmlformats.org/officeDocument/2006/relationships/hyperlink" Target="https://www.sec.gov/Archives/edgar/data/1060391/000119312523292068/d637987dex41.htm" TargetMode="External"/><Relationship Id="rId63" Type="http://schemas.openxmlformats.org/officeDocument/2006/relationships/hyperlink" Target="https://www.sec.gov/Archives/edgar/data/1060391/000119312523292068/d637987dex41.htm" TargetMode="External"/><Relationship Id="rId64" Type="http://schemas.openxmlformats.org/officeDocument/2006/relationships/hyperlink" Target="https://www.sec.gov/Archives/edgar/data/1060391/000119312524164547/d843168dex41.htm" TargetMode="External"/><Relationship Id="rId65" Type="http://schemas.openxmlformats.org/officeDocument/2006/relationships/hyperlink" Target="https://www.sec.gov/Archives/edgar/data/1060391/000119312524164547/d843168dex41.htm" TargetMode="External"/><Relationship Id="rId66" Type="http://schemas.openxmlformats.org/officeDocument/2006/relationships/hyperlink" Target="https://www.sec.gov/Archives/edgar/data/1060391/000110465924084366/tm2420319d1_ex4-1.htm" TargetMode="External"/><Relationship Id="rId67" Type="http://schemas.openxmlformats.org/officeDocument/2006/relationships/hyperlink" Target="https://www.sec.gov/Archives/edgar/data/1060391/000110465924084366/tm2420319d1_ex4-1.htm" TargetMode="External"/><Relationship Id="rId68" Type="http://schemas.openxmlformats.org/officeDocument/2006/relationships/hyperlink" Target="https://www.sec.gov/Archives/edgar/data/1060391/000110465924084366/tm2420319d1_ex4-1.htm" TargetMode="External"/><Relationship Id="rId69" Type="http://schemas.openxmlformats.org/officeDocument/2006/relationships/hyperlink" Target="https://www.sec.gov/Archives/edgar/data/1060391/000095012311031647/p18747def14a.htm" TargetMode="External"/><Relationship Id="rId70" Type="http://schemas.openxmlformats.org/officeDocument/2006/relationships/hyperlink" Target="https://www.sec.gov/Archives/edgar/data/1060391/000106039120000069/rsgex10193020.htm" TargetMode="External"/><Relationship Id="rId71" Type="http://schemas.openxmlformats.org/officeDocument/2006/relationships/hyperlink" Target="https://www.sec.gov/Archives/edgar/data/1060391/000119312511352982/d273980dex101.htm" TargetMode="External"/><Relationship Id="rId72" Type="http://schemas.openxmlformats.org/officeDocument/2006/relationships/hyperlink" Target="https://www.sec.gov/Archives/edgar/data/1060391/000119312511352982/d273980dex102.htm" TargetMode="External"/><Relationship Id="rId73" Type="http://schemas.openxmlformats.org/officeDocument/2006/relationships/hyperlink" Target="https://www.sec.gov/Archives/edgar/data/1060391/000119312511352982/d273980dex102.htm" TargetMode="External"/><Relationship Id="rId74" Type="http://schemas.openxmlformats.org/officeDocument/2006/relationships/hyperlink" Target="https://www.sec.gov/Archives/edgar/data/1060391/000119312511352982/d273980dex102.htm" TargetMode="External"/><Relationship Id="rId75" Type="http://schemas.openxmlformats.org/officeDocument/2006/relationships/hyperlink" Target="https://www.sec.gov/Archives/edgar/data/1060391/000119312511352982/d273980dex103.htm" TargetMode="External"/><Relationship Id="rId76" Type="http://schemas.openxmlformats.org/officeDocument/2006/relationships/hyperlink" Target="https://www.sec.gov/Archives/edgar/data/1060391/000119312511352982/d273980dex103.htm" TargetMode="External"/><Relationship Id="rId77" Type="http://schemas.openxmlformats.org/officeDocument/2006/relationships/hyperlink" Target="https://www.sec.gov/Archives/edgar/data/1060391/000119312511352982/d273980dex103.htm" TargetMode="External"/><Relationship Id="rId78" Type="http://schemas.openxmlformats.org/officeDocument/2006/relationships/hyperlink" Target="https://www.sec.gov/Archives/edgar/data/1060391/000119312514116469/d686329ddef14a.htm" TargetMode="External"/><Relationship Id="rId79" Type="http://schemas.openxmlformats.org/officeDocument/2006/relationships/hyperlink" Target="https://www.sec.gov/Archives/edgar/data/1060391/000119312514116469/d686329ddef14a.htm" TargetMode="External"/><Relationship Id="rId80" Type="http://schemas.openxmlformats.org/officeDocument/2006/relationships/hyperlink" Target="https://www.sec.gov/Archives/edgar/data/1060391/000119312514116469/d686329ddef14a.htm" TargetMode="External"/><Relationship Id="rId81" Type="http://schemas.openxmlformats.org/officeDocument/2006/relationships/hyperlink" Target="https://www.sec.gov/Archives/edgar/data/1060391/000106039123000008/exhibit1009republicexecuti.htm" TargetMode="External"/><Relationship Id="rId82" Type="http://schemas.openxmlformats.org/officeDocument/2006/relationships/hyperlink" Target="https://www.sec.gov/Archives/edgar/data/1060391/000106039123000008/exhibit1009republicexecuti.htm" TargetMode="External"/><Relationship Id="rId83" Type="http://schemas.openxmlformats.org/officeDocument/2006/relationships/hyperlink" Target="https://www.sec.gov/Archives/edgar/data/1060391/000106039123000008/exhibit1009republicexecuti.htm" TargetMode="External"/><Relationship Id="rId84" Type="http://schemas.openxmlformats.org/officeDocument/2006/relationships/hyperlink" Target="https://www.sec.gov/Archives/edgar/data/1060391/000106039113000032/rsgex10163013.htm" TargetMode="External"/><Relationship Id="rId85" Type="http://schemas.openxmlformats.org/officeDocument/2006/relationships/hyperlink" Target="https://www.sec.gov/Archives/edgar/data/1060391/000106039113000032/rsgex10163013.htm" TargetMode="External"/><Relationship Id="rId86" Type="http://schemas.openxmlformats.org/officeDocument/2006/relationships/hyperlink" Target="https://www.sec.gov/Archives/edgar/data/1060391/000106039113000032/rsgex10163013.htm" TargetMode="External"/><Relationship Id="rId87" Type="http://schemas.openxmlformats.org/officeDocument/2006/relationships/hyperlink" Target="https://www.sec.gov/Archives/edgar/data/1060391/000106039117000012/exhibit1037-offerlettercat.htm" TargetMode="External"/><Relationship Id="rId88" Type="http://schemas.openxmlformats.org/officeDocument/2006/relationships/hyperlink" Target="https://www.sec.gov/Archives/edgar/data/1060391/000106039117000012/exhibit1037-offerlettercat.htm" TargetMode="External"/><Relationship Id="rId89" Type="http://schemas.openxmlformats.org/officeDocument/2006/relationships/hyperlink" Target="https://www.sec.gov/Archives/edgar/data/1060391/000106039117000012/exhibit1037-offerlettercat.htm" TargetMode="External"/><Relationship Id="rId90" Type="http://schemas.openxmlformats.org/officeDocument/2006/relationships/hyperlink" Target="https://www.sec.gov/Archives/edgar/data/1060391/000106039124000142/exhibit1015ellingsencathar.htm" TargetMode="External"/><Relationship Id="rId91" Type="http://schemas.openxmlformats.org/officeDocument/2006/relationships/hyperlink" Target="https://www.sec.gov/Archives/edgar/data/1060391/000106039124000142/exhibit1015ellingsencathar.htm" TargetMode="External"/><Relationship Id="rId92" Type="http://schemas.openxmlformats.org/officeDocument/2006/relationships/hyperlink" Target="https://www.sec.gov/Archives/edgar/data/1060391/000106039124000142/exhibit1015ellingsencathar.htm" TargetMode="External"/><Relationship Id="rId93" Type="http://schemas.openxmlformats.org/officeDocument/2006/relationships/hyperlink" Target="https://www.sec.gov/Archives/edgar/data/1060391/000119312518101913/d518883ddef14a.htm" TargetMode="External"/><Relationship Id="rId94" Type="http://schemas.openxmlformats.org/officeDocument/2006/relationships/hyperlink" Target="https://www.sec.gov/Archives/edgar/data/1060391/000119312518101913/d518883ddef14a.htm" TargetMode="External"/><Relationship Id="rId95" Type="http://schemas.openxmlformats.org/officeDocument/2006/relationships/hyperlink" Target="https://www.sec.gov/Archives/edgar/data/1060391/000119312518101913/d518883ddef14a.htm" TargetMode="External"/><Relationship Id="rId96" Type="http://schemas.openxmlformats.org/officeDocument/2006/relationships/hyperlink" Target="https://www.sec.gov/Archives/edgar/data/1060391/000106039120000057/rsgex10163020.htm" TargetMode="External"/><Relationship Id="rId97" Type="http://schemas.openxmlformats.org/officeDocument/2006/relationships/hyperlink" Target="https://www.sec.gov/Archives/edgar/data/1060391/000106039120000057/rsgex10163020.htm" TargetMode="External"/><Relationship Id="rId98" Type="http://schemas.openxmlformats.org/officeDocument/2006/relationships/hyperlink" Target="https://www.sec.gov/Archives/edgar/data/1060391/000106039120000057/rsgex10163020.htm" TargetMode="External"/><Relationship Id="rId99" Type="http://schemas.openxmlformats.org/officeDocument/2006/relationships/hyperlink" Target="https://www.sec.gov/Archives/edgar/data/1060391/000106039124000142/exhibit1020delghiacciobria.htm" TargetMode="External"/><Relationship Id="rId100" Type="http://schemas.openxmlformats.org/officeDocument/2006/relationships/hyperlink" Target="https://www.sec.gov/Archives/edgar/data/1060391/000106039124000142/exhibit1020delghiacciobria.htm" TargetMode="External"/><Relationship Id="rId101" Type="http://schemas.openxmlformats.org/officeDocument/2006/relationships/hyperlink" Target="https://www.sec.gov/Archives/edgar/data/1060391/000106039124000142/exhibit1020delghiacciobria.htm" TargetMode="External"/><Relationship Id="rId102" Type="http://schemas.openxmlformats.org/officeDocument/2006/relationships/hyperlink" Target="https://www.sec.gov/Archives/edgar/data/1060391/000106039124000142/exhibit1020delghiacciobria.htm" TargetMode="External"/><Relationship Id="rId103" Type="http://schemas.openxmlformats.org/officeDocument/2006/relationships/hyperlink" Target="https://www.sec.gov/Archives/edgar/data/0001060391/000106039121000023/rsgex101jvaofferletter0326.htm" TargetMode="External"/><Relationship Id="rId104" Type="http://schemas.openxmlformats.org/officeDocument/2006/relationships/hyperlink" Target="https://www.sec.gov/Archives/edgar/data/0001060391/000106039121000023/rsgex101jvaofferletter0326.htm" TargetMode="External"/><Relationship Id="rId105" Type="http://schemas.openxmlformats.org/officeDocument/2006/relationships/hyperlink" Target="https://www.sec.gov/Archives/edgar/data/0001060391/000106039121000023/rsgex101jvaofferletter0326.htm" TargetMode="External"/><Relationship Id="rId106" Type="http://schemas.openxmlformats.org/officeDocument/2006/relationships/hyperlink" Target="https://www.sec.gov/Archives/edgar/data/0001060391/000106039121000023/rsgex101jvaofferletter0326.htm" TargetMode="External"/><Relationship Id="rId107" Type="http://schemas.openxmlformats.org/officeDocument/2006/relationships/hyperlink" Target="https://www.sec.gov/Archives/edgar/data/1060391/000106039124000142/exhibit1022vanderarkjon-re.htm" TargetMode="External"/><Relationship Id="rId108" Type="http://schemas.openxmlformats.org/officeDocument/2006/relationships/hyperlink" Target="https://www.sec.gov/Archives/edgar/data/1060391/000106039124000142/exhibit1022vanderarkjon-re.htm" TargetMode="External"/><Relationship Id="rId109" Type="http://schemas.openxmlformats.org/officeDocument/2006/relationships/hyperlink" Target="https://www.sec.gov/Archives/edgar/data/1060391/000106039124000142/exhibit1022vanderarkjon-re.htm" TargetMode="External"/><Relationship Id="rId110" Type="http://schemas.openxmlformats.org/officeDocument/2006/relationships/hyperlink" Target="https://www.sec.gov/Archives/edgar/data/0001060391/000106039121000014/ex1030final2021stockincent.htm" TargetMode="External"/><Relationship Id="rId111" Type="http://schemas.openxmlformats.org/officeDocument/2006/relationships/hyperlink" Target="https://www.sec.gov/Archives/edgar/data/0001060391/000106039121000014/ex1030final2021stockincent.htm" TargetMode="External"/><Relationship Id="rId112" Type="http://schemas.openxmlformats.org/officeDocument/2006/relationships/hyperlink" Target="https://www.sec.gov/Archives/edgar/data/0001060391/000106039121000014/ex1030final2021stockincent.htm" TargetMode="External"/><Relationship Id="rId113" Type="http://schemas.openxmlformats.org/officeDocument/2006/relationships/hyperlink" Target="https://www.sec.gov/Archives/edgar/data/1060391/000106039124000142/exhibit1030balesbrian-repu.htm" TargetMode="External"/><Relationship Id="rId114" Type="http://schemas.openxmlformats.org/officeDocument/2006/relationships/hyperlink" Target="https://www.sec.gov/Archives/edgar/data/1060391/000106039124000142/exhibit1030balesbrian-repu.htm" TargetMode="External"/><Relationship Id="rId115" Type="http://schemas.openxmlformats.org/officeDocument/2006/relationships/hyperlink" Target="https://www.sec.gov/Archives/edgar/data/1060391/000106039124000142/exhibit1030balesbrian-repu.htm" TargetMode="External"/><Relationship Id="rId116" Type="http://schemas.openxmlformats.org/officeDocument/2006/relationships/hyperlink" Target="https://www.sec.gov/Archives/edgar/data/1060391/000106039124000142/exhibit1030balesbrian-repu.htm" TargetMode="External"/><Relationship Id="rId117" Type="http://schemas.openxmlformats.org/officeDocument/2006/relationships/hyperlink" Target="https://www.sec.gov/Archives/edgar/data/1060391/000106039124000205/exhibit101offerletterdated.htm" TargetMode="External"/><Relationship Id="rId118" Type="http://schemas.openxmlformats.org/officeDocument/2006/relationships/hyperlink" Target="https://www.sec.gov/Archives/edgar/data/1060391/000106039124000205/exhibit101offerletterdated.htm" TargetMode="External"/><Relationship Id="rId119" Type="http://schemas.openxmlformats.org/officeDocument/2006/relationships/hyperlink" Target="https://www.sec.gov/Archives/edgar/data/1060391/000106039124000205/exhibit101offerletterdated.htm" TargetMode="External"/><Relationship Id="rId120" Type="http://schemas.openxmlformats.org/officeDocument/2006/relationships/hyperlink" Target="https://www.sec.gov/Archives/edgar/data/1060391/000106039124000205/exhibit101offerletterdated.htm" TargetMode="External"/><Relationship Id="rId121" Type="http://schemas.openxmlformats.org/officeDocument/2006/relationships/hyperlink" Target="https://www.sec.gov/Archives/edgar/data/1060391/000106039124000205/exhibit101offerletterdated.htm" TargetMode="External"/><Relationship Id="rId122" Type="http://schemas.openxmlformats.org/officeDocument/2006/relationships/hyperlink" Target="https://www.sec.gov/Archives/edgar/data/1060391/000106039124000205/exhibit101offerletterdated.htm" TargetMode="External"/><Relationship Id="rId123" Type="http://schemas.openxmlformats.org/officeDocument/2006/relationships/hyperlink" Target="https://www.sec.gov/Archives/edgar/data/1060391/000106039124000205/exhibit101offerletterdated.htm" TargetMode="External"/><Relationship Id="rId124" Type="http://schemas.openxmlformats.org/officeDocument/2006/relationships/hyperlink" Target="https://www.sec.gov/Archives/edgar/data/1060391/000106039124000205/exhibit101offerletterdated.htm" TargetMode="External"/><Relationship Id="rId125" Type="http://schemas.openxmlformats.org/officeDocument/2006/relationships/hyperlink" Target="https://www.sec.gov/Archives/edgar/data/1060391/000106039122000014/rsgex101clawbackpolicy.htm" TargetMode="External"/><Relationship Id="rId126" Type="http://schemas.openxmlformats.org/officeDocument/2006/relationships/image" Target="media/image2.jpeg"/><Relationship Id="rId127" Type="http://schemas.openxmlformats.org/officeDocument/2006/relationships/image" Target="media/image2.jpeg"/><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image" Target="media/image2.jpeg"/><Relationship Id="rId131" Type="http://schemas.openxmlformats.org/officeDocument/2006/relationships/image" Target="media/image3.png"/><Relationship Id="rId132" Type="http://schemas.openxmlformats.org/officeDocument/2006/relationships/image" Target="media/image3.png"/><Relationship Id="rId133" Type="http://schemas.openxmlformats.org/officeDocument/2006/relationships/image" Target="media/image3.png"/><Relationship Id="rId134" Type="http://schemas.openxmlformats.org/officeDocument/2006/relationships/fontTable" Target="fontTable.xml"/><Relationship Id="rId1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133</Pages>
  <Words>130307</Words>
  <Characters>718195</Characters>
  <CharactersWithSpaces>844346</CharactersWithSpaces>
  <Paragraphs>9624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