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57023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70230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Walbridge Kevin</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480" w:type="dxa"/>
            <w:vAlign w:val="bottom"/>
            <w:tcBorders>
              <w:top w:val="single" w:sz="8" w:color="0000EE"/>
              <w:bottom w:val="single" w:sz="8" w:color="9A9A9A"/>
            </w:tcBorders>
          </w:tcPr>
          <w:p>
            <w:pPr>
              <w:spacing w:after="0"/>
              <w:rPr>
                <w:sz w:val="15"/>
                <w:szCs w:val="15"/>
                <w:color w:val="auto"/>
              </w:rPr>
            </w:pPr>
          </w:p>
        </w:tc>
        <w:tc>
          <w:tcPr>
            <w:tcW w:w="17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06/24/2010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REPUBLIC SERVICES,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RSG</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4"/>
                <w:szCs w:val="14"/>
                <w:color w:val="auto"/>
              </w:rPr>
              <w:t>(Last)</w:t>
            </w:r>
          </w:p>
        </w:tc>
        <w:tc>
          <w:tcPr>
            <w:tcW w:w="1020" w:type="dxa"/>
            <w:vAlign w:val="bottom"/>
          </w:tcPr>
          <w:p>
            <w:pPr>
              <w:ind w:left="160"/>
              <w:spacing w:after="0"/>
              <w:rPr>
                <w:sz w:val="20"/>
                <w:szCs w:val="20"/>
                <w:color w:val="auto"/>
              </w:rPr>
            </w:pPr>
            <w:r>
              <w:rPr>
                <w:rFonts w:ascii="Arial" w:cs="Arial" w:eastAsia="Arial" w:hAnsi="Arial"/>
                <w:sz w:val="14"/>
                <w:szCs w:val="14"/>
                <w:color w:val="auto"/>
              </w:rPr>
              <w:t>(First)</w:t>
            </w:r>
          </w:p>
        </w:tc>
        <w:tc>
          <w:tcPr>
            <w:tcW w:w="1260" w:type="dxa"/>
            <w:vAlign w:val="bottom"/>
          </w:tcPr>
          <w:p>
            <w:pPr>
              <w:ind w:left="22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0000FF"/>
              </w:rPr>
              <w:t>18500 N. ALLIED WAY</w:t>
            </w:r>
          </w:p>
        </w:tc>
        <w:tc>
          <w:tcPr>
            <w:tcW w:w="126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r>
      <w:tr>
        <w:trPr>
          <w:trHeight w:val="270"/>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60" w:type="dxa"/>
            <w:vAlign w:val="bottom"/>
          </w:tcPr>
          <w:p>
            <w:pPr>
              <w:ind w:left="20"/>
              <w:spacing w:after="0"/>
              <w:rPr>
                <w:sz w:val="20"/>
                <w:szCs w:val="20"/>
                <w:color w:val="auto"/>
              </w:rPr>
            </w:pPr>
            <w:r>
              <w:rPr>
                <w:rFonts w:ascii="Arial" w:cs="Arial" w:eastAsia="Arial" w:hAnsi="Arial"/>
                <w:sz w:val="18"/>
                <w:szCs w:val="18"/>
                <w:color w:val="0000FF"/>
              </w:rPr>
              <w:t>PHOENIX</w:t>
            </w:r>
          </w:p>
        </w:tc>
        <w:tc>
          <w:tcPr>
            <w:tcW w:w="1020" w:type="dxa"/>
            <w:vAlign w:val="bottom"/>
          </w:tcPr>
          <w:p>
            <w:pPr>
              <w:ind w:left="160"/>
              <w:spacing w:after="0"/>
              <w:rPr>
                <w:sz w:val="20"/>
                <w:szCs w:val="20"/>
                <w:color w:val="auto"/>
              </w:rPr>
            </w:pPr>
            <w:r>
              <w:rPr>
                <w:rFonts w:ascii="Arial" w:cs="Arial" w:eastAsia="Arial" w:hAnsi="Arial"/>
                <w:sz w:val="18"/>
                <w:szCs w:val="18"/>
                <w:color w:val="0000FF"/>
              </w:rPr>
              <w:t>AZ</w:t>
            </w:r>
          </w:p>
        </w:tc>
        <w:tc>
          <w:tcPr>
            <w:tcW w:w="1260" w:type="dxa"/>
            <w:vAlign w:val="bottom"/>
          </w:tcPr>
          <w:p>
            <w:pPr>
              <w:ind w:left="220"/>
              <w:spacing w:after="0"/>
              <w:rPr>
                <w:sz w:val="20"/>
                <w:szCs w:val="20"/>
                <w:color w:val="auto"/>
              </w:rPr>
            </w:pPr>
            <w:r>
              <w:rPr>
                <w:rFonts w:ascii="Arial" w:cs="Arial" w:eastAsia="Arial" w:hAnsi="Arial"/>
                <w:sz w:val="18"/>
                <w:szCs w:val="18"/>
                <w:color w:val="0000FF"/>
              </w:rPr>
              <w:t>85054</w:t>
            </w:r>
          </w:p>
        </w:tc>
      </w:tr>
      <w:tr>
        <w:trPr>
          <w:trHeight w:val="158"/>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4"/>
                <w:szCs w:val="14"/>
                <w:color w:val="auto"/>
              </w:rPr>
              <w:t>(City)</w:t>
            </w:r>
          </w:p>
        </w:tc>
        <w:tc>
          <w:tcPr>
            <w:tcW w:w="1020" w:type="dxa"/>
            <w:vAlign w:val="bottom"/>
          </w:tcPr>
          <w:p>
            <w:pPr>
              <w:ind w:left="160"/>
              <w:spacing w:after="0"/>
              <w:rPr>
                <w:sz w:val="20"/>
                <w:szCs w:val="20"/>
                <w:color w:val="auto"/>
              </w:rPr>
            </w:pPr>
            <w:r>
              <w:rPr>
                <w:rFonts w:ascii="Arial" w:cs="Arial" w:eastAsia="Arial" w:hAnsi="Arial"/>
                <w:sz w:val="14"/>
                <w:szCs w:val="14"/>
                <w:color w:val="auto"/>
              </w:rPr>
              <w:t>(State)</w:t>
            </w:r>
          </w:p>
        </w:tc>
        <w:tc>
          <w:tcPr>
            <w:tcW w:w="1260" w:type="dxa"/>
            <w:vAlign w:val="bottom"/>
          </w:tcPr>
          <w:p>
            <w:pPr>
              <w:ind w:left="2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46"/>
        <w:spacing w:after="0"/>
        <w:rPr>
          <w:sz w:val="20"/>
          <w:szCs w:val="20"/>
          <w:color w:val="auto"/>
        </w:rPr>
      </w:pPr>
      <w:r>
        <w:rPr>
          <w:rFonts w:ascii="Arial" w:cs="Arial" w:eastAsia="Arial" w:hAnsi="Arial"/>
          <w:sz w:val="18"/>
          <w:szCs w:val="18"/>
          <w:color w:val="0000FF"/>
        </w:rPr>
        <w:t>EVP- Operations 10/1/10</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85"/>
        </w:trPr>
        <w:tc>
          <w:tcPr>
            <w:tcW w:w="20" w:type="dxa"/>
            <w:vAlign w:val="bottom"/>
          </w:tcPr>
          <w:p>
            <w:pPr>
              <w:spacing w:after="0"/>
              <w:rPr>
                <w:sz w:val="24"/>
                <w:szCs w:val="24"/>
                <w:color w:val="auto"/>
              </w:rPr>
            </w:pPr>
          </w:p>
        </w:tc>
        <w:tc>
          <w:tcPr>
            <w:tcW w:w="35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3560" w:type="dxa"/>
            <w:vAlign w:val="bottom"/>
            <w:tcBorders>
              <w:bottom w:val="single" w:sz="8" w:color="2C2C2C"/>
            </w:tcBorders>
          </w:tcPr>
          <w:p>
            <w:pPr>
              <w:jc w:val="center"/>
              <w:ind w:left="1552"/>
              <w:spacing w:after="0"/>
              <w:rPr>
                <w:sz w:val="20"/>
                <w:szCs w:val="20"/>
                <w:color w:val="auto"/>
              </w:rPr>
            </w:pPr>
            <w:r>
              <w:rPr>
                <w:rFonts w:ascii="Arial" w:cs="Arial" w:eastAsia="Arial" w:hAnsi="Arial"/>
                <w:sz w:val="18"/>
                <w:szCs w:val="18"/>
                <w:color w:val="0000FF"/>
                <w:w w:val="82"/>
              </w:rPr>
              <w:t>2,750</w:t>
            </w:r>
            <w:r>
              <w:rPr>
                <w:rFonts w:ascii="Arial" w:cs="Arial" w:eastAsia="Arial" w:hAnsi="Arial"/>
                <w:sz w:val="22"/>
                <w:szCs w:val="22"/>
                <w:color w:val="008000"/>
                <w:w w:val="82"/>
                <w:vertAlign w:val="superscript"/>
              </w:rPr>
              <w:t>(1)</w:t>
            </w:r>
          </w:p>
        </w:tc>
        <w:tc>
          <w:tcPr>
            <w:tcW w:w="1120" w:type="dxa"/>
            <w:vAlign w:val="bottom"/>
            <w:tcBorders>
              <w:bottom w:val="single" w:sz="8" w:color="2C2C2C"/>
            </w:tcBorders>
          </w:tcPr>
          <w:p>
            <w:pPr>
              <w:jc w:val="center"/>
              <w:ind w:left="292"/>
              <w:spacing w:after="0"/>
              <w:rPr>
                <w:sz w:val="20"/>
                <w:szCs w:val="20"/>
                <w:color w:val="auto"/>
              </w:rPr>
            </w:pPr>
            <w:r>
              <w:rPr>
                <w:rFonts w:ascii="Arial" w:cs="Arial" w:eastAsia="Arial" w:hAnsi="Arial"/>
                <w:sz w:val="18"/>
                <w:szCs w:val="18"/>
                <w:color w:val="0000FF"/>
              </w:rPr>
              <w:t>D</w:t>
            </w:r>
          </w:p>
        </w:tc>
        <w:tc>
          <w:tcPr>
            <w:tcW w:w="32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r>
      <w:tr>
        <w:trPr>
          <w:trHeight w:val="331"/>
        </w:trPr>
        <w:tc>
          <w:tcPr>
            <w:tcW w:w="20" w:type="dxa"/>
            <w:vAlign w:val="bottom"/>
          </w:tcPr>
          <w:p>
            <w:pPr>
              <w:spacing w:after="0"/>
              <w:rPr>
                <w:sz w:val="24"/>
                <w:szCs w:val="24"/>
                <w:color w:val="auto"/>
              </w:rPr>
            </w:pPr>
          </w:p>
        </w:tc>
        <w:tc>
          <w:tcPr>
            <w:tcW w:w="35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3560" w:type="dxa"/>
            <w:vAlign w:val="bottom"/>
            <w:tcBorders>
              <w:bottom w:val="single" w:sz="8" w:color="2C2C2C"/>
            </w:tcBorders>
          </w:tcPr>
          <w:p>
            <w:pPr>
              <w:jc w:val="center"/>
              <w:ind w:left="1552"/>
              <w:spacing w:after="0"/>
              <w:rPr>
                <w:sz w:val="20"/>
                <w:szCs w:val="20"/>
                <w:color w:val="auto"/>
              </w:rPr>
            </w:pPr>
            <w:r>
              <w:rPr>
                <w:rFonts w:ascii="Arial" w:cs="Arial" w:eastAsia="Arial" w:hAnsi="Arial"/>
                <w:sz w:val="18"/>
                <w:szCs w:val="18"/>
                <w:color w:val="0000FF"/>
                <w:w w:val="83"/>
              </w:rPr>
              <w:t>947</w:t>
            </w:r>
            <w:r>
              <w:rPr>
                <w:rFonts w:ascii="Arial" w:cs="Arial" w:eastAsia="Arial" w:hAnsi="Arial"/>
                <w:sz w:val="22"/>
                <w:szCs w:val="22"/>
                <w:color w:val="008000"/>
                <w:w w:val="83"/>
                <w:vertAlign w:val="superscript"/>
              </w:rPr>
              <w:t>(2)</w:t>
            </w:r>
          </w:p>
        </w:tc>
        <w:tc>
          <w:tcPr>
            <w:tcW w:w="1120" w:type="dxa"/>
            <w:vAlign w:val="bottom"/>
            <w:tcBorders>
              <w:bottom w:val="single" w:sz="8" w:color="2C2C2C"/>
            </w:tcBorders>
          </w:tcPr>
          <w:p>
            <w:pPr>
              <w:jc w:val="center"/>
              <w:ind w:left="292"/>
              <w:spacing w:after="0"/>
              <w:rPr>
                <w:sz w:val="20"/>
                <w:szCs w:val="20"/>
                <w:color w:val="auto"/>
              </w:rPr>
            </w:pPr>
            <w:r>
              <w:rPr>
                <w:rFonts w:ascii="Arial" w:cs="Arial" w:eastAsia="Arial" w:hAnsi="Arial"/>
                <w:sz w:val="18"/>
                <w:szCs w:val="18"/>
                <w:color w:val="0000FF"/>
              </w:rPr>
              <w:t>D</w:t>
            </w:r>
          </w:p>
        </w:tc>
        <w:tc>
          <w:tcPr>
            <w:tcW w:w="32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r>
      <w:tr>
        <w:trPr>
          <w:trHeight w:val="268"/>
        </w:trPr>
        <w:tc>
          <w:tcPr>
            <w:tcW w:w="20" w:type="dxa"/>
            <w:vAlign w:val="bottom"/>
          </w:tcPr>
          <w:p>
            <w:pPr>
              <w:spacing w:after="0"/>
              <w:rPr>
                <w:sz w:val="23"/>
                <w:szCs w:val="23"/>
                <w:color w:val="auto"/>
              </w:rPr>
            </w:pPr>
          </w:p>
        </w:tc>
        <w:tc>
          <w:tcPr>
            <w:tcW w:w="35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3560" w:type="dxa"/>
            <w:vAlign w:val="bottom"/>
          </w:tcPr>
          <w:p>
            <w:pPr>
              <w:jc w:val="center"/>
              <w:ind w:left="1552"/>
              <w:spacing w:after="0"/>
              <w:rPr>
                <w:sz w:val="20"/>
                <w:szCs w:val="20"/>
                <w:color w:val="auto"/>
              </w:rPr>
            </w:pPr>
            <w:r>
              <w:rPr>
                <w:rFonts w:ascii="Arial" w:cs="Arial" w:eastAsia="Arial" w:hAnsi="Arial"/>
                <w:sz w:val="18"/>
                <w:szCs w:val="18"/>
                <w:color w:val="0000FF"/>
                <w:w w:val="88"/>
              </w:rPr>
              <w:t>1,755</w:t>
            </w:r>
          </w:p>
        </w:tc>
        <w:tc>
          <w:tcPr>
            <w:tcW w:w="1120" w:type="dxa"/>
            <w:vAlign w:val="bottom"/>
          </w:tcPr>
          <w:p>
            <w:pPr>
              <w:jc w:val="center"/>
              <w:ind w:left="292"/>
              <w:spacing w:after="0"/>
              <w:rPr>
                <w:sz w:val="20"/>
                <w:szCs w:val="20"/>
                <w:color w:val="auto"/>
              </w:rPr>
            </w:pPr>
            <w:r>
              <w:rPr>
                <w:rFonts w:ascii="Arial" w:cs="Arial" w:eastAsia="Arial" w:hAnsi="Arial"/>
                <w:sz w:val="18"/>
                <w:szCs w:val="18"/>
                <w:color w:val="0000FF"/>
              </w:rPr>
              <w:t>I</w:t>
            </w:r>
          </w:p>
        </w:tc>
        <w:tc>
          <w:tcPr>
            <w:tcW w:w="3200" w:type="dxa"/>
            <w:vAlign w:val="bottom"/>
          </w:tcPr>
          <w:p>
            <w:pPr>
              <w:ind w:left="320"/>
              <w:spacing w:after="0"/>
              <w:rPr>
                <w:sz w:val="20"/>
                <w:szCs w:val="20"/>
                <w:color w:val="auto"/>
              </w:rPr>
            </w:pPr>
            <w:r>
              <w:rPr>
                <w:rFonts w:ascii="Arial" w:cs="Arial" w:eastAsia="Arial" w:hAnsi="Arial"/>
                <w:sz w:val="18"/>
                <w:szCs w:val="18"/>
                <w:color w:val="0000FF"/>
              </w:rPr>
              <w:t>Current 401-k Share Position</w:t>
            </w:r>
          </w:p>
        </w:tc>
        <w:tc>
          <w:tcPr>
            <w:tcW w:w="20" w:type="dxa"/>
            <w:vAlign w:val="bottom"/>
          </w:tcPr>
          <w:p>
            <w:pPr>
              <w:spacing w:after="0"/>
              <w:rPr>
                <w:sz w:val="23"/>
                <w:szCs w:val="23"/>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3500" w:type="dxa"/>
            <w:vAlign w:val="bottom"/>
            <w:tcBorders>
              <w:bottom w:val="single" w:sz="8" w:color="2C2C2C"/>
            </w:tcBorders>
          </w:tcPr>
          <w:p>
            <w:pPr>
              <w:spacing w:after="0"/>
              <w:rPr>
                <w:sz w:val="7"/>
                <w:szCs w:val="7"/>
                <w:color w:val="auto"/>
              </w:rPr>
            </w:pPr>
          </w:p>
        </w:tc>
        <w:tc>
          <w:tcPr>
            <w:tcW w:w="356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32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500" w:type="dxa"/>
            <w:vAlign w:val="bottom"/>
            <w:tcBorders>
              <w:top w:val="single" w:sz="8" w:color="808080"/>
            </w:tcBorders>
            <w:shd w:val="clear" w:color="auto" w:fill="2C2C2C"/>
          </w:tcPr>
          <w:p>
            <w:pPr>
              <w:spacing w:after="0" w:line="20" w:lineRule="exact"/>
              <w:rPr>
                <w:sz w:val="1"/>
                <w:szCs w:val="1"/>
                <w:color w:val="auto"/>
              </w:rPr>
            </w:pPr>
          </w:p>
        </w:tc>
        <w:tc>
          <w:tcPr>
            <w:tcW w:w="356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32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20" w:type="dxa"/>
            <w:vAlign w:val="bottom"/>
            <w:gridSpan w:val="2"/>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20" w:type="dxa"/>
            <w:vAlign w:val="bottom"/>
            <w:gridSpan w:val="2"/>
          </w:tcPr>
          <w:p>
            <w:pPr>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3"/>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260" w:type="dxa"/>
            <w:vAlign w:val="bottom"/>
            <w:gridSpan w:val="2"/>
          </w:tcPr>
          <w:p>
            <w:pPr>
              <w:ind w:left="80"/>
              <w:spacing w:after="0"/>
              <w:rPr>
                <w:sz w:val="20"/>
                <w:szCs w:val="20"/>
                <w:color w:val="auto"/>
              </w:rPr>
            </w:pPr>
            <w:r>
              <w:rPr>
                <w:rFonts w:ascii="Arial" w:cs="Arial" w:eastAsia="Arial" w:hAnsi="Arial"/>
                <w:sz w:val="14"/>
                <w:szCs w:val="14"/>
                <w:b w:val="1"/>
                <w:bCs w:val="1"/>
                <w:color w:val="auto"/>
              </w:rPr>
              <w:t>5.</w:t>
            </w:r>
          </w:p>
        </w:tc>
        <w:tc>
          <w:tcPr>
            <w:tcW w:w="620" w:type="dxa"/>
            <w:vAlign w:val="bottom"/>
          </w:tcPr>
          <w:p>
            <w:pPr>
              <w:spacing w:after="0"/>
              <w:rPr>
                <w:sz w:val="14"/>
                <w:szCs w:val="14"/>
                <w:color w:val="auto"/>
              </w:rPr>
            </w:pPr>
          </w:p>
        </w:tc>
        <w:tc>
          <w:tcPr>
            <w:tcW w:w="1640" w:type="dxa"/>
            <w:vAlign w:val="bottom"/>
            <w:gridSpan w:val="3"/>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(Month/Day/Year)</w:t>
            </w:r>
          </w:p>
        </w:tc>
        <w:tc>
          <w:tcPr>
            <w:tcW w:w="1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6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gridSpan w:val="3"/>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6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gridSpan w:val="3"/>
            <w:vMerge w:val="continue"/>
          </w:tcPr>
          <w:p>
            <w:pPr>
              <w:spacing w:after="0"/>
              <w:rPr>
                <w:sz w:val="4"/>
                <w:szCs w:val="4"/>
                <w:color w:val="auto"/>
              </w:rPr>
            </w:pPr>
          </w:p>
        </w:tc>
        <w:tc>
          <w:tcPr>
            <w:tcW w:w="1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gridSpan w:val="3"/>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ind w:left="4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60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500" w:type="dxa"/>
            <w:vAlign w:val="bottom"/>
          </w:tcPr>
          <w:p>
            <w:pPr>
              <w:spacing w:after="0"/>
              <w:rPr>
                <w:sz w:val="15"/>
                <w:szCs w:val="15"/>
                <w:color w:val="auto"/>
              </w:rPr>
            </w:pPr>
          </w:p>
        </w:tc>
        <w:tc>
          <w:tcPr>
            <w:tcW w:w="660" w:type="dxa"/>
            <w:vAlign w:val="bottom"/>
          </w:tcPr>
          <w:p>
            <w:pPr>
              <w:ind w:left="4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6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620" w:type="dxa"/>
            <w:vAlign w:val="bottom"/>
            <w:gridSpan w:val="2"/>
          </w:tcPr>
          <w:p>
            <w:pPr>
              <w:ind w:left="60"/>
              <w:spacing w:after="0"/>
              <w:rPr>
                <w:sz w:val="20"/>
                <w:szCs w:val="20"/>
                <w:color w:val="auto"/>
              </w:rPr>
            </w:pPr>
            <w:r>
              <w:rPr>
                <w:rFonts w:ascii="Arial" w:cs="Arial" w:eastAsia="Arial" w:hAnsi="Arial"/>
                <w:sz w:val="18"/>
                <w:szCs w:val="18"/>
                <w:color w:val="0000FF"/>
              </w:rPr>
              <w:t>Non-Qualified Stock Option</w:t>
            </w:r>
          </w:p>
        </w:tc>
        <w:tc>
          <w:tcPr>
            <w:tcW w:w="820" w:type="dxa"/>
            <w:vAlign w:val="bottom"/>
          </w:tcPr>
          <w:p>
            <w:pPr>
              <w:jc w:val="right"/>
              <w:ind w:right="319"/>
              <w:spacing w:after="0"/>
              <w:rPr>
                <w:sz w:val="20"/>
                <w:szCs w:val="20"/>
                <w:color w:val="auto"/>
              </w:rPr>
            </w:pPr>
            <w:r>
              <w:rPr>
                <w:rFonts w:ascii="Arial" w:cs="Arial" w:eastAsia="Arial" w:hAnsi="Arial"/>
                <w:sz w:val="11"/>
                <w:szCs w:val="11"/>
                <w:color w:val="008000"/>
              </w:rPr>
              <w:t>(3)</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02/09/2015</w:t>
            </w:r>
          </w:p>
        </w:tc>
        <w:tc>
          <w:tcPr>
            <w:tcW w:w="1600" w:type="dxa"/>
            <w:vAlign w:val="bottom"/>
          </w:tcPr>
          <w:p>
            <w:pPr>
              <w:ind w:left="500"/>
              <w:spacing w:after="0"/>
              <w:rPr>
                <w:sz w:val="20"/>
                <w:szCs w:val="20"/>
                <w:color w:val="auto"/>
              </w:rPr>
            </w:pPr>
            <w:r>
              <w:rPr>
                <w:rFonts w:ascii="Arial" w:cs="Arial" w:eastAsia="Arial" w:hAnsi="Arial"/>
                <w:sz w:val="18"/>
                <w:szCs w:val="18"/>
                <w:color w:val="0000FF"/>
                <w:w w:val="87"/>
              </w:rPr>
              <w:t>Common Stock</w:t>
            </w:r>
          </w:p>
        </w:tc>
        <w:tc>
          <w:tcPr>
            <w:tcW w:w="1160" w:type="dxa"/>
            <w:vAlign w:val="bottom"/>
            <w:gridSpan w:val="2"/>
          </w:tcPr>
          <w:p>
            <w:pPr>
              <w:jc w:val="right"/>
              <w:ind w:right="32"/>
              <w:spacing w:after="0"/>
              <w:rPr>
                <w:sz w:val="20"/>
                <w:szCs w:val="20"/>
                <w:color w:val="auto"/>
              </w:rPr>
            </w:pPr>
            <w:r>
              <w:rPr>
                <w:rFonts w:ascii="Arial" w:cs="Arial" w:eastAsia="Arial" w:hAnsi="Arial"/>
                <w:sz w:val="18"/>
                <w:szCs w:val="18"/>
                <w:color w:val="0000FF"/>
              </w:rPr>
              <w:t>25,000</w:t>
            </w:r>
          </w:p>
        </w:tc>
        <w:tc>
          <w:tcPr>
            <w:tcW w:w="880" w:type="dxa"/>
            <w:vAlign w:val="bottom"/>
          </w:tcPr>
          <w:p>
            <w:pPr>
              <w:jc w:val="center"/>
              <w:spacing w:after="0"/>
              <w:rPr>
                <w:sz w:val="20"/>
                <w:szCs w:val="20"/>
                <w:color w:val="auto"/>
              </w:rPr>
            </w:pPr>
            <w:r>
              <w:rPr>
                <w:rFonts w:ascii="Arial" w:cs="Arial" w:eastAsia="Arial" w:hAnsi="Arial"/>
                <w:sz w:val="18"/>
                <w:szCs w:val="18"/>
                <w:color w:val="0000FF"/>
                <w:w w:val="86"/>
              </w:rPr>
              <w:t>20.5867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ind w:left="140"/>
              <w:spacing w:after="0"/>
              <w:rPr>
                <w:sz w:val="20"/>
                <w:szCs w:val="20"/>
                <w:color w:val="auto"/>
              </w:rPr>
            </w:pPr>
            <w:r>
              <w:rPr>
                <w:rFonts w:ascii="Arial" w:cs="Arial" w:eastAsia="Arial" w:hAnsi="Arial"/>
                <w:sz w:val="18"/>
                <w:szCs w:val="18"/>
                <w:color w:val="0000FF"/>
              </w:rPr>
              <w:t>D</w:t>
            </w:r>
          </w:p>
        </w:tc>
        <w:tc>
          <w:tcPr>
            <w:tcW w:w="1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620" w:type="dxa"/>
            <w:vAlign w:val="bottom"/>
            <w:tcBorders>
              <w:bottom w:val="single" w:sz="8" w:color="2C2C2C"/>
            </w:tcBorders>
            <w:gridSpan w:val="2"/>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620" w:type="dxa"/>
            <w:vAlign w:val="bottom"/>
            <w:gridSpan w:val="2"/>
          </w:tcPr>
          <w:p>
            <w:pPr>
              <w:ind w:left="60"/>
              <w:spacing w:after="0"/>
              <w:rPr>
                <w:sz w:val="20"/>
                <w:szCs w:val="20"/>
                <w:color w:val="auto"/>
              </w:rPr>
            </w:pPr>
            <w:r>
              <w:rPr>
                <w:rFonts w:ascii="Arial" w:cs="Arial" w:eastAsia="Arial" w:hAnsi="Arial"/>
                <w:sz w:val="18"/>
                <w:szCs w:val="18"/>
                <w:color w:val="0000FF"/>
              </w:rPr>
              <w:t>Non-Qualified Stock Option</w:t>
            </w:r>
          </w:p>
        </w:tc>
        <w:tc>
          <w:tcPr>
            <w:tcW w:w="820" w:type="dxa"/>
            <w:vAlign w:val="bottom"/>
          </w:tcPr>
          <w:p>
            <w:pPr>
              <w:jc w:val="right"/>
              <w:ind w:right="319"/>
              <w:spacing w:after="0"/>
              <w:rPr>
                <w:sz w:val="20"/>
                <w:szCs w:val="20"/>
                <w:color w:val="auto"/>
              </w:rPr>
            </w:pPr>
            <w:r>
              <w:rPr>
                <w:rFonts w:ascii="Arial" w:cs="Arial" w:eastAsia="Arial" w:hAnsi="Arial"/>
                <w:sz w:val="11"/>
                <w:szCs w:val="11"/>
                <w:color w:val="008000"/>
              </w:rPr>
              <w:t>(3)</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02/08/2013</w:t>
            </w:r>
          </w:p>
        </w:tc>
        <w:tc>
          <w:tcPr>
            <w:tcW w:w="1600" w:type="dxa"/>
            <w:vAlign w:val="bottom"/>
          </w:tcPr>
          <w:p>
            <w:pPr>
              <w:ind w:left="500"/>
              <w:spacing w:after="0"/>
              <w:rPr>
                <w:sz w:val="20"/>
                <w:szCs w:val="20"/>
                <w:color w:val="auto"/>
              </w:rPr>
            </w:pPr>
            <w:r>
              <w:rPr>
                <w:rFonts w:ascii="Arial" w:cs="Arial" w:eastAsia="Arial" w:hAnsi="Arial"/>
                <w:sz w:val="18"/>
                <w:szCs w:val="18"/>
                <w:color w:val="0000FF"/>
                <w:w w:val="87"/>
              </w:rPr>
              <w:t>Common Stock</w:t>
            </w:r>
          </w:p>
        </w:tc>
        <w:tc>
          <w:tcPr>
            <w:tcW w:w="1160" w:type="dxa"/>
            <w:vAlign w:val="bottom"/>
            <w:gridSpan w:val="2"/>
          </w:tcPr>
          <w:p>
            <w:pPr>
              <w:jc w:val="right"/>
              <w:ind w:right="32"/>
              <w:spacing w:after="0"/>
              <w:rPr>
                <w:sz w:val="20"/>
                <w:szCs w:val="20"/>
                <w:color w:val="auto"/>
              </w:rPr>
            </w:pPr>
            <w:r>
              <w:rPr>
                <w:rFonts w:ascii="Arial" w:cs="Arial" w:eastAsia="Arial" w:hAnsi="Arial"/>
                <w:sz w:val="18"/>
                <w:szCs w:val="18"/>
                <w:color w:val="0000FF"/>
              </w:rPr>
              <w:t>18,750</w:t>
            </w:r>
          </w:p>
        </w:tc>
        <w:tc>
          <w:tcPr>
            <w:tcW w:w="880" w:type="dxa"/>
            <w:vAlign w:val="bottom"/>
          </w:tcPr>
          <w:p>
            <w:pPr>
              <w:jc w:val="center"/>
              <w:spacing w:after="0"/>
              <w:rPr>
                <w:sz w:val="20"/>
                <w:szCs w:val="20"/>
                <w:color w:val="auto"/>
              </w:rPr>
            </w:pPr>
            <w:r>
              <w:rPr>
                <w:rFonts w:ascii="Arial" w:cs="Arial" w:eastAsia="Arial" w:hAnsi="Arial"/>
                <w:sz w:val="18"/>
                <w:szCs w:val="18"/>
                <w:color w:val="0000FF"/>
                <w:w w:val="86"/>
              </w:rPr>
              <w:t>26.0067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ind w:left="140"/>
              <w:spacing w:after="0"/>
              <w:rPr>
                <w:sz w:val="20"/>
                <w:szCs w:val="20"/>
                <w:color w:val="auto"/>
              </w:rPr>
            </w:pPr>
            <w:r>
              <w:rPr>
                <w:rFonts w:ascii="Arial" w:cs="Arial" w:eastAsia="Arial" w:hAnsi="Arial"/>
                <w:sz w:val="18"/>
                <w:szCs w:val="18"/>
                <w:color w:val="0000FF"/>
              </w:rPr>
              <w:t>D</w:t>
            </w:r>
          </w:p>
        </w:tc>
        <w:tc>
          <w:tcPr>
            <w:tcW w:w="1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620" w:type="dxa"/>
            <w:vAlign w:val="bottom"/>
            <w:tcBorders>
              <w:bottom w:val="single" w:sz="8" w:color="2C2C2C"/>
            </w:tcBorders>
            <w:gridSpan w:val="2"/>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620" w:type="dxa"/>
            <w:vAlign w:val="bottom"/>
            <w:gridSpan w:val="2"/>
          </w:tcPr>
          <w:p>
            <w:pPr>
              <w:ind w:left="60"/>
              <w:spacing w:after="0"/>
              <w:rPr>
                <w:sz w:val="20"/>
                <w:szCs w:val="20"/>
                <w:color w:val="auto"/>
              </w:rPr>
            </w:pPr>
            <w:r>
              <w:rPr>
                <w:rFonts w:ascii="Arial" w:cs="Arial" w:eastAsia="Arial" w:hAnsi="Arial"/>
                <w:sz w:val="18"/>
                <w:szCs w:val="18"/>
                <w:color w:val="0000FF"/>
              </w:rPr>
              <w:t>Non-Qualified Stock Option</w:t>
            </w:r>
          </w:p>
        </w:tc>
        <w:tc>
          <w:tcPr>
            <w:tcW w:w="820" w:type="dxa"/>
            <w:vAlign w:val="bottom"/>
          </w:tcPr>
          <w:p>
            <w:pPr>
              <w:jc w:val="right"/>
              <w:ind w:right="319"/>
              <w:spacing w:after="0"/>
              <w:rPr>
                <w:sz w:val="20"/>
                <w:szCs w:val="20"/>
                <w:color w:val="auto"/>
              </w:rPr>
            </w:pPr>
            <w:r>
              <w:rPr>
                <w:rFonts w:ascii="Arial" w:cs="Arial" w:eastAsia="Arial" w:hAnsi="Arial"/>
                <w:sz w:val="11"/>
                <w:szCs w:val="11"/>
                <w:color w:val="008000"/>
              </w:rPr>
              <w:t>(3)</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02/05/2014</w:t>
            </w:r>
          </w:p>
        </w:tc>
        <w:tc>
          <w:tcPr>
            <w:tcW w:w="1600" w:type="dxa"/>
            <w:vAlign w:val="bottom"/>
          </w:tcPr>
          <w:p>
            <w:pPr>
              <w:ind w:left="500"/>
              <w:spacing w:after="0"/>
              <w:rPr>
                <w:sz w:val="20"/>
                <w:szCs w:val="20"/>
                <w:color w:val="auto"/>
              </w:rPr>
            </w:pPr>
            <w:r>
              <w:rPr>
                <w:rFonts w:ascii="Arial" w:cs="Arial" w:eastAsia="Arial" w:hAnsi="Arial"/>
                <w:sz w:val="18"/>
                <w:szCs w:val="18"/>
                <w:color w:val="0000FF"/>
                <w:w w:val="87"/>
              </w:rPr>
              <w:t>Common Stock</w:t>
            </w:r>
          </w:p>
        </w:tc>
        <w:tc>
          <w:tcPr>
            <w:tcW w:w="1160" w:type="dxa"/>
            <w:vAlign w:val="bottom"/>
            <w:gridSpan w:val="2"/>
          </w:tcPr>
          <w:p>
            <w:pPr>
              <w:jc w:val="right"/>
              <w:ind w:right="32"/>
              <w:spacing w:after="0"/>
              <w:rPr>
                <w:sz w:val="20"/>
                <w:szCs w:val="20"/>
                <w:color w:val="auto"/>
              </w:rPr>
            </w:pPr>
            <w:r>
              <w:rPr>
                <w:rFonts w:ascii="Arial" w:cs="Arial" w:eastAsia="Arial" w:hAnsi="Arial"/>
                <w:sz w:val="18"/>
                <w:szCs w:val="18"/>
                <w:color w:val="0000FF"/>
              </w:rPr>
              <w:t>18,750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29.31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ind w:left="140"/>
              <w:spacing w:after="0"/>
              <w:rPr>
                <w:sz w:val="20"/>
                <w:szCs w:val="20"/>
                <w:color w:val="auto"/>
              </w:rPr>
            </w:pPr>
            <w:r>
              <w:rPr>
                <w:rFonts w:ascii="Arial" w:cs="Arial" w:eastAsia="Arial" w:hAnsi="Arial"/>
                <w:sz w:val="18"/>
                <w:szCs w:val="18"/>
                <w:color w:val="0000FF"/>
              </w:rPr>
              <w:t>D</w:t>
            </w:r>
          </w:p>
        </w:tc>
        <w:tc>
          <w:tcPr>
            <w:tcW w:w="1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620" w:type="dxa"/>
            <w:vAlign w:val="bottom"/>
            <w:tcBorders>
              <w:bottom w:val="single" w:sz="8" w:color="2C2C2C"/>
            </w:tcBorders>
            <w:gridSpan w:val="2"/>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620" w:type="dxa"/>
            <w:vAlign w:val="bottom"/>
            <w:gridSpan w:val="2"/>
          </w:tcPr>
          <w:p>
            <w:pPr>
              <w:ind w:left="60"/>
              <w:spacing w:after="0"/>
              <w:rPr>
                <w:sz w:val="20"/>
                <w:szCs w:val="20"/>
                <w:color w:val="auto"/>
              </w:rPr>
            </w:pPr>
            <w:r>
              <w:rPr>
                <w:rFonts w:ascii="Arial" w:cs="Arial" w:eastAsia="Arial" w:hAnsi="Arial"/>
                <w:sz w:val="18"/>
                <w:szCs w:val="18"/>
                <w:color w:val="0000FF"/>
              </w:rPr>
              <w:t>Non-Qualified Stock Option</w:t>
            </w:r>
          </w:p>
        </w:tc>
        <w:tc>
          <w:tcPr>
            <w:tcW w:w="820" w:type="dxa"/>
            <w:vAlign w:val="bottom"/>
          </w:tcPr>
          <w:p>
            <w:pPr>
              <w:jc w:val="right"/>
              <w:ind w:right="319"/>
              <w:spacing w:after="0"/>
              <w:rPr>
                <w:sz w:val="20"/>
                <w:szCs w:val="20"/>
                <w:color w:val="auto"/>
              </w:rPr>
            </w:pPr>
            <w:r>
              <w:rPr>
                <w:rFonts w:ascii="Arial" w:cs="Arial" w:eastAsia="Arial" w:hAnsi="Arial"/>
                <w:sz w:val="11"/>
                <w:szCs w:val="11"/>
                <w:color w:val="008000"/>
              </w:rPr>
              <w:t>(3)</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02/07/2015</w:t>
            </w:r>
          </w:p>
        </w:tc>
        <w:tc>
          <w:tcPr>
            <w:tcW w:w="1600" w:type="dxa"/>
            <w:vAlign w:val="bottom"/>
          </w:tcPr>
          <w:p>
            <w:pPr>
              <w:ind w:left="500"/>
              <w:spacing w:after="0"/>
              <w:rPr>
                <w:sz w:val="20"/>
                <w:szCs w:val="20"/>
                <w:color w:val="auto"/>
              </w:rPr>
            </w:pPr>
            <w:r>
              <w:rPr>
                <w:rFonts w:ascii="Arial" w:cs="Arial" w:eastAsia="Arial" w:hAnsi="Arial"/>
                <w:sz w:val="18"/>
                <w:szCs w:val="18"/>
                <w:color w:val="0000FF"/>
                <w:w w:val="87"/>
              </w:rPr>
              <w:t>Common Stock</w:t>
            </w:r>
          </w:p>
        </w:tc>
        <w:tc>
          <w:tcPr>
            <w:tcW w:w="1160" w:type="dxa"/>
            <w:vAlign w:val="bottom"/>
            <w:gridSpan w:val="2"/>
          </w:tcPr>
          <w:p>
            <w:pPr>
              <w:jc w:val="right"/>
              <w:ind w:right="32"/>
              <w:spacing w:after="0"/>
              <w:rPr>
                <w:sz w:val="20"/>
                <w:szCs w:val="20"/>
                <w:color w:val="auto"/>
              </w:rPr>
            </w:pPr>
            <w:r>
              <w:rPr>
                <w:rFonts w:ascii="Arial" w:cs="Arial" w:eastAsia="Arial" w:hAnsi="Arial"/>
                <w:sz w:val="18"/>
                <w:szCs w:val="18"/>
                <w:color w:val="0000FF"/>
              </w:rPr>
              <w:t>18,750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31.07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ind w:left="140"/>
              <w:spacing w:after="0"/>
              <w:rPr>
                <w:sz w:val="20"/>
                <w:szCs w:val="20"/>
                <w:color w:val="auto"/>
              </w:rPr>
            </w:pPr>
            <w:r>
              <w:rPr>
                <w:rFonts w:ascii="Arial" w:cs="Arial" w:eastAsia="Arial" w:hAnsi="Arial"/>
                <w:sz w:val="18"/>
                <w:szCs w:val="18"/>
                <w:color w:val="0000FF"/>
              </w:rPr>
              <w:t>D</w:t>
            </w:r>
          </w:p>
        </w:tc>
        <w:tc>
          <w:tcPr>
            <w:tcW w:w="1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620" w:type="dxa"/>
            <w:vAlign w:val="bottom"/>
            <w:tcBorders>
              <w:bottom w:val="single" w:sz="8" w:color="2C2C2C"/>
            </w:tcBorders>
            <w:gridSpan w:val="2"/>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620" w:type="dxa"/>
            <w:vAlign w:val="bottom"/>
            <w:gridSpan w:val="2"/>
          </w:tcPr>
          <w:p>
            <w:pPr>
              <w:ind w:left="60"/>
              <w:spacing w:after="0"/>
              <w:rPr>
                <w:sz w:val="20"/>
                <w:szCs w:val="20"/>
                <w:color w:val="auto"/>
              </w:rPr>
            </w:pPr>
            <w:r>
              <w:rPr>
                <w:rFonts w:ascii="Arial" w:cs="Arial" w:eastAsia="Arial" w:hAnsi="Arial"/>
                <w:sz w:val="18"/>
                <w:szCs w:val="18"/>
                <w:color w:val="0000FF"/>
              </w:rPr>
              <w:t>Non-Qualified Stock Option</w:t>
            </w:r>
          </w:p>
        </w:tc>
        <w:tc>
          <w:tcPr>
            <w:tcW w:w="820" w:type="dxa"/>
            <w:vAlign w:val="bottom"/>
          </w:tcPr>
          <w:p>
            <w:pPr>
              <w:jc w:val="right"/>
              <w:ind w:right="319"/>
              <w:spacing w:after="0"/>
              <w:rPr>
                <w:sz w:val="20"/>
                <w:szCs w:val="20"/>
                <w:color w:val="auto"/>
              </w:rPr>
            </w:pPr>
            <w:r>
              <w:rPr>
                <w:rFonts w:ascii="Arial" w:cs="Arial" w:eastAsia="Arial" w:hAnsi="Arial"/>
                <w:sz w:val="11"/>
                <w:szCs w:val="11"/>
                <w:color w:val="008000"/>
              </w:rPr>
              <w:t>(4)</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12/09/2015</w:t>
            </w:r>
          </w:p>
        </w:tc>
        <w:tc>
          <w:tcPr>
            <w:tcW w:w="1600" w:type="dxa"/>
            <w:vAlign w:val="bottom"/>
          </w:tcPr>
          <w:p>
            <w:pPr>
              <w:ind w:left="500"/>
              <w:spacing w:after="0"/>
              <w:rPr>
                <w:sz w:val="20"/>
                <w:szCs w:val="20"/>
                <w:color w:val="auto"/>
              </w:rPr>
            </w:pPr>
            <w:r>
              <w:rPr>
                <w:rFonts w:ascii="Arial" w:cs="Arial" w:eastAsia="Arial" w:hAnsi="Arial"/>
                <w:sz w:val="18"/>
                <w:szCs w:val="18"/>
                <w:color w:val="0000FF"/>
                <w:w w:val="87"/>
              </w:rPr>
              <w:t>Common Stock</w:t>
            </w:r>
          </w:p>
        </w:tc>
        <w:tc>
          <w:tcPr>
            <w:tcW w:w="1160" w:type="dxa"/>
            <w:vAlign w:val="bottom"/>
            <w:gridSpan w:val="2"/>
          </w:tcPr>
          <w:p>
            <w:pPr>
              <w:jc w:val="right"/>
              <w:ind w:right="32"/>
              <w:spacing w:after="0"/>
              <w:rPr>
                <w:sz w:val="20"/>
                <w:szCs w:val="20"/>
                <w:color w:val="auto"/>
              </w:rPr>
            </w:pPr>
            <w:r>
              <w:rPr>
                <w:rFonts w:ascii="Arial" w:cs="Arial" w:eastAsia="Arial" w:hAnsi="Arial"/>
                <w:sz w:val="18"/>
                <w:szCs w:val="18"/>
                <w:color w:val="0000FF"/>
              </w:rPr>
              <w:t>35,650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23.74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ind w:left="140"/>
              <w:spacing w:after="0"/>
              <w:rPr>
                <w:sz w:val="20"/>
                <w:szCs w:val="20"/>
                <w:color w:val="auto"/>
              </w:rPr>
            </w:pPr>
            <w:r>
              <w:rPr>
                <w:rFonts w:ascii="Arial" w:cs="Arial" w:eastAsia="Arial" w:hAnsi="Arial"/>
                <w:sz w:val="18"/>
                <w:szCs w:val="18"/>
                <w:color w:val="0000FF"/>
              </w:rPr>
              <w:t>D</w:t>
            </w:r>
          </w:p>
        </w:tc>
        <w:tc>
          <w:tcPr>
            <w:tcW w:w="1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620" w:type="dxa"/>
            <w:vAlign w:val="bottom"/>
            <w:tcBorders>
              <w:bottom w:val="single" w:sz="8" w:color="2C2C2C"/>
            </w:tcBorders>
            <w:gridSpan w:val="2"/>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620" w:type="dxa"/>
            <w:vAlign w:val="bottom"/>
            <w:gridSpan w:val="2"/>
          </w:tcPr>
          <w:p>
            <w:pPr>
              <w:ind w:left="60"/>
              <w:spacing w:after="0"/>
              <w:rPr>
                <w:sz w:val="20"/>
                <w:szCs w:val="20"/>
                <w:color w:val="auto"/>
              </w:rPr>
            </w:pPr>
            <w:r>
              <w:rPr>
                <w:rFonts w:ascii="Arial" w:cs="Arial" w:eastAsia="Arial" w:hAnsi="Arial"/>
                <w:sz w:val="18"/>
                <w:szCs w:val="18"/>
                <w:color w:val="0000FF"/>
              </w:rPr>
              <w:t>Non-Qualified Stock Option</w:t>
            </w:r>
          </w:p>
        </w:tc>
        <w:tc>
          <w:tcPr>
            <w:tcW w:w="820" w:type="dxa"/>
            <w:vAlign w:val="bottom"/>
          </w:tcPr>
          <w:p>
            <w:pPr>
              <w:jc w:val="right"/>
              <w:ind w:right="319"/>
              <w:spacing w:after="0"/>
              <w:rPr>
                <w:sz w:val="20"/>
                <w:szCs w:val="20"/>
                <w:color w:val="auto"/>
              </w:rPr>
            </w:pPr>
            <w:r>
              <w:rPr>
                <w:rFonts w:ascii="Arial" w:cs="Arial" w:eastAsia="Arial" w:hAnsi="Arial"/>
                <w:sz w:val="11"/>
                <w:szCs w:val="11"/>
                <w:color w:val="008000"/>
              </w:rPr>
              <w:t>(5)</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02/16/2017</w:t>
            </w:r>
          </w:p>
        </w:tc>
        <w:tc>
          <w:tcPr>
            <w:tcW w:w="1600" w:type="dxa"/>
            <w:vAlign w:val="bottom"/>
          </w:tcPr>
          <w:p>
            <w:pPr>
              <w:ind w:left="500"/>
              <w:spacing w:after="0"/>
              <w:rPr>
                <w:sz w:val="20"/>
                <w:szCs w:val="20"/>
                <w:color w:val="auto"/>
              </w:rPr>
            </w:pPr>
            <w:r>
              <w:rPr>
                <w:rFonts w:ascii="Arial" w:cs="Arial" w:eastAsia="Arial" w:hAnsi="Arial"/>
                <w:sz w:val="18"/>
                <w:szCs w:val="18"/>
                <w:color w:val="0000FF"/>
                <w:w w:val="87"/>
              </w:rPr>
              <w:t>Common Stock</w:t>
            </w:r>
          </w:p>
        </w:tc>
        <w:tc>
          <w:tcPr>
            <w:tcW w:w="1160" w:type="dxa"/>
            <w:vAlign w:val="bottom"/>
            <w:gridSpan w:val="2"/>
          </w:tcPr>
          <w:p>
            <w:pPr>
              <w:jc w:val="right"/>
              <w:ind w:right="32"/>
              <w:spacing w:after="0"/>
              <w:rPr>
                <w:sz w:val="20"/>
                <w:szCs w:val="20"/>
                <w:color w:val="auto"/>
              </w:rPr>
            </w:pPr>
            <w:r>
              <w:rPr>
                <w:rFonts w:ascii="Arial" w:cs="Arial" w:eastAsia="Arial" w:hAnsi="Arial"/>
                <w:sz w:val="18"/>
                <w:szCs w:val="18"/>
                <w:color w:val="0000FF"/>
              </w:rPr>
              <w:t>23,000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27.02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ind w:left="140"/>
              <w:spacing w:after="0"/>
              <w:rPr>
                <w:sz w:val="20"/>
                <w:szCs w:val="20"/>
                <w:color w:val="auto"/>
              </w:rPr>
            </w:pPr>
            <w:r>
              <w:rPr>
                <w:rFonts w:ascii="Arial" w:cs="Arial" w:eastAsia="Arial" w:hAnsi="Arial"/>
                <w:sz w:val="18"/>
                <w:szCs w:val="18"/>
                <w:color w:val="0000FF"/>
              </w:rPr>
              <w:t>D</w:t>
            </w:r>
          </w:p>
        </w:tc>
        <w:tc>
          <w:tcPr>
            <w:tcW w:w="1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20" w:type="dxa"/>
            <w:vAlign w:val="bottom"/>
            <w:gridSpan w:val="2"/>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gridSpan w:val="3"/>
          </w:tcPr>
          <w:p>
            <w:pPr>
              <w:ind w:left="20"/>
              <w:spacing w:after="0"/>
              <w:rPr>
                <w:sz w:val="20"/>
                <w:szCs w:val="20"/>
                <w:color w:val="auto"/>
              </w:rPr>
            </w:pPr>
            <w:r>
              <w:rPr>
                <w:rFonts w:ascii="Arial" w:cs="Arial" w:eastAsia="Arial" w:hAnsi="Arial"/>
                <w:sz w:val="14"/>
                <w:szCs w:val="14"/>
                <w:color w:val="008000"/>
              </w:rPr>
              <w:t>1. Shares held under the Company's Employee Stock Purchase Plan.</w:t>
            </w:r>
          </w:p>
        </w:tc>
        <w:tc>
          <w:tcPr>
            <w:tcW w:w="8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20" w:type="dxa"/>
            <w:vAlign w:val="bottom"/>
            <w:gridSpan w:val="2"/>
          </w:tcPr>
          <w:p>
            <w:pPr>
              <w:ind w:left="20"/>
              <w:spacing w:after="0"/>
              <w:rPr>
                <w:sz w:val="20"/>
                <w:szCs w:val="20"/>
                <w:color w:val="auto"/>
              </w:rPr>
            </w:pPr>
            <w:r>
              <w:rPr>
                <w:rFonts w:ascii="Arial" w:cs="Arial" w:eastAsia="Arial" w:hAnsi="Arial"/>
                <w:sz w:val="14"/>
                <w:szCs w:val="14"/>
                <w:color w:val="008000"/>
                <w:w w:val="86"/>
              </w:rPr>
              <w:t>2. Shares held under the Company's Deferred Compensation Plan.</w:t>
            </w: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20" w:type="dxa"/>
            <w:vAlign w:val="bottom"/>
            <w:gridSpan w:val="2"/>
          </w:tcPr>
          <w:p>
            <w:pPr>
              <w:ind w:left="20"/>
              <w:spacing w:after="0"/>
              <w:rPr>
                <w:sz w:val="20"/>
                <w:szCs w:val="20"/>
                <w:color w:val="auto"/>
              </w:rPr>
            </w:pPr>
            <w:r>
              <w:rPr>
                <w:rFonts w:ascii="Arial" w:cs="Arial" w:eastAsia="Arial" w:hAnsi="Arial"/>
                <w:sz w:val="14"/>
                <w:szCs w:val="14"/>
                <w:color w:val="008000"/>
              </w:rPr>
              <w:t>3. Stock Options are fully exercisable.</w:t>
            </w: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00" w:type="dxa"/>
            <w:vAlign w:val="bottom"/>
            <w:gridSpan w:val="7"/>
          </w:tcPr>
          <w:p>
            <w:pPr>
              <w:ind w:left="20"/>
              <w:spacing w:after="0"/>
              <w:rPr>
                <w:sz w:val="20"/>
                <w:szCs w:val="20"/>
                <w:color w:val="auto"/>
              </w:rPr>
            </w:pPr>
            <w:r>
              <w:rPr>
                <w:rFonts w:ascii="Arial" w:cs="Arial" w:eastAsia="Arial" w:hAnsi="Arial"/>
                <w:sz w:val="14"/>
                <w:szCs w:val="14"/>
                <w:color w:val="008000"/>
                <w:w w:val="96"/>
              </w:rPr>
              <w:t>4. The Stock Option award vests 25% on each of the first four anniversaries of the date of grant (which date of grant was 12/09/2008).</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00" w:type="dxa"/>
            <w:vAlign w:val="bottom"/>
            <w:gridSpan w:val="7"/>
          </w:tcPr>
          <w:p>
            <w:pPr>
              <w:ind w:left="20"/>
              <w:spacing w:after="0"/>
              <w:rPr>
                <w:sz w:val="20"/>
                <w:szCs w:val="20"/>
                <w:color w:val="auto"/>
              </w:rPr>
            </w:pPr>
            <w:r>
              <w:rPr>
                <w:rFonts w:ascii="Arial" w:cs="Arial" w:eastAsia="Arial" w:hAnsi="Arial"/>
                <w:sz w:val="14"/>
                <w:szCs w:val="14"/>
                <w:color w:val="008000"/>
                <w:w w:val="96"/>
              </w:rPr>
              <w:t>5. The Stock Option award vests 25% on each of the first four anniversaries of the date of grant (which date of grant was 02/16/2010).</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620" w:type="dxa"/>
            <w:vAlign w:val="bottom"/>
            <w:gridSpan w:val="2"/>
          </w:tcPr>
          <w:p>
            <w:pPr>
              <w:ind w:left="20"/>
              <w:spacing w:after="0"/>
              <w:rPr>
                <w:sz w:val="20"/>
                <w:szCs w:val="20"/>
                <w:color w:val="auto"/>
              </w:rPr>
            </w:pPr>
            <w:r>
              <w:rPr>
                <w:rFonts w:ascii="Arial" w:cs="Arial" w:eastAsia="Arial" w:hAnsi="Arial"/>
                <w:sz w:val="18"/>
                <w:szCs w:val="18"/>
                <w:b w:val="1"/>
                <w:bCs w:val="1"/>
                <w:color w:val="auto"/>
              </w:rPr>
              <w:t>Remarks:</w:t>
            </w:r>
          </w:p>
        </w:tc>
        <w:tc>
          <w:tcPr>
            <w:tcW w:w="8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880" w:type="dxa"/>
            <w:vAlign w:val="bottom"/>
            <w:gridSpan w:val="8"/>
          </w:tcPr>
          <w:p>
            <w:pPr>
              <w:ind w:left="20"/>
              <w:spacing w:after="0"/>
              <w:rPr>
                <w:sz w:val="20"/>
                <w:szCs w:val="20"/>
                <w:color w:val="auto"/>
              </w:rPr>
            </w:pPr>
            <w:r>
              <w:rPr>
                <w:rFonts w:ascii="Arial" w:cs="Arial" w:eastAsia="Arial" w:hAnsi="Arial"/>
                <w:sz w:val="14"/>
                <w:szCs w:val="14"/>
                <w:color w:val="008000"/>
                <w:w w:val="90"/>
              </w:rPr>
              <w:t>On June 24, 2010, the Company's Board of Directors elected Kevin Walbridge to the office of Executive Vice President - Operations effective October 1, 2010.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16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0000FF"/>
                <w:w w:val="89"/>
              </w:rPr>
              <w:t>/s/ Eileen B. Schuler Attorney-</w:t>
            </w:r>
          </w:p>
        </w:tc>
        <w:tc>
          <w:tcPr>
            <w:tcW w:w="2400" w:type="dxa"/>
            <w:vAlign w:val="bottom"/>
            <w:gridSpan w:val="5"/>
            <w:vMerge w:val="restart"/>
          </w:tcPr>
          <w:p>
            <w:pPr>
              <w:ind w:left="140"/>
              <w:spacing w:after="0"/>
              <w:rPr>
                <w:sz w:val="20"/>
                <w:szCs w:val="20"/>
                <w:color w:val="auto"/>
              </w:rPr>
            </w:pPr>
            <w:r>
              <w:rPr>
                <w:rFonts w:ascii="Arial" w:cs="Arial" w:eastAsia="Arial" w:hAnsi="Arial"/>
                <w:sz w:val="18"/>
                <w:szCs w:val="18"/>
                <w:color w:val="0000FF"/>
              </w:rPr>
              <w:t>07/02/2010</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356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60" w:type="dxa"/>
            <w:vAlign w:val="bottom"/>
            <w:gridSpan w:val="3"/>
          </w:tcPr>
          <w:p>
            <w:pPr>
              <w:spacing w:after="0"/>
              <w:rPr>
                <w:sz w:val="7"/>
                <w:szCs w:val="7"/>
                <w:color w:val="auto"/>
              </w:rPr>
            </w:pPr>
          </w:p>
        </w:tc>
        <w:tc>
          <w:tcPr>
            <w:tcW w:w="240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160" w:type="dxa"/>
            <w:vAlign w:val="bottom"/>
            <w:gridSpan w:val="2"/>
          </w:tcPr>
          <w:p>
            <w:pPr>
              <w:spacing w:after="0" w:line="95" w:lineRule="exact"/>
              <w:rPr>
                <w:sz w:val="20"/>
                <w:szCs w:val="20"/>
                <w:color w:val="auto"/>
              </w:rPr>
            </w:pPr>
            <w:r>
              <w:rPr>
                <w:rFonts w:ascii="Arial" w:cs="Arial" w:eastAsia="Arial" w:hAnsi="Arial"/>
                <w:sz w:val="10"/>
                <w:szCs w:val="10"/>
                <w:color w:val="0000FF"/>
              </w:rPr>
              <w:t>in-Fact</w:t>
            </w: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4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40" w:type="dxa"/>
            <w:vAlign w:val="bottom"/>
            <w:gridSpan w:val="3"/>
          </w:tcPr>
          <w:p>
            <w:pPr>
              <w:spacing w:after="0"/>
              <w:rPr>
                <w:sz w:val="20"/>
                <w:szCs w:val="20"/>
                <w:color w:val="auto"/>
              </w:rPr>
            </w:pPr>
            <w:r>
              <w:rPr>
                <w:rFonts w:ascii="Arial" w:cs="Arial" w:eastAsia="Arial" w:hAnsi="Arial"/>
                <w:sz w:val="14"/>
                <w:szCs w:val="14"/>
                <w:color w:val="auto"/>
                <w:w w:val="99"/>
              </w:rPr>
              <w:t>** Signature of Reporting Person</w:t>
            </w:r>
          </w:p>
        </w:tc>
        <w:tc>
          <w:tcPr>
            <w:tcW w:w="120" w:type="dxa"/>
            <w:vAlign w:val="bottom"/>
          </w:tcPr>
          <w:p>
            <w:pPr>
              <w:spacing w:after="0"/>
              <w:rPr>
                <w:sz w:val="20"/>
                <w:szCs w:val="20"/>
                <w:color w:val="auto"/>
              </w:rPr>
            </w:pPr>
          </w:p>
        </w:tc>
        <w:tc>
          <w:tcPr>
            <w:tcW w:w="760" w:type="dxa"/>
            <w:vAlign w:val="bottom"/>
            <w:gridSpan w:val="2"/>
          </w:tcPr>
          <w:p>
            <w:pPr>
              <w:ind w:left="140"/>
              <w:spacing w:after="0"/>
              <w:rPr>
                <w:sz w:val="20"/>
                <w:szCs w:val="20"/>
                <w:color w:val="auto"/>
              </w:rPr>
            </w:pPr>
            <w:r>
              <w:rPr>
                <w:rFonts w:ascii="Arial" w:cs="Arial" w:eastAsia="Arial" w:hAnsi="Arial"/>
                <w:sz w:val="14"/>
                <w:szCs w:val="14"/>
                <w:color w:val="auto"/>
              </w:rPr>
              <w:t>Date</w:t>
            </w: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LIMITED POWER OF ATTORNEY FOR</w:t>
      </w:r>
    </w:p>
    <w:p>
      <w:pPr>
        <w:spacing w:after="0" w:line="238" w:lineRule="auto"/>
        <w:rPr>
          <w:sz w:val="20"/>
          <w:szCs w:val="20"/>
          <w:color w:val="auto"/>
        </w:rPr>
      </w:pPr>
      <w:r>
        <w:rPr>
          <w:rFonts w:ascii="Courier New" w:cs="Courier New" w:eastAsia="Courier New" w:hAnsi="Courier New"/>
          <w:sz w:val="18"/>
          <w:szCs w:val="18"/>
          <w:color w:val="auto"/>
        </w:rPr>
        <w:t>SECTION 16 REPORTING OBLIGATIONS</w:t>
      </w:r>
    </w:p>
    <w:p>
      <w:pPr>
        <w:spacing w:after="0" w:line="200" w:lineRule="exact"/>
        <w:rPr>
          <w:sz w:val="20"/>
          <w:szCs w:val="20"/>
          <w:color w:val="auto"/>
        </w:rPr>
      </w:pPr>
    </w:p>
    <w:p>
      <w:pPr>
        <w:spacing w:after="0" w:line="210" w:lineRule="exact"/>
        <w:rPr>
          <w:sz w:val="20"/>
          <w:szCs w:val="20"/>
          <w:color w:val="auto"/>
        </w:rPr>
      </w:pPr>
    </w:p>
    <w:p>
      <w:pPr>
        <w:ind w:right="1159" w:firstLine="843"/>
        <w:spacing w:after="0" w:line="235" w:lineRule="auto"/>
        <w:rPr>
          <w:sz w:val="20"/>
          <w:szCs w:val="20"/>
          <w:color w:val="auto"/>
        </w:rPr>
      </w:pPr>
      <w:r>
        <w:rPr>
          <w:rFonts w:ascii="Courier New" w:cs="Courier New" w:eastAsia="Courier New" w:hAnsi="Courier New"/>
          <w:sz w:val="18"/>
          <w:szCs w:val="18"/>
          <w:color w:val="auto"/>
        </w:rPr>
        <w:t>Know all by these presents, that the undersigned hereby makes, constitutes and appoints each of Michael P. Rissman or Eileen B. Schuler as the undersigned's</w:t>
      </w:r>
    </w:p>
    <w:p>
      <w:pPr>
        <w:spacing w:after="0" w:line="6"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true and lawful attorney-in-fact and agent, with full power of substitution, and with full power and authority as hereinafter described on behalf of and in the name, place and stead of the undersigned to:</w:t>
      </w:r>
    </w:p>
    <w:p>
      <w:pPr>
        <w:spacing w:after="0" w:line="209" w:lineRule="exact"/>
        <w:rPr>
          <w:sz w:val="20"/>
          <w:szCs w:val="20"/>
          <w:color w:val="auto"/>
        </w:rPr>
      </w:pPr>
    </w:p>
    <w:p>
      <w:pPr>
        <w:ind w:right="1359" w:firstLine="8"/>
        <w:spacing w:after="0" w:line="268" w:lineRule="auto"/>
        <w:tabs>
          <w:tab w:leader="none" w:pos="843"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prepare, execute, acknowledge, deliver and file Forms 3, 4, and 5 (including any amendments thereto) with respect to the securities of Republic Services,</w:t>
      </w:r>
    </w:p>
    <w:p>
      <w:pPr>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Inc., a Delaware corporation (the "Company"), with the United States Securities and Exchange Commission, any national securities exchanges and the Company, as considered necessary or advisable under Section 16(a) of the Securities Exchange Act of 1934 and the rules and regulations promulgated thereunder, as amended from time to time (the "Exchange Act");</w:t>
      </w:r>
    </w:p>
    <w:p>
      <w:pPr>
        <w:spacing w:after="0" w:line="208" w:lineRule="exact"/>
        <w:rPr>
          <w:rFonts w:ascii="Courier New" w:cs="Courier New" w:eastAsia="Courier New" w:hAnsi="Courier New"/>
          <w:sz w:val="16"/>
          <w:szCs w:val="16"/>
          <w:color w:val="auto"/>
        </w:rPr>
      </w:pPr>
    </w:p>
    <w:p>
      <w:pPr>
        <w:ind w:right="1359" w:firstLine="8"/>
        <w:spacing w:after="0" w:line="268" w:lineRule="auto"/>
        <w:tabs>
          <w:tab w:leader="none" w:pos="843"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w:t>
      </w:r>
    </w:p>
    <w:p>
      <w:pPr>
        <w:ind w:right="21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information to the undersigned and approves and ratifies any such release of information; and</w:t>
      </w:r>
    </w:p>
    <w:p>
      <w:pPr>
        <w:spacing w:after="0" w:line="202" w:lineRule="exact"/>
        <w:rPr>
          <w:rFonts w:ascii="Courier New" w:cs="Courier New" w:eastAsia="Courier New" w:hAnsi="Courier New"/>
          <w:sz w:val="16"/>
          <w:szCs w:val="16"/>
          <w:color w:val="auto"/>
        </w:rPr>
      </w:pPr>
    </w:p>
    <w:p>
      <w:pPr>
        <w:ind w:left="860" w:hanging="852"/>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 any and all other acts which in the discretion of such</w:t>
      </w:r>
    </w:p>
    <w:p>
      <w:pPr>
        <w:spacing w:after="0" w:line="4"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attorney-in-fact are necessary or desirable for and on behalf of the undersigned in connection with the foregoing.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207" w:lineRule="exact"/>
        <w:rPr>
          <w:sz w:val="20"/>
          <w:szCs w:val="20"/>
          <w:color w:val="auto"/>
        </w:rPr>
      </w:pPr>
    </w:p>
    <w:p>
      <w:pPr>
        <w:ind w:right="2199" w:firstLine="8"/>
        <w:spacing w:after="0" w:line="279" w:lineRule="auto"/>
        <w:tabs>
          <w:tab w:leader="none" w:pos="84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Power of Attorney authorizes, but does not require, such attorneys-in-fact to act in their discretion on information provided to such attorneys-in-fact without independent verification of such information;</w:t>
      </w:r>
    </w:p>
    <w:p>
      <w:pPr>
        <w:spacing w:after="0" w:line="178" w:lineRule="exact"/>
        <w:rPr>
          <w:rFonts w:ascii="Courier New" w:cs="Courier New" w:eastAsia="Courier New" w:hAnsi="Courier New"/>
          <w:sz w:val="16"/>
          <w:szCs w:val="16"/>
          <w:color w:val="auto"/>
        </w:rPr>
      </w:pPr>
    </w:p>
    <w:p>
      <w:pPr>
        <w:ind w:right="1579" w:firstLine="8"/>
        <w:spacing w:after="0" w:line="237" w:lineRule="auto"/>
        <w:tabs>
          <w:tab w:leader="none" w:pos="84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and/or executed by such attorneys-in-fact on behalf of the undersigned pursuant to this Power of Attorney will be in such form and will contain such information and disclosure as such attorney-in-fact, in his or her discretion, deems necessary or desirable;</w:t>
      </w:r>
    </w:p>
    <w:p>
      <w:pPr>
        <w:spacing w:after="0" w:line="207" w:lineRule="exact"/>
        <w:rPr>
          <w:rFonts w:ascii="Courier New" w:cs="Courier New" w:eastAsia="Courier New" w:hAnsi="Courier New"/>
          <w:sz w:val="18"/>
          <w:szCs w:val="18"/>
          <w:color w:val="auto"/>
        </w:rPr>
      </w:pPr>
    </w:p>
    <w:p>
      <w:pPr>
        <w:ind w:right="1359" w:firstLine="8"/>
        <w:spacing w:after="0" w:line="237" w:lineRule="auto"/>
        <w:tabs>
          <w:tab w:leader="none" w:pos="84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such attorneys-in-fact assumes (i) any liability for the undersigned's responsibility to comply with the requirement of the Exchange Act, (ii) any liability of the undersigned for any failure to comply with such requirements, or (iii) any obligation or liability of the undersigned for profit disgorgement under Section 16(b) of the Exchange Act; and</w:t>
      </w:r>
    </w:p>
    <w:p>
      <w:pPr>
        <w:spacing w:after="0" w:line="208" w:lineRule="exact"/>
        <w:rPr>
          <w:rFonts w:ascii="Courier New" w:cs="Courier New" w:eastAsia="Courier New" w:hAnsi="Courier New"/>
          <w:sz w:val="18"/>
          <w:szCs w:val="18"/>
          <w:color w:val="auto"/>
        </w:rPr>
      </w:pPr>
    </w:p>
    <w:p>
      <w:pPr>
        <w:ind w:right="1459" w:firstLine="8"/>
        <w:spacing w:after="0" w:line="237" w:lineRule="auto"/>
        <w:tabs>
          <w:tab w:leader="none" w:pos="84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does not relieve the undersigned from responsibility for compliance with the undersigned's obligations under the Exchange Act, including without limitation the reporting requirements under Section 16 of the Exchange Act.</w:t>
      </w:r>
    </w:p>
    <w:p>
      <w:pPr>
        <w:spacing w:after="0" w:line="207" w:lineRule="exact"/>
        <w:rPr>
          <w:sz w:val="20"/>
          <w:szCs w:val="20"/>
          <w:color w:val="auto"/>
        </w:rPr>
      </w:pPr>
    </w:p>
    <w:p>
      <w:pPr>
        <w:ind w:right="1359" w:firstLine="843"/>
        <w:spacing w:after="0" w:line="236" w:lineRule="auto"/>
        <w:rPr>
          <w:sz w:val="20"/>
          <w:szCs w:val="20"/>
          <w:color w:val="auto"/>
        </w:rPr>
      </w:pPr>
      <w:r>
        <w:rPr>
          <w:rFonts w:ascii="Courier New" w:cs="Courier New" w:eastAsia="Courier New" w:hAnsi="Courier New"/>
          <w:sz w:val="18"/>
          <w:szCs w:val="18"/>
          <w:color w:val="auto"/>
        </w:rPr>
        <w:t>The undersigned hereby gives and grants the foregoing attorneys-in-fact full power and authority to do and perform all and every act and thing whatsoever requisite, necessary or appropriate to be done in and about the foregoing</w:t>
      </w:r>
    </w:p>
    <w:p>
      <w:pPr>
        <w:spacing w:after="0" w:line="6"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matters as fully to all intents and purposes as the undersigned might or could do if present, hereby ratifying all that such attorneys-in-fact of, for and on behalf of the undersigned, shall lawfully do or cause to be done by virtue of this Limited Power of Attorney.</w:t>
      </w:r>
    </w:p>
    <w:p>
      <w:pPr>
        <w:spacing w:after="0" w:line="207" w:lineRule="exact"/>
        <w:rPr>
          <w:sz w:val="20"/>
          <w:szCs w:val="20"/>
          <w:color w:val="auto"/>
        </w:rPr>
      </w:pPr>
    </w:p>
    <w:p>
      <w:pPr>
        <w:ind w:right="1259" w:firstLine="843"/>
        <w:spacing w:after="0" w:line="235" w:lineRule="auto"/>
        <w:rPr>
          <w:sz w:val="20"/>
          <w:szCs w:val="20"/>
          <w:color w:val="auto"/>
        </w:rPr>
      </w:pPr>
      <w:r>
        <w:rPr>
          <w:rFonts w:ascii="Courier New" w:cs="Courier New" w:eastAsia="Courier New" w:hAnsi="Courier New"/>
          <w:sz w:val="18"/>
          <w:szCs w:val="18"/>
          <w:color w:val="auto"/>
        </w:rPr>
        <w:t>This Power of Attorney shall remain in full force and effect until revoked by the undersigned in a signed writing delivered to such attorneys-in-fact.</w:t>
      </w:r>
    </w:p>
    <w:p>
      <w:pPr>
        <w:spacing w:after="0" w:line="208" w:lineRule="exact"/>
        <w:rPr>
          <w:sz w:val="20"/>
          <w:szCs w:val="20"/>
          <w:color w:val="auto"/>
        </w:rPr>
      </w:pPr>
    </w:p>
    <w:p>
      <w:pPr>
        <w:ind w:right="1459" w:firstLine="843"/>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1st day of July, 2010.</w:t>
      </w:r>
    </w:p>
    <w:p>
      <w:pPr>
        <w:spacing w:after="0" w:line="200" w:lineRule="exact"/>
        <w:rPr>
          <w:sz w:val="20"/>
          <w:szCs w:val="20"/>
          <w:color w:val="auto"/>
        </w:rPr>
      </w:pPr>
    </w:p>
    <w:p>
      <w:pPr>
        <w:spacing w:after="0" w:line="205" w:lineRule="exact"/>
        <w:rPr>
          <w:sz w:val="20"/>
          <w:szCs w:val="20"/>
          <w:color w:val="auto"/>
        </w:rPr>
      </w:pPr>
    </w:p>
    <w:p>
      <w:pPr>
        <w:ind w:left="3280"/>
        <w:spacing w:after="0"/>
        <w:tabs>
          <w:tab w:leader="none" w:pos="536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/s/ Kevin Walbridge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SUBSCRIBED and SWORN to before me, the undersigned notary public, on July 1, 2010.</w:t>
      </w:r>
    </w:p>
    <w:p>
      <w:pPr>
        <w:spacing w:after="0" w:line="200" w:lineRule="exact"/>
        <w:rPr>
          <w:sz w:val="20"/>
          <w:szCs w:val="20"/>
          <w:color w:val="auto"/>
        </w:rPr>
      </w:pPr>
    </w:p>
    <w:p>
      <w:pPr>
        <w:spacing w:after="0" w:line="211" w:lineRule="exact"/>
        <w:rPr>
          <w:sz w:val="20"/>
          <w:szCs w:val="20"/>
          <w:color w:val="auto"/>
        </w:rPr>
      </w:pPr>
    </w:p>
    <w:p>
      <w:pPr>
        <w:jc w:val="both"/>
        <w:ind w:right="1879" w:firstLine="843"/>
        <w:spacing w:after="0" w:line="236" w:lineRule="auto"/>
        <w:rPr>
          <w:sz w:val="20"/>
          <w:szCs w:val="20"/>
          <w:color w:val="auto"/>
        </w:rPr>
      </w:pPr>
      <w:r>
        <w:rPr>
          <w:rFonts w:ascii="Courier New" w:cs="Courier New" w:eastAsia="Courier New" w:hAnsi="Courier New"/>
          <w:sz w:val="18"/>
          <w:szCs w:val="18"/>
          <w:color w:val="auto"/>
        </w:rPr>
        <w:t>On this 1st day of July 2010, Kevin Walbridge, appeared before me, and acknowledged that he executed the foregoing instrument for the purposes therein contained.</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 WITNESS WHEREOF, I have hereunto set my hand and official seal.</w:t>
      </w:r>
    </w:p>
    <w:p>
      <w:pPr>
        <w:sectPr>
          <w:pgSz w:w="11900" w:h="16838" w:orient="portrait"/>
          <w:cols w:equalWidth="0" w:num="1">
            <w:col w:w="10219"/>
          </w:cols>
          <w:pgMar w:left="240" w:top="136" w:right="1440" w:bottom="0" w:gutter="0" w:footer="0" w:header="0"/>
        </w:sectPr>
      </w:pPr>
    </w:p>
    <w:bookmarkStart w:id="2" w:name="page3"/>
    <w:bookmarkEnd w:id="2"/>
    <w:p>
      <w:pPr>
        <w:ind w:left="4440"/>
        <w:spacing w:after="0"/>
        <w:rPr>
          <w:sz w:val="20"/>
          <w:szCs w:val="20"/>
          <w:color w:val="auto"/>
        </w:rPr>
      </w:pPr>
      <w:r>
        <w:rPr>
          <w:rFonts w:ascii="Courier New" w:cs="Courier New" w:eastAsia="Courier New" w:hAnsi="Courier New"/>
          <w:sz w:val="16"/>
          <w:szCs w:val="16"/>
          <w:color w:val="auto"/>
        </w:rPr>
        <w:t>/s/ Shelly O'Neill</w:t>
      </w:r>
    </w:p>
    <w:p>
      <w:pPr>
        <w:spacing w:after="0" w:line="16"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Notary 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My Commission Expires:</w:t>
      </w:r>
      <w:r>
        <w:rPr>
          <w:sz w:val="20"/>
          <w:szCs w:val="20"/>
          <w:color w:val="auto"/>
        </w:rPr>
        <w:tab/>
      </w:r>
      <w:r>
        <w:rPr>
          <w:rFonts w:ascii="Courier New" w:cs="Courier New" w:eastAsia="Courier New" w:hAnsi="Courier New"/>
          <w:sz w:val="16"/>
          <w:szCs w:val="16"/>
          <w:color w:val="auto"/>
        </w:rPr>
        <w:t>April 27, 2017</w:t>
      </w:r>
    </w:p>
    <w:sectPr>
      <w:pgSz w:w="11900" w:h="16838" w:orient="portrait"/>
      <w:cols w:equalWidth="0" w:num="1">
        <w:col w:w="10219"/>
      </w:cols>
      <w:pgMar w:left="240" w:top="54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495760" TargetMode="External"/><Relationship Id="rId12" Type="http://schemas.openxmlformats.org/officeDocument/2006/relationships/hyperlink" Target="http://www.sec.gov/cgi-bin/browse-edgar?action=getcompany&amp;CIK=00010603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2019-12-18T01:08:12Z</dcterms:created>
  <dcterms:modified xsi:type="dcterms:W3CDTF">2019-12-18T01:08:12Z</dcterms:modified>
</cp:coreProperties>
</file>