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0" w:after="0"/>
        <w:ind w:left="0" w:right="0" w:firstLine="720"/>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76" w:before="0" w:after="0"/>
        <w:jc w:val="both"/>
        <w:rPr/>
      </w:pPr>
      <w:r>
        <w:rPr>
          <w:color w:val="000000"/>
        </w:rPr>
        <w:t xml:space="preserve">☑ </w:t>
      </w:r>
      <w:r>
        <w:rPr>
          <w:rFonts w:ascii="Times New Roman;serif" w:hAnsi="Times New Roman;serif"/>
          <w:b/>
          <w:color w:val="000000"/>
          <w:sz w:val="20"/>
        </w:rPr>
        <w:t>ANNUAL</w:t>
      </w:r>
      <w:r>
        <w:rPr>
          <w:color w:val="000000"/>
        </w:rPr>
        <w:t xml:space="preserve"> </w:t>
      </w:r>
      <w:r>
        <w:rPr>
          <w:rFonts w:ascii="Times New Roman;serif" w:hAnsi="Times New Roman;serif"/>
          <w:b/>
          <w:color w:val="000000"/>
          <w:sz w:val="20"/>
        </w:rPr>
        <w:t>REPORT PURSUANT TO SECTION 13 OR 15(d) OF THE SECURITIES EXCHANGE ACT OF 1934</w:t>
      </w:r>
    </w:p>
    <w:p>
      <w:pPr>
        <w:pStyle w:val="TextBody"/>
        <w:bidi w:val="0"/>
        <w:spacing w:lineRule="auto" w:line="288" w:before="0" w:after="0"/>
        <w:jc w:val="left"/>
        <w:rPr/>
      </w:pPr>
      <w:r>
        <w:rPr>
          <w:rFonts w:ascii="Times New Roman;serif" w:hAnsi="Times New Roman;serif"/>
          <w:b w:val="false"/>
          <w:color w:val="000000"/>
          <w:sz w:val="18"/>
        </w:rPr>
        <w:t xml:space="preserve">For the fiscal year ended </w:t>
      </w:r>
      <w:r>
        <w:rPr>
          <w:rFonts w:ascii="Times New Roman;serif" w:hAnsi="Times New Roman;serif"/>
          <w:b w:val="false"/>
          <w:color w:val="000000"/>
          <w:sz w:val="20"/>
        </w:rPr>
        <w:t>December 31, 2025</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or</w:t>
      </w:r>
    </w:p>
    <w:p>
      <w:pPr>
        <w:pStyle w:val="TextBody"/>
        <w:bidi w:val="0"/>
        <w:spacing w:lineRule="auto" w:line="276" w:before="0" w:after="0"/>
        <w:jc w:val="both"/>
        <w:rPr/>
      </w:pPr>
      <w:r>
        <w:rPr>
          <w:color w:val="000000"/>
        </w:rPr>
        <w:t xml:space="preserve">☐ </w:t>
      </w:r>
      <w:r>
        <w:rPr>
          <w:rFonts w:ascii="Times New Roman;serif" w:hAnsi="Times New Roman;serif"/>
          <w:b/>
          <w:color w:val="000000"/>
          <w:sz w:val="19"/>
        </w:rPr>
        <w:t>TRANSITION</w:t>
      </w:r>
      <w:r>
        <w:rPr>
          <w:color w:val="000000"/>
        </w:rPr>
        <w:t xml:space="preserve"> </w:t>
      </w:r>
      <w:r>
        <w:rPr>
          <w:rFonts w:ascii="Times New Roman;serif" w:hAnsi="Times New Roman;serif"/>
          <w:b/>
          <w:color w:val="000000"/>
          <w:sz w:val="19"/>
        </w:rPr>
        <w:t>REPORT PURSUANT TO SECTION 13 OR 15(d) OF THE SECURITIES EXCHANGE ACT OF 1934</w:t>
      </w:r>
    </w:p>
    <w:p>
      <w:pPr>
        <w:pStyle w:val="TextBody"/>
        <w:bidi w:val="0"/>
        <w:spacing w:before="0" w:after="0"/>
        <w:ind w:left="0" w:right="0" w:firstLine="1008"/>
        <w:jc w:val="center"/>
        <w:rPr/>
      </w:pPr>
      <w:r>
        <w:rPr/>
      </w:r>
    </w:p>
    <w:p>
      <w:pPr>
        <w:pStyle w:val="TextBody"/>
        <w:bidi w:val="0"/>
        <w:spacing w:lineRule="auto" w:line="417" w:before="0" w:after="0"/>
        <w:ind w:left="0" w:right="0" w:firstLine="1008"/>
        <w:jc w:val="center"/>
        <w:rPr>
          <w:rFonts w:ascii="Times New Roman;serif" w:hAnsi="Times New Roman;serif"/>
          <w:b/>
          <w:color w:val="000000"/>
          <w:sz w:val="20"/>
        </w:rPr>
      </w:pPr>
      <w:r>
        <w:rPr>
          <w:rFonts w:ascii="Times New Roman;serif" w:hAnsi="Times New Roman;serif"/>
          <w:b/>
          <w:color w:val="000000"/>
          <w:sz w:val="20"/>
        </w:rPr>
        <w:t>For the transition period from ___________ to ___________</w:t>
      </w:r>
    </w:p>
    <w:p>
      <w:pPr>
        <w:pStyle w:val="TextBody"/>
        <w:bidi w:val="0"/>
        <w:spacing w:lineRule="auto" w:line="417" w:before="60" w:after="60"/>
        <w:ind w:left="0" w:right="0" w:firstLine="1008"/>
        <w:jc w:val="center"/>
        <w:rPr>
          <w:rFonts w:ascii="Times New Roman;serif" w:hAnsi="Times New Roman;serif"/>
          <w:b/>
          <w:color w:val="000000"/>
          <w:sz w:val="20"/>
        </w:rPr>
      </w:pPr>
      <w:r>
        <w:rPr>
          <w:rFonts w:ascii="Times New Roman;serif" w:hAnsi="Times New Roman;serif"/>
          <w:b/>
          <w:color w:val="000000"/>
          <w:sz w:val="20"/>
        </w:rPr>
        <w:t>Commission file number: 1-14267</w:t>
      </w:r>
    </w:p>
    <w:p>
      <w:pPr>
        <w:pStyle w:val="TextBody"/>
        <w:bidi w:val="0"/>
        <w:spacing w:lineRule="auto" w:line="288" w:before="0" w:after="100"/>
        <w:jc w:val="center"/>
        <w:rPr>
          <w:rFonts w:ascii="Times New Roman;serif" w:hAnsi="Times New Roman;serif"/>
          <w:b/>
          <w:color w:val="000000"/>
          <w:sz w:val="36"/>
        </w:rPr>
      </w:pPr>
      <w:r>
        <w:rPr>
          <w:rFonts w:ascii="Times New Roman;serif" w:hAnsi="Times New Roman;serif"/>
          <w:b/>
          <w:color w:val="000000"/>
          <w:sz w:val="36"/>
        </w:rPr>
        <w:t>REPUBLIC SERVICES, INC.</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 </w:t>
      </w:r>
    </w:p>
    <w:tbl>
      <w:tblPr>
        <w:tblW w:w="6914" w:type="dxa"/>
        <w:jc w:val="center"/>
        <w:tblInd w:w="0" w:type="dxa"/>
        <w:tblLayout w:type="fixed"/>
        <w:tblCellMar>
          <w:top w:w="28" w:type="dxa"/>
          <w:left w:w="28" w:type="dxa"/>
          <w:bottom w:w="28" w:type="dxa"/>
          <w:right w:w="28" w:type="dxa"/>
        </w:tblCellMar>
      </w:tblPr>
      <w:tblGrid>
        <w:gridCol w:w="1599"/>
        <w:gridCol w:w="1409"/>
        <w:gridCol w:w="1417"/>
        <w:gridCol w:w="725"/>
        <w:gridCol w:w="725"/>
        <w:gridCol w:w="1039"/>
      </w:tblGrid>
      <w:tr>
        <w:trPr/>
        <w:tc>
          <w:tcPr>
            <w:tcW w:w="159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65-0716904</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No.)</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5353 East City North Drive</w:t>
              <w:br/>
              <w:t>Phoenix, Arizona</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85054</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(Zip Code)</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(480) 627-2700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 </w:t>
      </w:r>
    </w:p>
    <w:p>
      <w:pPr>
        <w:pStyle w:val="TextBody"/>
        <w:bidi w:val="0"/>
        <w:spacing w:lineRule="auto" w:line="288" w:before="60" w:after="283"/>
        <w:ind w:left="0" w:right="0" w:firstLine="48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028" w:type="dxa"/>
        <w:jc w:val="center"/>
        <w:tblInd w:w="0" w:type="dxa"/>
        <w:tblLayout w:type="fixed"/>
        <w:tblCellMar>
          <w:top w:w="28" w:type="dxa"/>
          <w:left w:w="28" w:type="dxa"/>
          <w:bottom w:w="28" w:type="dxa"/>
          <w:right w:w="28" w:type="dxa"/>
        </w:tblCellMar>
      </w:tblPr>
      <w:tblGrid>
        <w:gridCol w:w="1263"/>
        <w:gridCol w:w="1113"/>
        <w:gridCol w:w="1119"/>
        <w:gridCol w:w="539"/>
        <w:gridCol w:w="539"/>
        <w:gridCol w:w="541"/>
        <w:gridCol w:w="1146"/>
        <w:gridCol w:w="1146"/>
        <w:gridCol w:w="1622"/>
      </w:tblGrid>
      <w:tr>
        <w:trPr/>
        <w:tc>
          <w:tcPr>
            <w:tcW w:w="12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9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RSG</w:t>
            </w:r>
          </w:p>
        </w:tc>
        <w:tc>
          <w:tcPr>
            <w:tcW w:w="39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0" w:after="0"/>
        <w:ind w:left="0" w:right="0" w:firstLine="48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12(g) of the Act: None</w:t>
      </w:r>
    </w:p>
    <w:p>
      <w:pPr>
        <w:pStyle w:val="TextBody"/>
        <w:bidi w:val="0"/>
        <w:spacing w:lineRule="auto" w:line="288" w:before="0" w:after="0"/>
        <w:jc w:val="both"/>
        <w:rPr/>
      </w:pPr>
      <w:r>
        <w:rPr>
          <w:rFonts w:ascii="Times New Roman;serif" w:hAnsi="Times New Roman;serif"/>
          <w:b w:val="false"/>
          <w:color w:val="000000"/>
          <w:sz w:val="18"/>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jc w:val="both"/>
        <w:rPr/>
      </w:pPr>
      <w:r>
        <w:rPr>
          <w:rFonts w:ascii="Times New Roman;serif" w:hAnsi="Times New Roman;serif"/>
          <w:b w:val="false"/>
          <w:color w:val="000000"/>
          <w:sz w:val="18"/>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8"/>
        </w:rPr>
        <w:t>No  </w:t>
      </w:r>
      <w:r>
        <w:rPr>
          <w:color w:val="000000"/>
        </w:rPr>
        <w:t>☑</w:t>
      </w:r>
      <w:r>
        <w:rPr>
          <w:rFonts w:ascii="Times New Roman;serif" w:hAnsi="Times New Roman;serif"/>
          <w:b/>
          <w:color w:val="000000"/>
          <w:sz w:val="18"/>
        </w:rPr>
        <w:br/>
        <w:t>Note</w:t>
      </w:r>
      <w:r>
        <w:rPr>
          <w:color w:val="000000"/>
        </w:rPr>
        <w:t xml:space="preserve"> – </w:t>
      </w:r>
      <w:r>
        <w:rPr>
          <w:rFonts w:ascii="Times New Roman;serif" w:hAnsi="Times New Roman;serif"/>
          <w:b w:val="false"/>
          <w:color w:val="000000"/>
          <w:sz w:val="18"/>
        </w:rPr>
        <w:t>Checking the box above will not relieve any registrant required to file reports pursuant to Section 13 or 15(d) of the Exchange Act from their obligations under those Sections.</w:t>
      </w:r>
    </w:p>
    <w:p>
      <w:pPr>
        <w:pStyle w:val="TextBody"/>
        <w:bidi w:val="0"/>
        <w:spacing w:lineRule="auto" w:line="288" w:before="6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034" w:type="dxa"/>
        <w:jc w:val="left"/>
        <w:tblInd w:w="0" w:type="dxa"/>
        <w:tblLayout w:type="fixed"/>
        <w:tblCellMar>
          <w:top w:w="28" w:type="dxa"/>
          <w:left w:w="28" w:type="dxa"/>
          <w:bottom w:w="28" w:type="dxa"/>
          <w:right w:w="28" w:type="dxa"/>
        </w:tblCellMar>
      </w:tblPr>
      <w:tblGrid>
        <w:gridCol w:w="712"/>
        <w:gridCol w:w="625"/>
        <w:gridCol w:w="627"/>
        <w:gridCol w:w="109"/>
        <w:gridCol w:w="109"/>
        <w:gridCol w:w="109"/>
        <w:gridCol w:w="505"/>
        <w:gridCol w:w="505"/>
        <w:gridCol w:w="506"/>
        <w:gridCol w:w="109"/>
        <w:gridCol w:w="109"/>
        <w:gridCol w:w="109"/>
        <w:gridCol w:w="744"/>
        <w:gridCol w:w="744"/>
        <w:gridCol w:w="746"/>
        <w:gridCol w:w="109"/>
        <w:gridCol w:w="109"/>
        <w:gridCol w:w="109"/>
        <w:gridCol w:w="683"/>
        <w:gridCol w:w="683"/>
        <w:gridCol w:w="973"/>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Large accelerated filer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Accelerated filer  </w:t>
            </w: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Smaller reporting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tc>
      </w:tr>
      <w:tr>
        <w:trPr/>
        <w:tc>
          <w:tcPr>
            <w:tcW w:w="3807"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Non-accelerated filer   </w:t>
            </w:r>
            <w:r>
              <w:rPr>
                <w:rFonts w:ascii="Wingdings;sans-serif" w:hAnsi="Wingdings;sans-serif"/>
                <w:b w:val="false"/>
                <w:color w:val="000000"/>
                <w:sz w:val="18"/>
              </w:rPr>
              <w:t>o</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both"/>
        <w:rPr/>
      </w:pPr>
      <w:r>
        <w:rPr>
          <w:rFonts w:ascii="Times New Roman;serif" w:hAnsi="Times New Roman;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60" w:after="283"/>
        <w:jc w:val="left"/>
        <w:rPr/>
      </w:pPr>
      <w:r>
        <w:rPr>
          <w:rFonts w:ascii="Times New Roman;serif" w:hAnsi="Times New Roman;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60" w:after="283"/>
        <w:jc w:val="left"/>
        <w:rPr/>
      </w:pPr>
      <w:r>
        <w:rPr>
          <w:rFonts w:ascii="Times New Roman;serif" w:hAnsi="Times New Roman;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60" w:after="283"/>
        <w:jc w:val="left"/>
        <w:rPr/>
      </w:pPr>
      <w:r>
        <w:rPr>
          <w:rFonts w:ascii="Times New Roman;serif" w:hAnsi="Times New Roman;serif"/>
          <w:b w:val="false"/>
          <w:color w:val="000000"/>
          <w:sz w:val="18"/>
        </w:rPr>
        <w:t>Indicate by check mark whether the registrant is a shell company (as defined in Rule 12b-2 of the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As of June 30, 2025, the aggregate market value of the shares of the Common Stock held by non-affiliates of the registrant was $77.0 billion.</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As of February 10, 2026, the registrant had outstanding 308,804,970 shares of Common Stock (excluding treasury shares of 4,827,437).</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Portions of the Registrant’s Proxy Statement relative to the 2026 Annual Meeting of Shareholders are incorporated by reference in Part III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31"/>
        <w:gridCol w:w="290"/>
        <w:gridCol w:w="295"/>
        <w:gridCol w:w="2943"/>
        <w:gridCol w:w="2931"/>
        <w:gridCol w:w="2947"/>
        <w:gridCol w:w="136"/>
        <w:gridCol w:w="136"/>
        <w:gridCol w:w="19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0">
              <w:r>
                <w:rPr>
                  <w:rStyle w:val="InternetLink"/>
                  <w:rFonts w:ascii="Times New Roman;serif" w:hAnsi="Times New Roman;serif"/>
                  <w:b/>
                  <w:color w:val="0000FF"/>
                  <w:sz w:val="19"/>
                  <w:u w:val="single"/>
                </w:rPr>
                <w:t>PART I</w:t>
              </w:r>
            </w:hyperlink>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3">
              <w:r>
                <w:rPr>
                  <w:rStyle w:val="InternetLink"/>
                  <w:rFonts w:ascii="Times New Roman;serif" w:hAnsi="Times New Roman;serif"/>
                  <w:b w:val="false"/>
                  <w:strike w:val="false"/>
                  <w:dstrike w:val="false"/>
                  <w:color w:val="000000"/>
                  <w:sz w:val="19"/>
                  <w:u w:val="none"/>
                  <w:effect w:val="none"/>
                </w:rPr>
                <w:t>Business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3">
              <w:r>
                <w:rPr>
                  <w:rStyle w:val="InternetLink"/>
                  <w:rFonts w:ascii="Times New Roman;serif" w:hAnsi="Times New Roman;serif"/>
                  <w:b w:val="false"/>
                  <w:color w:val="0000FF"/>
                  <w:sz w:val="19"/>
                  <w:u w:val="single"/>
                </w:rPr>
                <w:t>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1A.</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6">
              <w:r>
                <w:rPr>
                  <w:rStyle w:val="InternetLink"/>
                  <w:rFonts w:ascii="Times New Roman;serif" w:hAnsi="Times New Roman;serif"/>
                  <w:b w:val="false"/>
                  <w:strike w:val="false"/>
                  <w:dstrike w:val="false"/>
                  <w:color w:val="000000"/>
                  <w:sz w:val="19"/>
                  <w:u w:val="none"/>
                  <w:effect w:val="none"/>
                </w:rPr>
                <w:t>Risk Factors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6">
              <w:r>
                <w:rPr>
                  <w:rStyle w:val="InternetLink"/>
                  <w:rFonts w:ascii="Times New Roman;serif" w:hAnsi="Times New Roman;serif"/>
                  <w:b w:val="false"/>
                  <w:color w:val="0000FF"/>
                  <w:sz w:val="19"/>
                  <w:u w:val="single"/>
                </w:rPr>
                <w:t>19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1B.</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9">
              <w:r>
                <w:rPr>
                  <w:rStyle w:val="InternetLink"/>
                  <w:rFonts w:ascii="Times New Roman;serif" w:hAnsi="Times New Roman;serif"/>
                  <w:b w:val="false"/>
                  <w:strike w:val="false"/>
                  <w:dstrike w:val="false"/>
                  <w:color w:val="000000"/>
                  <w:sz w:val="19"/>
                  <w:u w:val="none"/>
                  <w:effect w:val="none"/>
                </w:rPr>
                <w:t>Unresolved Staff Comments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9">
              <w:r>
                <w:rPr>
                  <w:rStyle w:val="InternetLink"/>
                  <w:rFonts w:ascii="Times New Roman;serif" w:hAnsi="Times New Roman;serif"/>
                  <w:b w:val="false"/>
                  <w:color w:val="0000FF"/>
                  <w:sz w:val="19"/>
                  <w:u w:val="single"/>
                </w:rPr>
                <w:t>29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1C.</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Cybersecurity</w:t>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2093">
              <w:r>
                <w:rPr>
                  <w:rStyle w:val="InternetLink"/>
                  <w:rFonts w:ascii="Times New Roman;serif" w:hAnsi="Times New Roman;serif"/>
                  <w:b w:val="false"/>
                  <w:color w:val="0000FF"/>
                  <w:sz w:val="19"/>
                  <w:u w:val="single"/>
                </w:rPr>
                <w:t>29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2.</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22">
              <w:r>
                <w:rPr>
                  <w:rStyle w:val="InternetLink"/>
                  <w:rFonts w:ascii="Times New Roman;serif" w:hAnsi="Times New Roman;serif"/>
                  <w:b w:val="false"/>
                  <w:strike w:val="false"/>
                  <w:dstrike w:val="false"/>
                  <w:color w:val="000000"/>
                  <w:sz w:val="19"/>
                  <w:u w:val="none"/>
                  <w:effect w:val="none"/>
                </w:rPr>
                <w:t>Properties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22">
              <w:r>
                <w:rPr>
                  <w:rStyle w:val="InternetLink"/>
                  <w:rFonts w:ascii="Times New Roman;serif" w:hAnsi="Times New Roman;serif"/>
                  <w:b w:val="false"/>
                  <w:color w:val="0000FF"/>
                  <w:sz w:val="19"/>
                  <w:u w:val="single"/>
                </w:rPr>
                <w:t>30</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3.</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25">
              <w:r>
                <w:rPr>
                  <w:rStyle w:val="InternetLink"/>
                  <w:rFonts w:ascii="Times New Roman;serif" w:hAnsi="Times New Roman;serif"/>
                  <w:b w:val="false"/>
                  <w:strike w:val="false"/>
                  <w:dstrike w:val="false"/>
                  <w:color w:val="000000"/>
                  <w:sz w:val="19"/>
                  <w:u w:val="none"/>
                  <w:effect w:val="none"/>
                </w:rPr>
                <w:t>Legal Proceedings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25">
              <w:r>
                <w:rPr>
                  <w:rStyle w:val="InternetLink"/>
                  <w:rFonts w:ascii="Times New Roman;serif" w:hAnsi="Times New Roman;serif"/>
                  <w:b w:val="false"/>
                  <w:color w:val="0000FF"/>
                  <w:sz w:val="19"/>
                  <w:u w:val="single"/>
                </w:rPr>
                <w:t>31</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4.</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28">
              <w:r>
                <w:rPr>
                  <w:rStyle w:val="InternetLink"/>
                  <w:rFonts w:ascii="Times New Roman;serif" w:hAnsi="Times New Roman;serif"/>
                  <w:b w:val="false"/>
                  <w:strike w:val="false"/>
                  <w:dstrike w:val="false"/>
                  <w:color w:val="000000"/>
                  <w:sz w:val="19"/>
                  <w:u w:val="none"/>
                  <w:effect w:val="none"/>
                </w:rPr>
                <w:t>Mine Safety Disclosures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28">
              <w:r>
                <w:rPr>
                  <w:rStyle w:val="InternetLink"/>
                  <w:rFonts w:ascii="Times New Roman;serif" w:hAnsi="Times New Roman;serif"/>
                  <w:b w:val="false"/>
                  <w:color w:val="0000FF"/>
                  <w:sz w:val="19"/>
                  <w:u w:val="single"/>
                </w:rPr>
                <w:t>31</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31">
              <w:r>
                <w:rPr>
                  <w:rStyle w:val="InternetLink"/>
                  <w:rFonts w:ascii="Times New Roman;serif" w:hAnsi="Times New Roman;serif"/>
                  <w:b/>
                  <w:color w:val="0000FF"/>
                  <w:sz w:val="19"/>
                  <w:u w:val="single"/>
                </w:rPr>
                <w:t>PART II</w:t>
              </w:r>
            </w:hyperlink>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5.</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34">
              <w:r>
                <w:rPr>
                  <w:rStyle w:val="InternetLink"/>
                  <w:rFonts w:ascii="Times New Roman;serif" w:hAnsi="Times New Roman;serif"/>
                  <w:b w:val="false"/>
                  <w:strike w:val="false"/>
                  <w:dstrike w:val="false"/>
                  <w:color w:val="000000"/>
                  <w:sz w:val="19"/>
                  <w:u w:val="none"/>
                  <w:effect w:val="none"/>
                </w:rPr>
                <w:t>Market for Registrant’s Common Equity, Related Stockholder Matters and Issuer Purchases of Equity Securities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34">
              <w:r>
                <w:rPr>
                  <w:rStyle w:val="InternetLink"/>
                  <w:rFonts w:ascii="Times New Roman;serif" w:hAnsi="Times New Roman;serif"/>
                  <w:b w:val="false"/>
                  <w:color w:val="0000FF"/>
                  <w:sz w:val="19"/>
                  <w:u w:val="single"/>
                </w:rPr>
                <w:t>32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6.</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[Reserved]</w:t>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37">
              <w:r>
                <w:rPr>
                  <w:rStyle w:val="InternetLink"/>
                  <w:rFonts w:ascii="Times New Roman;serif" w:hAnsi="Times New Roman;serif"/>
                  <w:b w:val="false"/>
                  <w:color w:val="0000FF"/>
                  <w:sz w:val="19"/>
                  <w:u w:val="single"/>
                </w:rPr>
                <w:t>33</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7.</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43">
              <w:r>
                <w:rPr>
                  <w:rStyle w:val="InternetLink"/>
                  <w:rFonts w:ascii="Times New Roman;serif" w:hAnsi="Times New Roman;serif"/>
                  <w:b w:val="false"/>
                  <w:strike w:val="false"/>
                  <w:dstrike w:val="false"/>
                  <w:color w:val="000000"/>
                  <w:sz w:val="19"/>
                  <w:u w:val="none"/>
                  <w:effect w:val="none"/>
                </w:rPr>
                <w:t>Management’s Discussion and Analysis of Financial Condition and Results of Operations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43">
              <w:r>
                <w:rPr>
                  <w:rStyle w:val="InternetLink"/>
                  <w:rFonts w:ascii="Times New Roman;serif" w:hAnsi="Times New Roman;serif"/>
                  <w:b w:val="false"/>
                  <w:color w:val="0000FF"/>
                  <w:sz w:val="19"/>
                  <w:u w:val="single"/>
                </w:rPr>
                <w:t>34</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7A.</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79">
              <w:r>
                <w:rPr>
                  <w:rStyle w:val="InternetLink"/>
                  <w:rFonts w:ascii="Times New Roman;serif" w:hAnsi="Times New Roman;serif"/>
                  <w:b w:val="false"/>
                  <w:strike w:val="false"/>
                  <w:dstrike w:val="false"/>
                  <w:color w:val="000000"/>
                  <w:sz w:val="19"/>
                  <w:u w:val="none"/>
                  <w:effect w:val="none"/>
                </w:rPr>
                <w:t>Quantitative and Qualitative Disclosures About Market Risk</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79">
              <w:r>
                <w:rPr>
                  <w:rStyle w:val="InternetLink"/>
                  <w:rFonts w:ascii="Times New Roman;serif" w:hAnsi="Times New Roman;serif"/>
                  <w:b w:val="false"/>
                  <w:color w:val="0000FF"/>
                  <w:sz w:val="19"/>
                  <w:u w:val="single"/>
                </w:rPr>
                <w:t>57</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8.</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82">
              <w:r>
                <w:rPr>
                  <w:rStyle w:val="InternetLink"/>
                  <w:rFonts w:ascii="Times New Roman;serif" w:hAnsi="Times New Roman;serif"/>
                  <w:b w:val="false"/>
                  <w:strike w:val="false"/>
                  <w:dstrike w:val="false"/>
                  <w:color w:val="000000"/>
                  <w:sz w:val="19"/>
                  <w:u w:val="none"/>
                  <w:effect w:val="none"/>
                </w:rPr>
                <w:t>Financial Statements and Supplementary Data</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82">
              <w:r>
                <w:rPr>
                  <w:rStyle w:val="InternetLink"/>
                  <w:rFonts w:ascii="Times New Roman;serif" w:hAnsi="Times New Roman;serif"/>
                  <w:b w:val="false"/>
                  <w:color w:val="0000FF"/>
                  <w:sz w:val="19"/>
                  <w:u w:val="single"/>
                </w:rPr>
                <w:t>59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9.</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78">
              <w:r>
                <w:rPr>
                  <w:rStyle w:val="InternetLink"/>
                  <w:rFonts w:ascii="Times New Roman;serif" w:hAnsi="Times New Roman;serif"/>
                  <w:b w:val="false"/>
                  <w:strike w:val="false"/>
                  <w:dstrike w:val="false"/>
                  <w:color w:val="000000"/>
                  <w:sz w:val="19"/>
                  <w:u w:val="none"/>
                  <w:effect w:val="none"/>
                </w:rPr>
                <w:t>Changes in and Disagreements with Accountants on Accounting and Financial Disclosure</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78">
              <w:r>
                <w:rPr>
                  <w:rStyle w:val="InternetLink"/>
                  <w:rFonts w:ascii="Times New Roman;serif" w:hAnsi="Times New Roman;serif"/>
                  <w:b w:val="false"/>
                  <w:color w:val="0000FF"/>
                  <w:sz w:val="19"/>
                  <w:u w:val="single"/>
                </w:rPr>
                <w:t>107</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9A.</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81">
              <w:r>
                <w:rPr>
                  <w:rStyle w:val="InternetLink"/>
                  <w:rFonts w:ascii="Times New Roman;serif" w:hAnsi="Times New Roman;serif"/>
                  <w:b w:val="false"/>
                  <w:strike w:val="false"/>
                  <w:dstrike w:val="false"/>
                  <w:color w:val="000000"/>
                  <w:sz w:val="19"/>
                  <w:u w:val="none"/>
                  <w:effect w:val="none"/>
                </w:rPr>
                <w:t>Controls and Procedures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81">
              <w:r>
                <w:rPr>
                  <w:rStyle w:val="InternetLink"/>
                  <w:rFonts w:ascii="Times New Roman;serif" w:hAnsi="Times New Roman;serif"/>
                  <w:b w:val="false"/>
                  <w:color w:val="0000FF"/>
                  <w:sz w:val="19"/>
                  <w:u w:val="single"/>
                </w:rPr>
                <w:t>107</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9B.</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84">
              <w:r>
                <w:rPr>
                  <w:rStyle w:val="InternetLink"/>
                  <w:rFonts w:ascii="Times New Roman;serif" w:hAnsi="Times New Roman;serif"/>
                  <w:b w:val="false"/>
                  <w:strike w:val="false"/>
                  <w:dstrike w:val="false"/>
                  <w:color w:val="000000"/>
                  <w:sz w:val="19"/>
                  <w:u w:val="none"/>
                  <w:effect w:val="none"/>
                </w:rPr>
                <w:t>Other Information</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84">
              <w:r>
                <w:rPr>
                  <w:rStyle w:val="InternetLink"/>
                  <w:rFonts w:ascii="Times New Roman;serif" w:hAnsi="Times New Roman;serif"/>
                  <w:b w:val="false"/>
                  <w:color w:val="0000FF"/>
                  <w:sz w:val="19"/>
                  <w:u w:val="single"/>
                </w:rPr>
                <w:t>108</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9C.</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Disclosure Regarding Foreign Jurisdictions that Prevent Inspections</w:t>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099511629844">
              <w:r>
                <w:rPr>
                  <w:rStyle w:val="InternetLink"/>
                  <w:rFonts w:ascii="Times New Roman;serif" w:hAnsi="Times New Roman;serif"/>
                  <w:b w:val="false"/>
                  <w:color w:val="0000FF"/>
                  <w:sz w:val="19"/>
                  <w:u w:val="single"/>
                </w:rPr>
                <w:t>108</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87">
              <w:r>
                <w:rPr>
                  <w:rStyle w:val="InternetLink"/>
                  <w:rFonts w:ascii="Times New Roman;serif" w:hAnsi="Times New Roman;serif"/>
                  <w:b/>
                  <w:color w:val="0000FF"/>
                  <w:sz w:val="19"/>
                  <w:u w:val="single"/>
                </w:rPr>
                <w:t>PART III</w:t>
              </w:r>
            </w:hyperlink>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10.</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90">
              <w:r>
                <w:rPr>
                  <w:rStyle w:val="InternetLink"/>
                  <w:rFonts w:ascii="Times New Roman;serif" w:hAnsi="Times New Roman;serif"/>
                  <w:b w:val="false"/>
                  <w:strike w:val="false"/>
                  <w:dstrike w:val="false"/>
                  <w:color w:val="000000"/>
                  <w:sz w:val="19"/>
                  <w:u w:val="none"/>
                  <w:effect w:val="none"/>
                </w:rPr>
                <w:t>Directors, Executive Officers and Corporate Governance</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90">
              <w:r>
                <w:rPr>
                  <w:rStyle w:val="InternetLink"/>
                  <w:rFonts w:ascii="Times New Roman;serif" w:hAnsi="Times New Roman;serif"/>
                  <w:b w:val="false"/>
                  <w:color w:val="0000FF"/>
                  <w:sz w:val="19"/>
                  <w:u w:val="single"/>
                </w:rPr>
                <w:t>109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11.</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93">
              <w:r>
                <w:rPr>
                  <w:rStyle w:val="InternetLink"/>
                  <w:rFonts w:ascii="Times New Roman;serif" w:hAnsi="Times New Roman;serif"/>
                  <w:b w:val="false"/>
                  <w:strike w:val="false"/>
                  <w:dstrike w:val="false"/>
                  <w:color w:val="000000"/>
                  <w:sz w:val="19"/>
                  <w:u w:val="none"/>
                  <w:effect w:val="none"/>
                </w:rPr>
                <w:t>Executive Compensation</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93">
              <w:r>
                <w:rPr>
                  <w:rStyle w:val="InternetLink"/>
                  <w:rFonts w:ascii="Times New Roman;serif" w:hAnsi="Times New Roman;serif"/>
                  <w:b w:val="false"/>
                  <w:color w:val="0000FF"/>
                  <w:sz w:val="19"/>
                  <w:u w:val="single"/>
                </w:rPr>
                <w:t>109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12.</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96">
              <w:r>
                <w:rPr>
                  <w:rStyle w:val="InternetLink"/>
                  <w:rFonts w:ascii="Times New Roman;serif" w:hAnsi="Times New Roman;serif"/>
                  <w:b w:val="false"/>
                  <w:strike w:val="false"/>
                  <w:dstrike w:val="false"/>
                  <w:color w:val="000000"/>
                  <w:sz w:val="19"/>
                  <w:u w:val="none"/>
                  <w:effect w:val="none"/>
                </w:rPr>
                <w:t>Security Ownership of Certain Beneficial Owners and Management and Related Stockholder Matters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96">
              <w:r>
                <w:rPr>
                  <w:rStyle w:val="InternetLink"/>
                  <w:rFonts w:ascii="Times New Roman;serif" w:hAnsi="Times New Roman;serif"/>
                  <w:b w:val="false"/>
                  <w:color w:val="0000FF"/>
                  <w:sz w:val="19"/>
                  <w:u w:val="single"/>
                </w:rPr>
                <w:t>109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13.</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99">
              <w:r>
                <w:rPr>
                  <w:rStyle w:val="InternetLink"/>
                  <w:rFonts w:ascii="Times New Roman;serif" w:hAnsi="Times New Roman;serif"/>
                  <w:b w:val="false"/>
                  <w:strike w:val="false"/>
                  <w:dstrike w:val="false"/>
                  <w:color w:val="000080"/>
                  <w:sz w:val="19"/>
                  <w:u w:val="single"/>
                  <w:effect w:val="none"/>
                </w:rPr>
                <w:t>Certain Relationships and Related Transactions</w:t>
              </w:r>
            </w:hyperlink>
            <w:hyperlink w:anchor="ia741dac77d4a44c98e59804b33ecc307_199">
              <w:r>
                <w:rPr>
                  <w:rStyle w:val="InternetLink"/>
                  <w:rFonts w:ascii="Times New Roman;serif" w:hAnsi="Times New Roman;serif"/>
                  <w:b w:val="false"/>
                  <w:strike w:val="false"/>
                  <w:dstrike w:val="false"/>
                  <w:color w:val="000080"/>
                  <w:sz w:val="19"/>
                  <w:u w:val="single"/>
                  <w:effect w:val="none"/>
                </w:rPr>
                <w:t xml:space="preserve"> and Director Independence</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99">
              <w:r>
                <w:rPr>
                  <w:rStyle w:val="InternetLink"/>
                  <w:rFonts w:ascii="Times New Roman;serif" w:hAnsi="Times New Roman;serif"/>
                  <w:b w:val="false"/>
                  <w:color w:val="0000FF"/>
                  <w:sz w:val="19"/>
                  <w:u w:val="single"/>
                </w:rPr>
                <w:t>109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14.</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202">
              <w:r>
                <w:rPr>
                  <w:rStyle w:val="InternetLink"/>
                  <w:rFonts w:ascii="Times New Roman;serif" w:hAnsi="Times New Roman;serif"/>
                  <w:b w:val="false"/>
                  <w:strike w:val="false"/>
                  <w:dstrike w:val="false"/>
                  <w:color w:val="000000"/>
                  <w:sz w:val="19"/>
                  <w:u w:val="none"/>
                  <w:effect w:val="none"/>
                </w:rPr>
                <w:t>Principal Accountant Fees and Services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202">
              <w:r>
                <w:rPr>
                  <w:rStyle w:val="InternetLink"/>
                  <w:rFonts w:ascii="Times New Roman;serif" w:hAnsi="Times New Roman;serif"/>
                  <w:b w:val="false"/>
                  <w:color w:val="0000FF"/>
                  <w:sz w:val="19"/>
                  <w:u w:val="single"/>
                </w:rPr>
                <w:t>109</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205">
              <w:r>
                <w:rPr>
                  <w:rStyle w:val="InternetLink"/>
                  <w:rFonts w:ascii="Times New Roman;serif" w:hAnsi="Times New Roman;serif"/>
                  <w:b/>
                  <w:color w:val="0000FF"/>
                  <w:sz w:val="19"/>
                  <w:u w:val="single"/>
                </w:rPr>
                <w:t>PART IV</w:t>
              </w:r>
            </w:hyperlink>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15.</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208">
              <w:r>
                <w:rPr>
                  <w:rStyle w:val="InternetLink"/>
                  <w:rFonts w:ascii="Times New Roman;serif" w:hAnsi="Times New Roman;serif"/>
                  <w:b w:val="false"/>
                  <w:strike w:val="false"/>
                  <w:dstrike w:val="false"/>
                  <w:color w:val="000000"/>
                  <w:sz w:val="19"/>
                  <w:u w:val="none"/>
                  <w:effect w:val="none"/>
                </w:rPr>
                <w:t>Exhibits and Financial Statement Schedules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208">
              <w:r>
                <w:rPr>
                  <w:rStyle w:val="InternetLink"/>
                  <w:rFonts w:ascii="Times New Roman;serif" w:hAnsi="Times New Roman;serif"/>
                  <w:b w:val="false"/>
                  <w:color w:val="0000FF"/>
                  <w:sz w:val="19"/>
                  <w:u w:val="single"/>
                </w:rPr>
                <w:t>110</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16.</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Form 10-K Summary</w:t>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211">
              <w:r>
                <w:rPr>
                  <w:rStyle w:val="InternetLink"/>
                  <w:rFonts w:ascii="Times New Roman;serif" w:hAnsi="Times New Roman;serif"/>
                  <w:b w:val="false"/>
                  <w:color w:val="0000FF"/>
                  <w:sz w:val="19"/>
                  <w:u w:val="single"/>
                </w:rPr>
                <w:t>114</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214">
              <w:r>
                <w:rPr>
                  <w:rStyle w:val="InternetLink"/>
                  <w:rFonts w:ascii="Times New Roman;serif" w:hAnsi="Times New Roman;serif"/>
                  <w:b w:val="false"/>
                  <w:strike w:val="false"/>
                  <w:dstrike w:val="false"/>
                  <w:color w:val="000000"/>
                  <w:sz w:val="19"/>
                  <w:u w:val="none"/>
                  <w:effect w:val="none"/>
                </w:rPr>
                <w:t>Signatures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214">
              <w:r>
                <w:rPr>
                  <w:rStyle w:val="InternetLink"/>
                  <w:rFonts w:ascii="Times New Roman;serif" w:hAnsi="Times New Roman;serif"/>
                  <w:b w:val="false"/>
                  <w:color w:val="0000FF"/>
                  <w:sz w:val="19"/>
                  <w:u w:val="single"/>
                </w:rPr>
                <w:t>115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the context requires otherwise, all references in this Form 10-K to Republic, Republic Services, the Company, we, us and our refer to Republic Services, Inc. and its consolidated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1.BUSINESS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Republic Services is one of the largest providers of environmental services in North America, as measured by revenue. We operate across the United States and Canada through 377 collection operations, 255 transfer stations, 79 recycling centers, 207 active landfills, 2 treatment, recovery and disposal facilities, 24 treatment, storage and disposal facilities (TSDF), 5 salt water disposal wells, 15 deep injection wells, 9 industrial wastewater treatment facilities, and 2 polymer centers. We are engaged in 84 landfill gas-to-energy and other renewable energy projects and had post-closure responsibility for 124 closed landfills.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the total addressable United States and Canada environmental services market in which we operate generates approximately $163 billion of annual revenue, which includes the $110 billion recycling and waste industry, $37 billion of the broader environmental solutions industry, and $16 billion in sustainability innovation (described below) and emerging waste and recycling technologies. Within our recycling and waste business, we prioritize investments in market verticals with above-average growth rates and higher return profiles. The environmental solutions market remains fragmented, which provides consolidation opportunities to drive scale. In our sustainability innovation businesses, we believe customer demand for products and services that respond to evolving environmental trends, including circularity and decarbonization, should support above average growth rates and attractive returns. We believe we can further expand our addressable market into other segments of the environmental services industry over time by leveraging our differentiated capabilities, including (1) customer zeal, (2) digital and (3) sustainability.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operate throughout the United States and Canada, but the physical collection and recycling or disposal of material is largely a local business, and the dynamics and opportunities differ in each market we serve. By combining local operating management with standardized business practices, we drive greater overall operating efficiency across the Company while maintaining day-to-day operating decisions at the local level, closest to the customer.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purpose-driven vision is to partner with customers to create a more sustainable world. We believe that our products and services are valuable to our customers and essential for long-term sustainability.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further believe our focus on and commitment to sustainability allows us to attract and retain the best talent, win more customers, increase customer loyalty and, ultimately, drive higher revenue and profits.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Foundational Elements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strategy is designed to generate profitable growth by sustainably managing our customers’ needs, and it is underpinned by three foundational elements – (1) our market position, (2) our operating model and (3) our people and talent focus.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Market Position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goal is to develop the best vertically integrated market position to enable us to build density and improve returns. We strive to have a leading market position in each of the markets we serve, or have a clear path toward how we will achieve a leading market position over time. In situations where we cannot establish a leading market position, or where operations are not generating acceptable returns, we may decide to divest certain assets and reallocate resources to other markets.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 robust market planning process to identify opportunities to grow internally through capital investments and infrastructure development and externally through acquisitions and public-private partnerships. Additionally, our market planning process allows us to analyze market conditions and proactively adjust to trends as they emerge, including the effects of legislation, demographic shifts and changes in the market and the competitive landscape. </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Internal Growth</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Several key drivers of internal growth are discussed below: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Volume Growth</w:t>
      </w:r>
      <w:r>
        <w:rPr>
          <w:color w:val="000000"/>
        </w:rPr>
        <w:t xml:space="preserve"> </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Volume growth through increases in our customer base and service offerings is the most capital efficient method to grow our business. We believe volumes are driven by population growth, household formation and new business formation. We seek to obtain long-term contracts for collecting recyclables, solid waste and industrial waste under residential collection contracts with municipalities, exclusive franchise agreements, small-container and large-container contracts and environmental solutions service contracts. We also look to enter into long-term recycling and disposal contracts with municipalities and other third parties. By obtaining such long-term agreements, we can grow our contracted revenue base at a rate consistent with the underlying economic growth in these markets.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addition, by securing long-term agreements, we are better able to help ensure we earn an appropriate return on the capital deployed.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Price Increases</w:t>
      </w:r>
      <w:r>
        <w:rPr>
          <w:color w:val="000000"/>
        </w:rPr>
        <w:t xml:space="preserve"> </w:t>
      </w:r>
      <w:r>
        <w:rPr>
          <w:rFonts w:ascii="Times New Roman;serif" w:hAnsi="Times New Roman;serif"/>
          <w:b w:val="false"/>
          <w:i/>
          <w:color w:val="000000"/>
          <w:sz w:val="20"/>
        </w:rPr>
        <w:t>- </w:t>
      </w:r>
      <w:r>
        <w:rPr>
          <w:rFonts w:ascii="Times New Roman;serif" w:hAnsi="Times New Roman;serif"/>
          <w:b w:val="false"/>
          <w:color w:val="000000"/>
          <w:sz w:val="20"/>
        </w:rPr>
        <w:t xml:space="preserve">We seek to secure price increases necessary to offset increased costs, improve our operating margins and earn an appropriate return on our substantial investments in vehicles, equipment, transfer stations, recycling centers, TSDFs, deep well injection facilities, landfills, and other post-collection infrastructure.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Expansion of Recycling Capabilities</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Based on the most recent United States Environmental Protection Agency (EPA) data, approximately 32% of municipal solid waste is recycled and/or composted. We expect that percentage to increase over the long-term as communities enhance and expand their recycling programs for their residents. As a key player in the circular economy, we are strategically focused on expanding recycling volume through innovative material handling processes and programs to help our customers achieve their goals related to sustainability and environmentally sound practices while also generating an appropriate return. In 2024, we commenced operations at our first Polymer Center in Las Vegas, Nevada. In 2025, we commenced operations at our second Polymer Center in Indianapolis, Indiana and construction began at our third Polymer Center in Allentown, Pennsylvania. Our Polymer Centers are part of a vertical integration that will advance circularity for plastics and help us manage the plastics stream from curbside collection to delivery of recycled content for consumer packaging. We believe our Polymer Centers will enable us to produce food-grade drop-in substitutes for virgin plastics, while allowing us to expand plastics circularity across North America. In 2023, we announced the development of Blue Polymers, a joint-venture with Ravago JV Holdings, LLC, creating vertical integration that will further advance circularity by acquiring all olefins produced by the Polymer Centers to further process and manufacture custom blended pellets for food-grade and non-food-grade packaging. In 2025, operations commenced at the first Blue Polymers facility in Indianapolis, Indiana, and a second Blue Polymers facility is currently being constructed in Buckeye, Arizona. We will continue to look for opportunities to expand or enhance our recycling capabilities in markets where customers are demanding these services, demonstrating a willingness to pay and where we can earn an appropriate return on our investment.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Infrastructure Development - We seek to identify opportunities to further our position as a vertically integrated service provider in markets where we are not fully integrated. Our goal is to create market-specific, vertically integrated operations typically consisting of one or more collection operations, transfer stations, recycling centers, TSDFs, deep well injection facilities, and landfills. Where appropriate, we seek to obtain permits to build recycling centers, transfer stations, TSDFs, deep well injection facilities, and landfills that would vertically integrate our waste services or expand the service areas for our existing disposal sites. Additionally, we seek opportunities to expand and permit new airspace at our existing landfills in order to replace airspace consumed. Development projects, while generally less capital intensive than acquisitions, typically require extensive permitting efforts that can take years to complete with no assurance of success. We undertake development projects when we believe there is a reasonable probability of success and reasonably priced acquisition opportunities are not available. Through landfill and fleet innovation, recycling and circularity of key materials and renewable energy production, we are committed to continuous development of environmentally responsible operations that increase our efficiency as well as our ability to partner with customers to create a more sustainable world.</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External Growth - Acquisitions and Public-Private Partnerships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acquisition growth strategy focuses primarily on acquiring privately held environmental services businesses that complement our existing business platform. We believe our ability to successfully complete these acquisitions is enhanced by the challenges facing many privately-held companies, including increasing competition in the environmental services industry, increasing capital requirements due to changes in regulatory requirements and technology and the limited number of exit strategies for privately-held companies. We also evaluate stand-alone opportunities to acquire businesses and/or facilities that are being divested by other publicly-owned companies.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invest in value-enhancing acquisitions in existing markets. Given our free cash flow, availability under our credit facilities and our ability to access the public capital markets, we have the financial flexibility to make additional acquisitions that will complement our existing business platform, including larger acquisitions if the right opportunities present themselves.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also focus on growth through public-private partnerships, which include the recycling and waste operations and facilities of municipal and other local governments. We believe over time we have an opportunity to acquire operations and facilities from municipalities and other local governments as they seek to raise capital and/or reduce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realize synergies from consolidating businesses into our existing operations, whether through acquisitions or public-private partnerships, which allows us to reduce capital expenditures and expenses associated with truck routing, personnel, fleet maintenance, inventories and back-office administration.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Operating Model</w:t>
      </w:r>
    </w:p>
    <w:p>
      <w:pPr>
        <w:pStyle w:val="TextBody"/>
        <w:bidi w:val="0"/>
        <w:spacing w:lineRule="auto" w:line="288" w:before="100" w:after="283"/>
        <w:jc w:val="left"/>
        <w:rPr/>
      </w:pPr>
      <w:r>
        <w:rPr>
          <w:rFonts w:ascii="Times New Roman;serif" w:hAnsi="Times New Roman;serif"/>
          <w:b w:val="false"/>
          <w:color w:val="000000"/>
          <w:sz w:val="20"/>
        </w:rPr>
        <w:t xml:space="preserve">Our operating model enables us to deliver consistent, high-quality service to all our customers through the Republic Way: </w:t>
      </w:r>
      <w:r>
        <w:rPr>
          <w:rFonts w:ascii="Times New Roman;serif" w:hAnsi="Times New Roman;serif"/>
          <w:b w:val="false"/>
          <w:i/>
          <w:color w:val="000000"/>
          <w:sz w:val="20"/>
        </w:rPr>
        <w:t>One Way. Everywhere. Every Day</w:t>
      </w:r>
      <w:r>
        <w:rPr>
          <w:rFonts w:ascii="Times New Roman;serif" w:hAnsi="Times New Roman;serif"/>
          <w:b w:val="false"/>
          <w:color w:val="000000"/>
          <w:sz w:val="20"/>
        </w:rPr>
        <w:t>. This approach of developing standardized processes with rigorous controls and tracking allows us to leverage our scale and deliver durable operational excellence. The Republic Way is the key to harnessing the best of what we do as operators and translating that across all facets of our business. Key elements of our operating model are our organizational structure, safety, fleet automation, fleet electrification and standardized maintenance.</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Organizational Structure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key enabler of the Republic Way operating model is our organizational structure that fosters a high performance culture by maintaining 360-degree accountability and full profit and loss responsibility with local management, supported by a functional structure to provide subject matter expertise. This structure allows us to take advantage of our scale by coordinating functionally across all of our markets, while empowering local management to respond to unique market dynamics.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Through this operating model, we have rolled out several productivity and cost control initiatives designed to deliver the best service possible to our customers in an efficient and environmentally sound way.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senior management evaluates, oversees and manages the financial performance of our operations through three field groups, referred to as Group 1, Group 2 and Group 3. Group 1 is our recycling and waste business operating primarily in geographic areas located in the western United States. Group 2 is our recycling and waste business operating primarily in geographic areas located in the southeastern and mid-western United States, the eastern seaboard of the United States and Canada. Group 3 is our environmental solutions business operating in geographic areas located across the United States and Canada. These groups each provide integrated environmental services, including but not limited to collection, transfer, recycling and disposal.</w:t>
      </w:r>
    </w:p>
    <w:p>
      <w:pPr>
        <w:pStyle w:val="TextBody"/>
        <w:bidi w:val="0"/>
        <w:spacing w:lineRule="auto" w:line="288" w:before="100" w:after="283"/>
        <w:jc w:val="left"/>
        <w:rPr/>
      </w:pPr>
      <w:r>
        <w:rPr>
          <w:rFonts w:ascii="Times New Roman;serif" w:hAnsi="Times New Roman;serif"/>
          <w:b w:val="false"/>
          <w:i/>
          <w:color w:val="000000"/>
          <w:sz w:val="20"/>
        </w:rPr>
        <w:t>Safety</w:t>
      </w:r>
      <w:r>
        <w:rPr>
          <w:color w:val="000000"/>
        </w:rPr>
        <w:t xml:space="preserve"> </w:t>
      </w:r>
    </w:p>
    <w:p>
      <w:pPr>
        <w:pStyle w:val="TextBody"/>
        <w:bidi w:val="0"/>
        <w:spacing w:lineRule="auto" w:line="288" w:before="100" w:after="283"/>
        <w:jc w:val="left"/>
        <w:rPr/>
      </w:pPr>
      <w:r>
        <w:rPr>
          <w:rFonts w:ascii="Times New Roman;serif" w:hAnsi="Times New Roman;serif"/>
          <w:b w:val="false"/>
          <w:color w:val="000000"/>
          <w:sz w:val="20"/>
        </w:rPr>
        <w:t xml:space="preserve">Republic is committed to the safety of our employees, customers and the communities we serve. We have a dedicated team of safety professionals at our corporate headquarters and within our field operations, led by our Vice President of Environmental Health and Safety who reports directly to our Chief Operating Officer. Due to the nature of our industry, safety is a top priority, and we recognize and reward employees for outstanding safety records. Over the past 10 years, our safety performance (based on OSHA recordable rates) has been 23% better than the industry average. Our </w:t>
      </w:r>
      <w:r>
        <w:rPr>
          <w:rFonts w:ascii="Times New Roman;serif" w:hAnsi="Times New Roman;serif"/>
          <w:b w:val="false"/>
          <w:i/>
          <w:color w:val="000000"/>
          <w:sz w:val="20"/>
        </w:rPr>
        <w:t>Think, Choose, Live</w:t>
      </w:r>
      <w:r>
        <w:rPr>
          <w:color w:val="000000"/>
        </w:rPr>
        <w:t xml:space="preserve"> </w:t>
      </w:r>
      <w:r>
        <w:rPr>
          <w:rFonts w:ascii="Times New Roman;serif" w:hAnsi="Times New Roman;serif"/>
          <w:b w:val="false"/>
          <w:color w:val="000000"/>
          <w:sz w:val="20"/>
        </w:rPr>
        <w:t xml:space="preserve">motto encapsulates our everyday safety messaging to our employees to: </w:t>
      </w:r>
      <w:r>
        <w:rPr>
          <w:rFonts w:ascii="Times New Roman;serif" w:hAnsi="Times New Roman;serif"/>
          <w:b w:val="false"/>
          <w:i/>
          <w:color w:val="000000"/>
          <w:sz w:val="20"/>
        </w:rPr>
        <w:t>Think</w:t>
      </w:r>
      <w:r>
        <w:rPr>
          <w:color w:val="000000"/>
        </w:rPr>
        <w:t xml:space="preserve"> </w:t>
      </w:r>
      <w:r>
        <w:rPr>
          <w:rFonts w:ascii="Times New Roman;serif" w:hAnsi="Times New Roman;serif"/>
          <w:b w:val="false"/>
          <w:color w:val="000000"/>
          <w:sz w:val="20"/>
        </w:rPr>
        <w:t xml:space="preserve">about what you are doing, </w:t>
      </w:r>
      <w:r>
        <w:rPr>
          <w:rFonts w:ascii="Times New Roman;serif" w:hAnsi="Times New Roman;serif"/>
          <w:b w:val="false"/>
          <w:i/>
          <w:color w:val="000000"/>
          <w:sz w:val="20"/>
        </w:rPr>
        <w:t>Choose</w:t>
      </w:r>
      <w:r>
        <w:rPr>
          <w:color w:val="000000"/>
        </w:rPr>
        <w:t xml:space="preserve"> </w:t>
      </w:r>
      <w:r>
        <w:rPr>
          <w:rFonts w:ascii="Times New Roman;serif" w:hAnsi="Times New Roman;serif"/>
          <w:b w:val="false"/>
          <w:color w:val="000000"/>
          <w:sz w:val="20"/>
        </w:rPr>
        <w:t xml:space="preserve">the safe answer and </w:t>
      </w:r>
      <w:r>
        <w:rPr>
          <w:rFonts w:ascii="Times New Roman;serif" w:hAnsi="Times New Roman;serif"/>
          <w:b w:val="false"/>
          <w:i/>
          <w:color w:val="000000"/>
          <w:sz w:val="20"/>
        </w:rPr>
        <w:t>Live</w:t>
      </w:r>
      <w:r>
        <w:rPr>
          <w:color w:val="000000"/>
        </w:rPr>
        <w:t xml:space="preserve"> </w:t>
      </w:r>
      <w:r>
        <w:rPr>
          <w:rFonts w:ascii="Times New Roman;serif" w:hAnsi="Times New Roman;serif"/>
          <w:b w:val="false"/>
          <w:color w:val="000000"/>
          <w:sz w:val="20"/>
        </w:rPr>
        <w:t>to go home to your family. With the phrase printed on numerous items, including hard hats and the equipment our employees use, there are constant reminders for employees to go home in the same condition in which they came to work. Our goal is to ensure every one of our employees returns home safely each night.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Through our Safety Amplified program, we are providing more tools and driving greater awareness to help our teams better execute our safety standards. Regular training, multifaceted programs and strategic partnerships are key components to this program. It is simple by design and comprised of actions and activities that ensure safety is embedded in all we do. The program includes six initiatives to help us achieve our goal to have zero employee fatalities and reduce our OSHA Total Recordable Incident Rate.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Focus Together: This effort is the core of our safety program and is designed to help frontline employees eliminate the six most common types of serious incidents.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Lead Together: We provide best-in-class communication channels and advanced training techniques for all frontline supervisors and managers to help them guide their teams.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Partner Together: Staying safe requires involvement by employees at all levels. We’ve increased leadership visits with frontline employees and supervisors to support each divisions’ safety goals.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Celebrate Together: We take pride in recognizing employees who demonstrate a relentless commitment to safety. Employees with the best driving records are eligible for the industry’s most prestigious award, the National Waste &amp; Recycling Association’s Driver of the Year. Republic drivers have won 66% of the Driver of the Year awards issued for the large truck category since 2009. In addition, our best drivers are recognized and rewarded with competing in our National Road-EO competition.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Analyze Together: We analyze real-time data to make short- and long-term decisions and identify opportunities for improvement. Examples include analysis of roadway awareness training, data mapping and other employee protection and preparedness insights.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Innovate Together: We employ the latest technologies in our fleet, including driver-supported automation, rear cameras, in-cab backup alarms and event recording systems, and we take a data-driven approach to support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employees. We also work with equipment manufacturers to incorporate safety elements such as seat belt alarms, blind spot awareness, lane departure alarms and other potentially lifesaving equipment in our fleet.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our Safety Amplified program provides additional benefits for our Company and stakeholders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further strengthening relationships within the communities we serve;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enhancing customer trust;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streamlining operational processes and increasing productivity;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delivering a reputational advantage, including positioning our Company as an employer-of-choice;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maintaining and sustaining a safety culture in all areas of our business;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contributing to employee engagement.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more information regarding our safety performance, refer to our Sustainability Accounting Standards Board (SASB) report, which can be found at republicservices.com/sustainability. The information contained on our website shall not be deemed incorporated by reference in this Annual Report on Form 10-K or in any other filing we make under the Securities Exchange Act of 1934, as amended (Exchange Act).</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Fleet Automation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Approximately 79% of our residential routes have been converted to automated single-driver trucks. By converting our residential routes to automated service, we reduce labor costs, improve driver productivity, decrease emissions and create a safer work environment for our employees. Additionally, communities using automated vehicles generally have higher participation rates in recycling programs, thereby complementing our initiative to expand our recycling capabilities.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Fleet Electrification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we are taking a leadership position in electric technology innovation for our recycling and waste collection fleet. This is a critical step toward reducing our environmental impact through lower fleet emissions. We believe it will also improve our total cost of ownership through reduced operating costs and maintenance, while providing a competitive advantage in certain communities. We are partnering with multiple manufacturers to pilot electric-powered recycling and waste trucks. As electric-vehicle technology continues to develop, we expect to further deploy electrification within our fleet. As of December 31, 2025, we operated more than 180 electric-collection vehicles and had 32 commercial-scale electric charging facilities.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Standardized Maintenance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Based on an industry trade publication, we operate the third largest vocational truck fleet in the United States. As of December 31, 2025, our average fleet age for recycling and waste collection vehicles in years, by service line of business, was as follows:</w:t>
      </w:r>
    </w:p>
    <w:tbl>
      <w:tblPr>
        <w:tblW w:w="7193" w:type="dxa"/>
        <w:jc w:val="left"/>
        <w:tblInd w:w="0" w:type="dxa"/>
        <w:tblLayout w:type="fixed"/>
        <w:tblCellMar>
          <w:top w:w="28" w:type="dxa"/>
          <w:left w:w="28" w:type="dxa"/>
          <w:bottom w:w="28" w:type="dxa"/>
          <w:right w:w="28" w:type="dxa"/>
        </w:tblCellMar>
      </w:tblPr>
      <w:tblGrid>
        <w:gridCol w:w="511"/>
        <w:gridCol w:w="448"/>
        <w:gridCol w:w="452"/>
        <w:gridCol w:w="109"/>
        <w:gridCol w:w="109"/>
        <w:gridCol w:w="109"/>
        <w:gridCol w:w="939"/>
        <w:gridCol w:w="939"/>
        <w:gridCol w:w="941"/>
        <w:gridCol w:w="109"/>
        <w:gridCol w:w="109"/>
        <w:gridCol w:w="109"/>
        <w:gridCol w:w="676"/>
        <w:gridCol w:w="676"/>
        <w:gridCol w:w="957"/>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Approximate Number of Vehicles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Approximate Average Age</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7,300 </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Small-container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Large-container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17,800 </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OneFleet, our standardized vehicle maintenance program, enables us to use best practices for fleet management, truck care and maintenance. Through standardization of core functions, we believe we can minimize variability in our maintenance processes, resulting in higher vehicle quality and a lower environmental footprint while extending the average service life of our fleet. Additionally, our focus on preventative maintenance is improving the reliability of our fleet and enabling us to provide superior service to our customers, differentiating us from our competition.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People and Talent Focus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Being human-centered is at the core of our robust people and talent agenda. We strive to maintain an environment that attracts and retains the best talent. Our approximately 42,000 full-time employees are a critical component in successfully executing our strategy and running our operations. We work hard to remain a company where the best people, with exceptional talents and diverse backgrounds, can thrive and foster a culture of caring where people feel respected, supported and encouraged to bring their best selves to work every day.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dedicated to driving our people and talent agenda, which includes (1) sustaining a safe, inclusive and diverse culture, (2) maintaining a highly engaged workforce, (3) developing our talent through learning and development experiences and (4) offering rewards that attract and retain the best workforce. We review key progress metrics such as engagement and turnover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and regularly report on these metrics to our Board of Directors. This level of reporting holds all of our leaders accountable for the continued growth and development of our people.</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Inclusion and Diversity</w:t>
      </w:r>
    </w:p>
    <w:p>
      <w:pPr>
        <w:pStyle w:val="TextBody"/>
        <w:bidi w:val="0"/>
        <w:spacing w:lineRule="auto" w:line="288" w:before="100" w:after="283"/>
        <w:jc w:val="left"/>
        <w:rPr/>
      </w:pPr>
      <w:r>
        <w:rPr>
          <w:rFonts w:ascii="Times New Roman;serif" w:hAnsi="Times New Roman;serif"/>
          <w:b w:val="false"/>
          <w:color w:val="000000"/>
          <w:sz w:val="20"/>
        </w:rPr>
        <w:t>We believe the composite strength of our employees’ ideas, built on their unique experiences and backgrounds, is essential to our ability to meet and anticipate our customers’ needs.</w:t>
      </w:r>
      <w:r>
        <w:rPr>
          <w:color w:val="000000"/>
        </w:rPr>
        <w:t xml:space="preserve"> </w:t>
      </w:r>
      <w:r>
        <w:rPr>
          <w:rFonts w:ascii="Times New Roman;serif" w:hAnsi="Times New Roman;serif"/>
          <w:b w:val="false"/>
          <w:color w:val="000000"/>
          <w:sz w:val="20"/>
        </w:rPr>
        <w:t>We are proud of the diversity of our frontline workforce, as it closely represents the demographics of the communities we serve. Our commitment to inclusion and diversity starts at the top of our organization, as outlined in our Mission of Supporting an Inclusive Culture (MOSAIC), established in 2013 and supported by the MOSAIC Council. The MOSAIC Council consists of leaders from across the Company who serve as ambassadors and thought partners for inclusion and diversity. This enables us to continue to develop new strategies and activities that are tied to the needs of our employees, customers and business with the goal of creating an even more inclusive work environment and diverse workforce.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support inclusion and connectivity through our Business Resource Groups (BRG) and focus on the involvement of our field locations in all of our BRGs, including Women of Republic, VALOR (Veterans, Advocacy, Learning, Outreach and Recruiting), UNIDOS, the Black Employee Network, AAPI (Asian American and Pacific Islander) and PRISM in support of the LGBTQ+ community. </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Employee Engagement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an engaged workforce is a key element of our success as engaged employees deliver better customer service and are more productive. We measure employee engagement through a third-party survey, assessing employee sentiment on a variety of topics such as pride for the Company, job satisfaction and intention to stay. Our data reinforces that business units with a highly engaged workforce experience less turnover. We also found that employees whose leaders are highly inclusive are more likely to speak up and share their perspective. Regularly hearing from our employees enables us to understand how to support and strengthen an exceptional employee experience. Our goal is to achieve and maintain employee engagement scores at or above 88 by 2030. Our average employee engagement score was 87 in 2025, which is above a national benchmark by eight points. Approximately 99% of our employees participated in the engagement survey process in March 2025 and 97% in September 2025, which are 24% and 22% higher than the national benchmark, respectively. Employee engagement is a core part of our business strategy, which is why we compensate our General Managers, in part, on their employee engagement scores. This reinforces our commitment for leaders to listen and take action on employee feedback and helps to ensure that our leaders are held accountable and rewarded for their efforts to drive a more engaged workforce.</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Talent Development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committed to providing our employees with opportunities to develop throughout their careers. Our programs, including new hire onboarding and new leader assimilation, reinforce our Company values, expectations and business approach. We relaunched our successful Leadership Fundamentals program in 2022, targeting field leaders. With a goal of reaching all leaders through this program, more than 1,200 leaders completed this training in 2025, with approximately 650 additional leaders slated to participate in 2026. Targeted development experiences support the growth of people in key roles, including Driver Training, Technician Training, Supervisor Training, Sales Acceleration and General Manager Onboarding, among others. We believe these programs provide the fundamental skills necessary to be successful across roles. Additionally, to meet the specific needs of the business, we opened a comprehensive Technical Training Institute in April 2021 where we train and develop our technicians. We have had 398 participants in the course since its inception.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leadership programs are a critical part of growing our people. We remain focused on attracting, hiring and developing early career leaders. Our rotational training and development programs, including our General Manager Acceleration Program (GMAP) and Operations Manager Acceleration Program, help us attract, develop and advance a diverse and talented pool of individuals from across our organization. Our Executive Leadership team sponsors these programs, providing visibility and support for the career advancement of our high-potential talent across the organization. Since the beginning of these programs in 2017, 135 leaders have graduated into leadership positions. Additionally, our MBA intern program, with 60 participants since 2019, introduces strong talent to the organization and is a path of opportunity into the GMAP program. We have found that these programs and experiences help ensure that the next generation of leaders build the necessary skills and experiences to be successful in their roles today and in the future.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continue to leverage innovative training methods using mixed mediums to deliver trainings and instruction to our employees across the country. We remain committed to expanding employee participation in learning programs that are relevant to our business strategy and contribute to career advancement for our employees.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Compensation and Benefits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offer compensation and benefits that help improve our employees' overall financial, physical and emotional wellbeing, as well as recognize hard work with opportunities to grow. Our commitment to paying market competitive wages enables 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attract and hire talent all across the country. Our approach to paying for performance supports our focus on pay equity. Our compensation packages are designed to provide employees with a stable and livable wage and growth potential. Our focus on wellness also provides our employees with a competitive paid time off plan, access to preventative care, advice on financial planning and support for mental health, contributing to our efforts to provide a total rewards package that improves and enhances the lives of our employees.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Differentiating Capabilities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 effectively execute our strategic plan, we prioritize the development and investment in capabilities that will differentiate us in the marketplace. These capabilities include – (1) customer zeal, (2) digital and (3) sustainability.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Customer Zeal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goal of customer zeal is to drive customer loyalty by offering differentiated products and services specifically designed to meet our customers’ needs. We offer a broad set of environmental services across the United States and Canada and can thus serve as many of our customers' sole provider, which we believe sets us apart in the industry. Customers appreciate our track record of safe and environmentally compliant operations, with the expertise to manage complex waste streams. We believe our value proposition increases customer loyalty and willingness to pay for our differentiated offerings. Customer zeal is a cultural commitment to enable and empower our employees to own their role in the customer experience.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 help our sales team identify specific customer needs and configure the right offering, we use a Priority Based Selling (PBS) technique and our Capture pricing tool nationwide.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PBS enables us to identify and segment customers’ buying priorities and attract customers that are willing to pay for enhanced offerings.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Capture is a cloud-based pricing tool that creates a more professional sales experience, helps realize better pricing levels at the point of sale and provides enhanced controls over the price quoting process.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continue to expand our offering of products and services to meet customer demand for a single provider for their environmental services needs. We have made progress on this front, including through our continued expansion of our environmental solutions segment. Our acquisitions of leading environmental solutions providers enable us to offer a complete set of products and services, including treatment, recycling and disposal of hazardous, non-hazardous and specialty waste. For services that we do not provide, we fulfill demand through our alliance partnerships while maintaining the customer-facing relationship.</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 help ensure a consistent customer experience, we have invested in our customer service capabilities and our centralized Customer Experience function. This modern technology provides our customer service employees with the tools and capabilities they need to provide better levels of service through a variety of communication channels. The standardized approach enhances the customer experience and provides us a platform to reduce the cost to service our customers.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 help ensure our efforts are making an impact and building customer loyalty, we solicit feedback from our customers, including Net Promoter Score℠, so that every General Manager receives timely, relevant feedback that allows him or her the ability to reach out to customers directly and address issues immediately.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Digital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prioritizing our digital capabilities, we seek to provide a consistent experience across our business. We believe investments in our digital platforms support improved processes for our employees that lead to enhanced employee engagement and enable our customers to do business with us through more channels and with better access to information, ultimately driving increased customer loyalty.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By increasing the ease of use and functionality of our web-based market presence, we believe we enhance customer satisfaction, interaction and connectivity while lowering our costs. These tools reinforce to our customers that they can rely on us to handle their recycling and waste services needs in a way that is easy and convenient for them.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website and mobile app are online account management tools, allowing customers access to their accounts and our services.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e-commerce sales channel allows customers to secure services on a real-time basis, provides capabilities to meet our customers' evolving buying preferences and provides a lower cost sales channel.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leveraging technology to digitally connect our customers, drivers, logistics analysts, supervisors and trucks via our "RISE" dispatch platform and in-cab technology. With the roll-out of this technology we have improved productivity through more real-time routing information and data visualization tools, increasing customer connectivity and enabling automated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service verification communications and enhancing the employee experience by providing better tools and technology designed around employee interaction.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installed advanced technology on recycling and waste collection vehicles that utilizes cameras to identify recycling contamination and overfilled containers. We expect this technology will reduce recycling contamination over time and drive incremental revenue.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2025, we advanced the deployment of our “MPower” enterprise asset management system to digitally connect our maintenance team to our collection fleet of vehicles. This technology is designed to streamline our fleet maintenance record keeping and parts management processes and allow improved technician efficiency and enhanced warranty recovery across our fleet.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Sustainability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goal of our differentiating sustainability capabilities is to provide our customers with fully integrated sustainable solutions that support a cleaner, safer and healthier world. We have long been a leader in environmental services and sustainability. We introduced our Elements of Sustainability, the foundation of our sustainability platform, in 2014. Our elements, Safety, Talent, Climate Leadership and Communities, are deeply integrated into our business and anchor our ambitious 2030 sustainability goals.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Board of Directors’ Sustainability &amp; Corporate Responsibility Committee has oversight responsibility with respect to our sustainability performance, our corporate responsibilities and our role as a socially responsible organization. The Committee meets at least quarterly to be updated on progress and conducts a formal comprehensive review of the Company’s performance in these areas on an annual basis.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Our 2030 Sustainability Goal</w:t>
      </w:r>
    </w:p>
    <w:p>
      <w:pPr>
        <w:pStyle w:val="TextBody"/>
        <w:bidi w:val="0"/>
        <w:spacing w:lineRule="auto" w:line="288" w:before="100" w:after="283"/>
        <w:jc w:val="left"/>
        <w:rPr/>
      </w:pPr>
      <w:r>
        <w:rPr>
          <w:rFonts w:ascii="Times New Roman;serif" w:hAnsi="Times New Roman;serif"/>
          <w:b w:val="false"/>
          <w:color w:val="000000"/>
          <w:sz w:val="20"/>
        </w:rPr>
        <w:t>As we grow, so does our opportunity to make a meaningful, positive impact on the environment and society. Our ambitious 2030 goals are aligned with the UN Sustainable Development Goals</w:t>
      </w:r>
      <w:r>
        <w:rPr>
          <w:rFonts w:ascii="Times New Roman;serif" w:hAnsi="Times New Roman;serif"/>
          <w:b w:val="false"/>
          <w:color w:val="000000"/>
          <w:sz w:val="13"/>
        </w:rPr>
        <w:t xml:space="preserve">(1) </w:t>
      </w:r>
      <w:r>
        <w:rPr>
          <w:rFonts w:ascii="Times New Roman;serif" w:hAnsi="Times New Roman;serif"/>
          <w:b w:val="false"/>
          <w:color w:val="000000"/>
          <w:sz w:val="20"/>
        </w:rPr>
        <w:t>and our greenhouse gas reduction goal is aligned with the Paris Agreement. Each goal is aligned with one of the Company's elements of sustainability. Together they are designed to significantly benefit the environment and society, while enhancing the foundation and profitability of our business for the long-term.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 xml:space="preserve">Safety Amplified: </w:t>
      </w:r>
      <w:r>
        <w:rPr>
          <w:rFonts w:ascii="Times New Roman;serif" w:hAnsi="Times New Roman;serif"/>
          <w:b w:val="false"/>
          <w:color w:val="000000"/>
          <w:sz w:val="20"/>
        </w:rPr>
        <w:t>Achieve zero annual employee fatalities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 xml:space="preserve">Incident Reduction: </w:t>
      </w:r>
      <w:r>
        <w:rPr>
          <w:rFonts w:ascii="Times New Roman;serif" w:hAnsi="Times New Roman;serif"/>
          <w:b w:val="false"/>
          <w:color w:val="000000"/>
          <w:sz w:val="20"/>
        </w:rPr>
        <w:t>Reduce OSHA Total Recordable Incident Rate (TRIR) to 2.0 or less by 2030</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Engaged Workforce:</w:t>
      </w:r>
      <w:r>
        <w:rPr>
          <w:color w:val="000000"/>
        </w:rPr>
        <w:t xml:space="preserve"> </w:t>
      </w:r>
      <w:r>
        <w:rPr>
          <w:rFonts w:ascii="Times New Roman;serif" w:hAnsi="Times New Roman;serif"/>
          <w:b w:val="false"/>
          <w:color w:val="000000"/>
          <w:sz w:val="20"/>
        </w:rPr>
        <w:t>Achieve and maintain employee engagement scores at or above 88 by 2030</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Emissions Reduction:</w:t>
      </w:r>
      <w:r>
        <w:rPr>
          <w:color w:val="000000"/>
        </w:rPr>
        <w:t xml:space="preserve"> </w:t>
      </w:r>
      <w:r>
        <w:rPr>
          <w:rFonts w:ascii="Times New Roman;serif" w:hAnsi="Times New Roman;serif"/>
          <w:b w:val="false"/>
          <w:color w:val="000000"/>
          <w:sz w:val="20"/>
        </w:rPr>
        <w:t>Reduce absolute Scope 1 and 2 greenhouse gas emissions 35% by 2030</w:t>
      </w:r>
      <w:r>
        <w:rPr>
          <w:rFonts w:ascii="Times New Roman;serif" w:hAnsi="Times New Roman;serif"/>
          <w:b w:val="false"/>
          <w:color w:val="000000"/>
          <w:sz w:val="13"/>
        </w:rPr>
        <w:t>(2)</w:t>
      </w:r>
      <w:r>
        <w:rPr>
          <w:rFonts w:ascii="Times New Roman;serif" w:hAnsi="Times New Roman;serif"/>
          <w:b w:val="false"/>
          <w:color w:val="000000"/>
          <w:sz w:val="20"/>
        </w:rPr>
        <w:t>, which was approved by SBTi</w:t>
      </w:r>
      <w:r>
        <w:rPr>
          <w:rFonts w:ascii="Times New Roman;serif" w:hAnsi="Times New Roman;serif"/>
          <w:b w:val="false"/>
          <w:color w:val="000000"/>
          <w:sz w:val="13"/>
        </w:rPr>
        <w:t>(3, 4)</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Circular Economy:</w:t>
      </w:r>
      <w:r>
        <w:rPr>
          <w:color w:val="000000"/>
        </w:rPr>
        <w:t xml:space="preserve"> </w:t>
      </w:r>
      <w:r>
        <w:rPr>
          <w:rFonts w:ascii="Times New Roman;serif" w:hAnsi="Times New Roman;serif"/>
          <w:b w:val="false"/>
          <w:color w:val="000000"/>
          <w:sz w:val="20"/>
        </w:rPr>
        <w:t>Increase recovery of key materials by 40% on a combined basis by 2030</w:t>
      </w:r>
      <w:r>
        <w:rPr>
          <w:rFonts w:ascii="Times New Roman;serif" w:hAnsi="Times New Roman;serif"/>
          <w:b w:val="false"/>
          <w:color w:val="000000"/>
          <w:sz w:val="13"/>
        </w:rPr>
        <w:t>(2)</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Renewable Energy:</w:t>
      </w:r>
      <w:r>
        <w:rPr>
          <w:color w:val="000000"/>
        </w:rPr>
        <w:t xml:space="preserve"> </w:t>
      </w:r>
      <w:r>
        <w:rPr>
          <w:rFonts w:ascii="Times New Roman;serif" w:hAnsi="Times New Roman;serif"/>
          <w:b w:val="false"/>
          <w:color w:val="000000"/>
          <w:sz w:val="20"/>
        </w:rPr>
        <w:t>Increase beneficial reuse of biogas by 50% by 2030</w:t>
      </w:r>
      <w:r>
        <w:rPr>
          <w:rFonts w:ascii="Times New Roman;serif" w:hAnsi="Times New Roman;serif"/>
          <w:b w:val="false"/>
          <w:color w:val="000000"/>
          <w:sz w:val="13"/>
        </w:rPr>
        <w:t>(2)</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Charitable Giving:</w:t>
      </w:r>
      <w:r>
        <w:rPr>
          <w:color w:val="000000"/>
        </w:rPr>
        <w:t xml:space="preserve"> </w:t>
      </w:r>
      <w:r>
        <w:rPr>
          <w:rFonts w:ascii="Times New Roman;serif" w:hAnsi="Times New Roman;serif"/>
          <w:b w:val="false"/>
          <w:color w:val="000000"/>
          <w:sz w:val="20"/>
        </w:rPr>
        <w:t>Create sustainable neighborhoods through strong community partnerships for 45 million people by 2030</w:t>
      </w:r>
      <w:r>
        <w:rPr>
          <w:rFonts w:ascii="Times New Roman;serif" w:hAnsi="Times New Roman;serif"/>
          <w:b w:val="false"/>
          <w:color w:val="000000"/>
          <w:sz w:val="13"/>
        </w:rPr>
        <w:t>(2)</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that reducing our impact on the planet and improving the quality of life for its inhabitants are the right things to do, and they are also necessary actions to ensure a vibrant future for our organization.</w:t>
      </w:r>
    </w:p>
    <w:p>
      <w:pPr>
        <w:pStyle w:val="TextBody"/>
        <w:bidi w:val="0"/>
        <w:spacing w:lineRule="auto" w:line="288" w:before="180" w:after="283"/>
        <w:jc w:val="left"/>
        <w:rPr>
          <w:rFonts w:ascii="Times New Roman;serif" w:hAnsi="Times New Roman;serif"/>
          <w:b w:val="false"/>
          <w:color w:val="000000"/>
          <w:sz w:val="16"/>
        </w:rPr>
      </w:pPr>
      <w:r>
        <w:rPr>
          <w:rFonts w:ascii="Times New Roman;serif" w:hAnsi="Times New Roman;serif"/>
          <w:b w:val="false"/>
          <w:color w:val="000000"/>
          <w:sz w:val="16"/>
        </w:rPr>
        <w:t>(1) We have aligned our 2030 goals with the following UN Sustainable Development Goals: (3) Good Health and Well-being, (4) Quality Education, (6) Clean Water and Sanitation, (7) Affordable Clean Energy, (8) Decent Work and Economic Growth, (9) Industry, Innovation and Infrastructure, (10) Reduced Inequalities, (11) Sustainable Cities and Communities, (12) Responsible Consumption and Production, (13) Climate Action, (14) Life Below Water, and (16) Peace, Justice and Strong Institutions.</w:t>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(2) Targets are relative to the 2017 baseline year.</w:t>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(3) SBTi, or Science Based Targets initiative, is a corporate climate action organization that helps companies set targets to reduce their GHG emissions in line with the goals of the Paris Agreement.</w:t>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(4) Interim goal of achieving 10% emissions reduction by 2025 was achieved in fiscal year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Refer to our Sustainability Report for our progress toward our 2030 sustainability goals, and refer to our full suite of climate-related sustainability reporting for updates regarding our progress toward our climate goals, including the Task Force on Climate-Related Financial Disclosures (TCFD), Sustainability Accounting Standards Board (SASB), Global Reporting Initiative (GRI) and CDP Climate Change, all of which can be found at republicservices.com/sustainability. The information contained on our website shall not be deemed incorporated by reference in this Annual Report on Form 10-K or in any other filing we make under the Exchange Act.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Cash Utilization Strategy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take a consistent and balanced approach to capital allocation to drive long-term, sustainable value for our shareholders. The predictability of our free cash flows allows us to efficiently execute our capital allocation strategy, which includes investing in value-creating acquisitions and returning free cash flow to our shareholders through dividends and share repurchases. We are committed to an efficient capital structure and maintaining our investment grade credit ratings on our senior debt, which was rated A- by Standard &amp; Poor’s Ratings Services, A- by Fitch Ratings, Inc. and A3 by Moody’s Investors Service, Inc. Such ratings have allowed us, and should continue to allow us, to readily access capital markets at competitive rates.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manage our free cash flow by ensuring that capital expenditures and operating asset levels are appropriate in light of our existing business and growth opportunities and by closely managing our working capital.</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100" w:after="283"/>
        <w:jc w:val="left"/>
        <w:rPr/>
      </w:pPr>
      <w:r>
        <w:rPr>
          <w:rFonts w:ascii="Times New Roman;serif" w:hAnsi="Times New Roman;serif"/>
          <w:b w:val="false"/>
          <w:color w:val="000000"/>
          <w:sz w:val="20"/>
        </w:rPr>
        <w:t>In July 2025, our Board of Directors approved an increase in the quarterly dividend to $0.625 per share, which represents an increase of approximately 8% over the prior year. This increase represented the 22</w:t>
      </w:r>
      <w:r>
        <w:rPr>
          <w:rFonts w:ascii="Times New Roman;serif" w:hAnsi="Times New Roman;serif"/>
          <w:b w:val="false"/>
          <w:color w:val="000000"/>
          <w:sz w:val="13"/>
        </w:rPr>
        <w:t>nd</w:t>
      </w:r>
      <w:r>
        <w:rPr>
          <w:color w:val="000000"/>
        </w:rPr>
        <w:t xml:space="preserve"> </w:t>
      </w:r>
      <w:r>
        <w:rPr>
          <w:rFonts w:ascii="Times New Roman;serif" w:hAnsi="Times New Roman;serif"/>
          <w:b w:val="false"/>
          <w:color w:val="000000"/>
          <w:sz w:val="20"/>
        </w:rPr>
        <w:t>consecutive year of a dividend increase. Over the last five years, our dividends have increased at a compounded annual growth rate of 6.3%. We expect to continue paying quarterly cash dividends and may consider additional dividend increases if we believe they will enhance shareholder value.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00" w:after="283"/>
        <w:jc w:val="left"/>
        <w:rPr/>
      </w:pPr>
      <w:r>
        <w:rPr>
          <w:rFonts w:ascii="Times New Roman;serif" w:hAnsi="Times New Roman;serif"/>
          <w:b w:val="false"/>
          <w:color w:val="000000"/>
          <w:sz w:val="20"/>
        </w:rPr>
        <w:t xml:space="preserve">In October 2023, our Board of Directors approved a $3.0 billion share repurchase authorization effective starting January 1, 2024, and extending through December 31, 2026. Share repurchases under the current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On a quarterly basis, our Board of Directors reviews the parameters around which we repurchase our shares. Refer to </w:t>
      </w:r>
      <w:r>
        <w:rPr>
          <w:rFonts w:ascii="Times New Roman;serif" w:hAnsi="Times New Roman;serif"/>
          <w:b w:val="false"/>
          <w:i/>
          <w:color w:val="000000"/>
          <w:sz w:val="20"/>
        </w:rPr>
        <w:t xml:space="preserve">Item 5. Market for Registrant's Common Equity, Related Stockholder Matters and Issuer Purchases of Equity Securities </w:t>
      </w:r>
      <w:r>
        <w:rPr>
          <w:rFonts w:ascii="Times New Roman;serif" w:hAnsi="Times New Roman;serif"/>
          <w:b w:val="false"/>
          <w:color w:val="000000"/>
          <w:sz w:val="20"/>
        </w:rPr>
        <w:t>for repurchase authority remaining as of December 31, 2025.</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Shareholder Value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committed to creating long-term shareholder value by generating consistent earnings and cash flow growth while continually improving returns on invested capital. Our incentive compensation programs are aligned with these objectives at all levels of management. We have an active shareholder outreach program and routinely interact with shareholders on a number of matters, including environmental, social, governance, talent and executive compensation.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Comprehensive Environmental Services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serve customers with a strong, vertically-integrated operating platform and offer a complete set of products and services, including the collection and processing of recyclable, solid waste and industrial waste materials; transportation and disposal of non-hazardous and hazardous waste streams; and other environmental solutions. We offer a wide array of products and services with a proven track record in safety, compliance and environmental stewardship.</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Recycling &amp; Waste Services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 strong, national, vertically-integrated operating platform that allows us to compete more effectively and efficiently in the local markets in which we operate. Where appropriate, we seek to achieve a high rate of internalization by managing material streams from the point of collection through recycling processing or disposal. During the year ended December 31, 2025, approximately 67% of the total solid waste volume we collected was disposed at landfills we own or operate (internalization). Our fully integrated markets generally have a lower cost of operations and more favorable cash flows than our markets that are not fully integrated. Through acquisitions, landfill operating agreements and other market development activities, we create market-specific, vertically-integrated operations typically consisting of one or more collection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transfer stations and landfills. We also operate recycling centers in markets where diversion of waste is a priority, customers are willing to pay for the service and we can earn an appropriate return on our investment.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Collection Services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provide residential, small-container and large-container collection services through 377 collection operations. In 2025, approximately 68% of our total revenue was derived from our collection business, of which approximately 18% of our total revenue related to residential services, approximately 30% related to small-container services, approximately 19% related to large-container services and approximately 1% related to other collection services.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residential collection business involves the curbside collection of material for transport to transfer stations, or directly to recycling centers, organics processing facilities, or landfills. We typically perform residential collection services under contracts with municipalities, which we generally secure through competitive bids, which give us exclusive rights to service all or a portion of the homes in the municipalities. These contracts usually range in duration from one to five years, although some of our exclusive franchises are for significantly longer periods. We also perform residential services on a subscription basis, in which individual households contract directly with us. The fees received for subscription residential collection are based primarily on the market, collection frequency, type of service, the distance to the disposal facility and the cost of processing or disposal. In general, subscription residential collection fees are paid quarterly in advance by the customers receiving the service.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our small-container business, we supply our customers with recycling and waste containers of varying sizes. We typically perform small-container collection services under one- to three-year service agreements, and fees are determined based on a number of factors including the market, collection frequency, type of equipment furnished, type and volume or weight of the material collected, transportation costs and the cost of processing or disposal. Our small-container services are typically offered to small business complexes, multi-family housing and strip malls and include industries such as restaurants, retail, real-estate and professional and other services.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large-container collection business includes both recurring and temporary customer relationships. For the recurring portion, we supply our customers with recycling and waste containers of varying sizes and rent compactors to large generators of material. We typically perform the collection services under one- to three-year service agreements, and fees are determined based on a number of factors including the market, collection frequency, type of equipment furnished, type and volume or weight of the material collected, transportation costs and the cost of processing or disposal. Our recurring large-container services are typically offered to larger facilities, hotels and office buildings and include industries such as manufacturing, retail, hospitality, professional and other services.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temporary portion of our large-container collection business, the majority of the material relates to construction and demolition activities and is typically event-driven. We provide temporary collection services on a contractual basis with terms ranging from a single pickup to one-year or longer.</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Transfer Services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own or operate 255 transfer stations. Revenue at our transfer stations is primarily generated by charging tipping or disposal fees, which accounted for approximately 5% of our revenue during 2025. Our collection operations deposit material at these transfer stations, as do other private and municipal haulers, for compaction and transfer to disposal sites or recycling centers. Transfer stations provide collection operations with a cost-effective means to consolidate material and reduce transportation costs while providing our landfills with an additional mechanism to extend their geographic reach.</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When our own collection operations use our transfer stations, this improves internalization by allowing us to retain fees we would otherwise pay to third-party disposal sites. It also allows us to manage costs associated with material disposal because: (1) transfer trucks have larger capacities than collection trucks, allowing us to deliver more material to the landfill or processing center in each trip; (2) material is accumulated and compacted at strategically located transfer stations to increase efficiency; and (3) we can retain volume by transporting the material to one of our own landfills or processing centers rather than to a competitor’s.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Recycling Processing Services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own or operate 79 recycling centers. These centers generate revenue through the processing and sale of old corrugated containers (OCC), old newsprint (ONP), aluminum, glass and other materials, which accounted for approximately 3% of our total revenue during 2025. Approximately 83% of our total recycling center volume is fiber based and includes OCC, ONP and other mixed paper. During 2025, we processed and sold 2.2 million tons, excluding glass and organics, from our recycling centers. An additional 1.8 million tons were collected by us and delivered to third parties. We are investing in innovative recycling technology and have expanded our organics operations to help customers meet their diversion goals. We processed 1.1 million tons and sold 0.4 million tons of organic materials, respectively, through our organics infrastructure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Changing market demand for recycled commodities causes volatility in commodity prices. At current volumes and mix of materials, we believe a $10 per ton change in the price of recycled commodities would change both annual revenue and operating income by approximately $13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certain instances, we issue recycling rebates to our municipal or large-container customers, which can be based on the price we receive upon the final sale of recycled commodities, a fixed contractual rate or other measures. We also receive rebates when we dispose of recycled commodities at third-party processing facilities.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met increased consumer demand for recycling services by integrating recycling components across our collection service offerings. Our goal is to provide a complete material stream management solution to our customers in a vertically integrated, environmentally sustainable way.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continue to invest in proven technologies to control costs and to simplify and streamline recycling for our customers. For example, robotics and advanced sorting equipment, such as disk screens, magnets and optical sorters, identify and separate different kinds of paper, metals, plastics and other materials to increase efficiency and maximize our recycling efforts.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Landfill Services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own or operate 207 active landfills. Our landfill tipping fees charged to third parties accounted for approximately 12% of our revenue during 2025. As of December 31, 2025, we had 41,158 estimated permitted acres and estimated total available disposal capacity of 5.0 billion in-place cubic yards. The in-place capacity of our landfills is subject to change based on engineering factors, requirements of regulatory authorities, our ability to continue to operate our landfills in compliance with applicable regulations and our ability to successfully renew operating permits and obtain expansion permits at our sites. Some of our landfills accept non-hazardous special waste, including utility ash, asbestos and contaminated soils.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Most of our active landfill sites have the potential for expanded disposal capacity beyond the currently permitted acreage. We monitor the availability of permitted disposal capacity at each of our landfills and evaluate whether to pursue an expansion at a given landfill based on estimated future waste volumes and prices, market needs, remaining capacity and the likelihood of obtaining an expansion. To satisfy future disposal demand, we are seeking to expand permitted capacity at certain landfills; however, all proposed or future expansions may not be permitted.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also have responsibility for 124 closed landfills, for which we have associated closure and post-closure obligations.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Environmental Solutions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the capabilities to address the complex environmental and sustainability needs of our customers. Our environmental solutions offerings include collection, treatment, consolidation, disposal and recycling of hazardous and non-hazardous waste; field and industrial services; equipment rental; emergency response and standby services; and in-plant services. Environmental solutions volume is generated by the daily operations of industrial, petrochemical and refining facilities and oil and natural gas exploration and production sites, including maintenance, plant turnarounds and capital projects. Volume also is generated by private and government funded projects including site remediation, redevelopment or emergency spill response. In 2025, approximately 11% of our revenue was derived from environmental solutions.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Waste Treatment &amp; Disposal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own or operate 6 active hazardous waste landfills, 9 active energy waste landfills, 2 treatment, recovery and disposal facilities, 24 treatment, storage and disposal facilities, 5 salt water disposal wells, 15 deep injection wells, and 9 industrial wastewater treatment facilities. We recycle, treat and dispose of hazardous and non-hazardous industrial wastes. The waste streams handled include substances which are classified as “hazardous” because of their corrosive, ignitable, reactive or toxic properties and other wastes subject to federal, state and provincial environmental regulation. The waste we handle comes in solid, liquid and sludge form and can be received in a variety of containerized and bulk forms and transported to our facilities by truck and rail.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also operate thermal desorption units that recover oil and metal bearing catalyst from refinery and other organic and oil-based waste. The recycled oil and recycled catalyst are sold to third parties.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Field Services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field services include a wide range of specialty and total waste management services provided to refineries, chemical plants, manufacturing plants, pharmaceutical manufacturers, technology companies, research laboratories and other government, commercial and industrial facilities either on-site or at our network of facilities. These services include industrial cleaning and maintenance, retail services, lab pack, site remediation, equipment cleaning and maintenance services, specialty equipment rental, transportation and emergency response.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an integral part of our services, we employ highly trained staff and operate a network of service centers that characterize, package and collect hazardous and non-hazardous wastes from customers and transport such wastes to and between our facilities for treatment or bulking for shipment to final disposal locations.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Sustainability Innovation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uniquely positioned to offer products and services to address the complex sustainability needs of our customers, including offerings that allow for greater material circularity and support decarbonization. We believe demand for post-consumer content in consumer packaging and low carbon energy alternatives continues to increase. We are able to invest independently or through joint ventures to create solutions for the evolving marketplace.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Circularity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2025, we commenced operations at our second Polymer Center in Indianapolis, Indiana and began construction at our third Polymer Center in Allentown, Pennsylvania. Through its Polymer Centers, Republic is the first company to manage the plastics stream through an integrated process from curbside collection of recycled material to production and delivery of high-quality recycled content for consumer packaging. Rigid plastics – polyethylene terephthalate (PET), high-density polyethylene (HDPE) and polypropylene (PP) – collected from residential and commercial customers and sorted at local recycling facilities are delivered to the Polymer Center for secondary processing. Each facility is expected to produce more than 100 million pounds per year of recycled plastic, including 100% post-consumer PET flake delivered to the food-grade marketplace to enable bottle-to-bottle circularity. In addition, HDPE and PP packaging such as detergent jugs or butter tubs, which today are collected in multicolored bundles, can be separated by plastic type and color. We plan to commence operations at our Allentown, Pennsylvania Polymer Center in 2027.</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2023, we announced the creation of Blue Polymers, LLC, a joint venture with Ravago, that will further advance circularity in the plastics industry. The Blue Polymers facilities will utilize the color-sorted recycled HDPE and PP from our Polymer Centers to create custom recycled resins for consumer packaging and other applications. The process is expected to convert recycled HDPE and PP into fully formulated products for use in both food-grade and non-food-grade sustainable applications. In 2025, operations commenced at the first Blue Polymers facility in Indianapolis, Indiana, and additional Blue Polymers facilities are planned to open over the coming years. Products are expected to include custom-blended and compounded materials for individual customers to help them achieve their sustainability goals and comply with federal, state or local requirements for recycled content.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Decarbonization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customers are increasingly looking for decarbonization solutions, and we are leveraging our network of landfills to meet that need. Republic is committed to harnessing landfill gas, a natural byproduct of decomposing waste, and converting it to energy. More than 89% of our landfill acreage is covered by gas collection systems. Collecting and converting landfill gas into renewable energy provides economic and environmental benefits, including reducing fugitive greenhouse gas emissions.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were engaged in 77 landfill gas-to-energy projects at our landfills. The majority of these projects were developed and are owned and operated by a third party, where we earn a royalty from our supply of landfill gas to the renewable energy production facilities. We presently have more than 30 landfill gas-to-energy projects in development that are expected to begin operations in the coming years. Many of these projects produce or are expected to produce renewable natural gas, a low carbon, pipeline-quality fuel that’s fully interchangeable with fossil fuel-derived natural gas; it can be used as a transportation fuel in commercial fleets, including our own.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also are producing renewable energy at our landfills through solar projects we host at seven sites, which generate clean electricity for local communities.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 Services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revenue consists primarily of National Accounts revenue generated from nationwide or regional contracts in markets outside our operating areas where the associated material handling services are subcontracted to local operators. Consequently, substantially all of this revenue is offset with related subcontract costs, which are recorded in cost of operations.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competitive industry. Competition in the environmental services industry comes from a few other large, national publicly-owned companies, several regional publicly- and privately-owned companies and thousands of small privately-owned companies. In any given market, competitors may have larger operations and greater resources. In addition,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compete with municipalities that maintain material collection or disposal operations. These municipalities may have financial advantages due to the availability of tax revenue and greater opportunities for tax-exempt financing.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compete for collection accounts primarily based on our product offering, quality of service and price. From time-to-time, our competitors reduce the price of their services in an effort to expand market share or to win a competitively bid municipal contract. Our ability to maintain and increase prices in certain markets may be impacted by our competitors’ pricing policies. This may have an effect on our future revenue and profitability.</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Seasonality and Severe Weather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operating revenues tend to be somewhat higher in the summer months, primarily due to higher volumes of construction and demolition waste. The volumes of large-container and residential recycling and waste in certain regions of the country also tend to increase during the summer months. Our second and third quarter revenues and results of operations typically reflect this seasonality.</w:t>
      </w:r>
    </w:p>
    <w:p>
      <w:pPr>
        <w:pStyle w:val="TextBody"/>
        <w:bidi w:val="0"/>
        <w:spacing w:lineRule="auto" w:line="288" w:before="100" w:after="283"/>
        <w:jc w:val="left"/>
        <w:rPr/>
      </w:pPr>
      <w:r>
        <w:rPr>
          <w:rFonts w:ascii="Times New Roman;serif" w:hAnsi="Times New Roman;serif"/>
          <w:b w:val="false"/>
          <w:color w:val="000000"/>
          <w:sz w:val="20"/>
        </w:rPr>
        <w:t>We provide essential environmental services in the communities we serve and our operations can be adversely affected by periods of inclement or severe weather and natural disasters, which could increase the volume of material collected under our existing contracts (without corresponding compensation), delay the collection and disposal of material, reduce the volume of material delivered to our disposal sites or delay the construction or expansion of our landfill sites and other facilities. These risks may increase with the physical impacts of climate change. The impacts from adverse weather and natural disasters have the potential to last several months and to affect several facilities. We have business continuity plans in place for severe weather, natural disasters and other emergencies—hurricanes, tornadoes, flooding, winter storms, earthquakes and wildfires, among others—to help limit disruptions in our operations and</w:t>
      </w:r>
      <w:r>
        <w:rPr>
          <w:color w:val="000000"/>
        </w:rPr>
        <w:t xml:space="preserve"> </w:t>
      </w:r>
      <w:r>
        <w:rPr>
          <w:rFonts w:ascii="Times New Roman;serif" w:hAnsi="Times New Roman;serif"/>
          <w:b w:val="false"/>
          <w:color w:val="000000"/>
          <w:sz w:val="20"/>
        </w:rPr>
        <w:t>help</w:t>
      </w:r>
      <w:r>
        <w:rPr>
          <w:color w:val="000000"/>
        </w:rPr>
        <w:t xml:space="preserve"> </w:t>
      </w:r>
      <w:r>
        <w:rPr>
          <w:rFonts w:ascii="Times New Roman;serif" w:hAnsi="Times New Roman;serif"/>
          <w:b w:val="false"/>
          <w:color w:val="000000"/>
          <w:sz w:val="20"/>
        </w:rPr>
        <w:t>ensure the continuity of our services. Our operations can also be favorably affected by severe weather and natural disasters, which could increase the volume of material in situations where we are able to charge for our additional services. Refer to our TCFD Report for more information on climate impacts and our risk management strategies, available at republicservices.com/sustainability. The information contained on our website shall not be deemed incorporated by reference in this Annual Report on Form 10-K or in any other filing we make under the Exchange Act.</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Regulation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facilities and operations are subject to a variety of federal, state, provincial and local requirements that regulate, among other things, the environment, public health, safety, zoning and land use. Operating and other permits, licenses and other approvals generally are required for landfills and transfer stations, recycling centers, certain waste collection vehicles, fuel storage tanks and other equipment and facilities that we own or operate. These permits are subject to denial, revocation, modification and renewal in certain circumstances. Any revocation, modification or denial of permits could have a material adverse effect on us. Federal, state, provincial and local laws and regulations vary, but generally govern wastewater or storm water discharges, air emissions, the handling, transportation, treatment, storage and disposal of hazardous and non-hazardous waste and the remediation of contamination associated with the release or threatened release of hazardous substances. These laws and regulations provide governmental authorities with strict powers of enforcement, which include the ability to revoke or decline to renew any of our operating permits, obtain injunctions, or impose fines or penalties in the event of violations, including criminal penalties. The United States EPA and various other federal, state, provincial and local authorities administer these regulations. Regulations with respect to hazardous waste are particularly relevant for our Group 3 reportable segment that provides treatment, recycling and disposal of hazardous waste.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comply with these regulations, we must incur substantial capital expenditures relating to our vehicles, landfills, transfer stations, recycling centers and other assets, and in connection with our capping, closure, post-closure and environmental remediation activities. Compliance with existing and future legal and regulatory requirements, including changes relating to per- and polyfluoroalkyl substances (commonly referred to as PFAS) and other chemicals of emerging concern, and limitations or bans on disposal of certain types of wastes or on the transportation of waste, could increase our costs to operate or require additional capital expenditures.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decrease in regulation may lower barriers to entry for our competitors. Further, we compete with counties and municipalities that operate their own collection and disposal facilities, and have the benefits of tax revenue and greater opportunities for tax-exempt financing.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strive to conduct our operations in compliance with applicable laws, regulations and permits. However, from time to time we have been issued citations or notices from governmental authorities that have resulted in the need to expend funds for remedial work and related activities at various landfills and other facilities or in the need to expend funds for fines, penalties or settlements. Citations and notices may be issued in the future, notwithstanding our strong regulatory compliance efforts. We have established final capping, closure, post-closure and remediation reserves that we believe, based on currently available information, will be adequate to cover our current estimates of regulatory costs; however, actual costs may exceed our reserves.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Federal Regulation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primary federal, environmental and occupational health and safety-related statutes that affect our facilities and operations:</w:t>
      </w:r>
    </w:p>
    <w:p>
      <w:pPr>
        <w:pStyle w:val="TextBody"/>
        <w:bidi w:val="0"/>
        <w:spacing w:lineRule="auto" w:line="256" w:before="100" w:after="283"/>
        <w:ind w:left="0" w:right="0" w:hanging="360"/>
        <w:jc w:val="left"/>
        <w:rPr/>
      </w:pPr>
      <w:r>
        <w:rPr>
          <w:color w:val="000000"/>
        </w:rPr>
        <w:t>•</w:t>
      </w:r>
      <w:r>
        <w:rPr>
          <w:rFonts w:ascii="Times New Roman;serif" w:hAnsi="Times New Roman;serif"/>
          <w:b w:val="false"/>
          <w:i/>
          <w:color w:val="000000"/>
          <w:sz w:val="20"/>
        </w:rPr>
        <w:t>The Solid Waste Disposal Act, including the Resource Conservation and Recovery Act</w:t>
      </w:r>
      <w:r>
        <w:rPr>
          <w:color w:val="000000"/>
        </w:rPr>
        <w:t xml:space="preserve"> </w:t>
      </w:r>
      <w:r>
        <w:rPr>
          <w:rFonts w:ascii="Times New Roman;serif" w:hAnsi="Times New Roman;serif"/>
          <w:b w:val="false"/>
          <w:color w:val="000000"/>
          <w:sz w:val="20"/>
        </w:rPr>
        <w:t>(RCRA). RCRA establishes a framework for regulating the handling, transportation, treatment, storage and disposal of hazardous and non-hazardous solid waste, and requires states to develop programs to ensure the safe disposal of solid waste in sanitary landfills.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Subtitle C of RCRA establishes a framework for regulating the disposal of hazardous waste, and Subtitle D of RCRA establishes a framework for regulating the disposal of municipal solid waste. Regulations under Subtitle C set requirements for hazardous waste generators, transporters and treatment, storage and disposal facilities. Regulations under Subtitle D currently include minimum comprehensive solid waste management criteria and guidelines, including location restrictions, facility design and operating criteria, final capping, closure and post-closure requirements, financial assurance standards, groundwater monitoring requirements and corrective action standards. The EPA may authorize states to implement certain hazardous waste requirements of Subtitle C, and if a state program does not exist, the EPA directly implements the hazardous waste requirements. Nearly all of the states in which we operate have implemented permit programs pursuant to RCRA and Subtitles C and D. These state permit programs may include landfill requirements that are more stringent than those of Subtitles C and D. Our failure to comply with any of these environmental requirements at any of our locations may lead to temporary or permanent loss of an operating permit, which would result in costs in connection with securing new permits, reduced revenue from lost operational time and increased third party disposal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All of our planned landfill expansions and new landfill development projects have been engineered to meet or exceed Subtitles C and D requirements, as applicable. Operating and design criteria for existing operations have been modified to comply with these regulations. Compliance with Subtitles C and D regulations has resulted in increased capital expenditures and operating costs and may in the future require substantial additional expenditures in addition to other costs normally associated with our waste management activities.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The Comprehensive Environmental Response, Compensation and Liability Act of 1980</w:t>
      </w:r>
      <w:r>
        <w:rPr>
          <w:color w:val="000000"/>
        </w:rPr>
        <w:t xml:space="preserve"> </w:t>
      </w:r>
      <w:r>
        <w:rPr>
          <w:rFonts w:ascii="Times New Roman;serif" w:hAnsi="Times New Roman;serif"/>
          <w:b w:val="false"/>
          <w:color w:val="000000"/>
          <w:sz w:val="20"/>
        </w:rPr>
        <w:t>(CERCLA). CERCLA, among other things, provides for the cleanup of sites from which there is a release or threatened release of a hazardous substance into the environment. CERCLA may impose strict joint and several liability for the costs of cleanup and for damages to natural resources upon current owners and operators of a site, parties who were owners or operators of a site at the time the hazardous substances were disposed of, parties who transported the hazardous substances to a site and parties who arranged for the disposal of the hazardous substances at a site. Under the authority of CERCLA and its implementing regulations, detailed requirements apply to the manner and degree of investigation and remediation of facilities and sites where hazardous substances have been or are threatened to be released into the environment. Liability under CERCLA is not dependent on the existence or disposal of only hazardous wastes, but also can be based upon the existence of small quantities of more than 700 substances currently characterized by the EPA as hazardous, many of which are found in common household waste. The EPA may also designate additional substances as hazardous; in 2024, the EPA finalized a rule that designated two PFAS as hazardous substances. Among other things, CERCLA authorizes the federal government to investigate and remediate sites at which hazardous substances have been or are threatened to be released into the environment, or to order persons potentially liable for the cleanup of the hazardous substances to do so themselves. In addition, the EPA has established a National Priorities List of sites at which hazardous substances have been, or are threatened to be, released and which require investigation or cleanup.</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CERCLA liability is strict liability. It can be founded upon the release or threatened release, even as a result of unintentional, non-negligent or lawful action, of hazardous substances, including very small quantities of such substances. Thus, even if we have never knowingly transported or received hazardous substances, it is possible that hazardous substances have been deposited or released at landfills or other facilities that we presently or historically have owned or operated, or at properties owned by third parties to which we have transported waste. Therefore, we could be liable under CERCLA for the cost of cleaning up, or protecting against the release of, such hazardous substances at such sites and for damages to natural resources, even if those substances were deposited at our facilities before we acquired or operated them. The costs of a CERCLA cleanup can be very expensive and can include the costs of disposing of hazardous substances at appropriately-licensed facilities. Given the difficulty of obtaining insurance for environmental impairment liability, any such liability could have a material effect on our business, financial condition, results of operations and cash flows.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The Federal Water Pollution Control Act of 1972</w:t>
      </w:r>
      <w:r>
        <w:rPr>
          <w:color w:val="000000"/>
        </w:rPr>
        <w:t xml:space="preserve"> </w:t>
      </w:r>
      <w:r>
        <w:rPr>
          <w:rFonts w:ascii="Times New Roman;serif" w:hAnsi="Times New Roman;serif"/>
          <w:b w:val="false"/>
          <w:color w:val="000000"/>
          <w:sz w:val="20"/>
        </w:rPr>
        <w:t xml:space="preserve">(the Clean Water Act). This act regulates the discharge of pollutants from a variety of sources, including solid waste disposal sites, into streams, rivers and other waters of the United States. Runoff from our landfills and transfer stations that is discharged into surface waters through discrete conveyances must be covered by discharge permits that generally require us to conduct sampling and monitoring,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certain circumstances, to reduce the quantity of pollutants in those discharges. Storm water discharge regulations under the Clean Water Act require a permit for certain construction activities and for runoff from industrial operations and facilities, which may affect our operations. If a landfill or transfer station discharges wastewater through a sewage system to a publicly-owned treatment works, the facility must comply with discharge limits imposed by that treatment works. In addition, states may adopt groundwater protection programs under the Clean Water Act or the Safe Drinking Water Act that could affect the manner in which our landfills monitor and control their waste management activities. Furthermore, if development at any of our facilities alters or affects wetlands, we may be required to secure permits before such development starts. In these situations, permitting agencies may require mitigation of wetland impacts.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The Clean Air Act.</w:t>
      </w:r>
      <w:r>
        <w:rPr>
          <w:color w:val="000000"/>
        </w:rPr>
        <w:t> </w:t>
      </w:r>
      <w:r>
        <w:rPr>
          <w:rFonts w:ascii="Times New Roman;serif" w:hAnsi="Times New Roman;serif"/>
          <w:b w:val="false"/>
          <w:color w:val="000000"/>
          <w:sz w:val="20"/>
        </w:rPr>
        <w:t xml:space="preserve">The Clean Air Act imposes limitations on emissions from various sources, including landfills. In 1996, the EPA promulgated regulations that require large municipal solid waste landfills to install landfill gas monitoring systems along with landfill gas control systems unless emissions are below established thresholds. These regulations apply to landfills that commenced construction, reconstruction or modification on or after May 30, 1991, and, principally, to landfills that can accommodate 2.5 million cubic meters or more of municipal solid waste. The regulations apply whether the landfills are active or closed. The date by which each affected landfill must have a gas collection and control system installed and made operational varies depending on calculated emission rates at the landfill. In July 2016, the EPA issued final amendments to its regulations that require large landfills that commenced construction, reconstruction, or modification on or after July 17, 2014 to capture additional landfill gas to reduce emissions of methane and certain non-methane gases, which are recognized as greenhouse gases. In a separate rule finalized at the same time, the EPA issued updates to its 1996 Emission Guidelines to reduce emissions of landfill gas from existing active landfills. These and other efforts to curtail the emission of greenhouse gases and to ameliorate the effect of climate change may require our landfills to deploy more stringent emission controls and monitoring systems, with resulting capital or operating costs. Many state regulatory agencies also currently require monitoring systems for the collection and control of certain landfill gas. Certain of these state agencies are also implementing greenhouse gas control regulations that would also apply to landfill gas emissions. See Item 1A, </w:t>
      </w:r>
      <w:r>
        <w:rPr>
          <w:rFonts w:ascii="Times New Roman;serif" w:hAnsi="Times New Roman;serif"/>
          <w:b w:val="false"/>
          <w:i/>
          <w:color w:val="000000"/>
          <w:sz w:val="20"/>
        </w:rPr>
        <w:t>Risk Factors</w:t>
      </w:r>
      <w:r>
        <w:rPr>
          <w:color w:val="000000"/>
        </w:rPr>
        <w:t xml:space="preserve"> – </w:t>
      </w:r>
      <w:r>
        <w:rPr>
          <w:rFonts w:ascii="Times New Roman;serif" w:hAnsi="Times New Roman;serif"/>
          <w:b w:val="false"/>
          <w:i/>
          <w:color w:val="000000"/>
          <w:sz w:val="20"/>
        </w:rPr>
        <w:t>Regulation of greenhouse gas emissions and other governmental regulations could impose costs on our operations, the magnitude of which is difficult to estimate</w:t>
      </w:r>
      <w:r>
        <w:rPr>
          <w:rFonts w:ascii="Times New Roman;serif" w:hAnsi="Times New Roman;serif"/>
          <w:b w:val="false"/>
          <w:color w:val="000000"/>
          <w:sz w:val="20"/>
        </w:rPr>
        <w:t>, in this Annual Report on Form 10-K.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addition, our vehicle fleet may become subject to higher efficiency standards or other carbon-emission restrictions. Over the past decade, the EPA and the National Highway Traffic Safety Administration (NHTSA) have adopted regulations mandating the reduction of vehicle tail pipe emissions as a means of reducing greenhouse gas emissions. The regulations take the form of fuel economy standards. The EPA and the NHTSA have developed fuel economy standards in two vehicle categories: (1) passenger automobiles and light-duty trucks (collectively, light-duty vehicles); and (2) heavy-duty trucks, including solid waste collection vehicles and tractor trailers. The Trump Administration has proposed to repeal certain EPA vehicle emissions standards and decrease certain NHTSA fuel economy standards. We own and operate vehicles in both categories. EPA and NHTSA periodically issue rules covering additional model years, typically increasing the stringency of the relevant vehicle standards, and those rules are frequently challenged in court.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The Occupational Safety and Health Act of 1970</w:t>
      </w:r>
      <w:r>
        <w:rPr>
          <w:color w:val="000000"/>
        </w:rPr>
        <w:t xml:space="preserve"> </w:t>
      </w:r>
      <w:r>
        <w:rPr>
          <w:rFonts w:ascii="Times New Roman;serif" w:hAnsi="Times New Roman;serif"/>
          <w:b w:val="false"/>
          <w:color w:val="000000"/>
          <w:sz w:val="20"/>
        </w:rPr>
        <w:t>(OSHA). This act authorizes the Occupational Safety and Health Administration of the United States Department of Labor to promulgate occupational safety and health standards. A number of these standards, including standards for notices of hazardous chemicals and the handling of asbestos, apply to our facilities and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State and Local Regulation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state in which we operate has its own laws and regulations governing solid waste disposal, water and air pollution, and, in most cases, releases and cleanup of hazardous substances and liabilities for such matters. States also have adopted regulations governing the design, operation, maintenance and closure of landfills and transfer stations. Some counties, municipalities and other local governments have adopted similar laws and regulations. In addition, our operations may be affected by the trend in many states toward requiring solid waste reduction and recycling programs. For example, several states have enacted laws that require counties or municipalities to adopt comprehensive plans to reduce, through solid waste planning, composting, recycling or other programs, the volume of solid waste deposited in landfills. Additionally, laws and regulations restricting the disposal of certain waste in solid waste landfills, including yard waste, food waste, newspapers, beverage containers, unshredded tires, lead-acid batteries, electronic wastes and household appliances, have been adopted in several states and are being considered in others. Some jurisdictions have enacted or are considering enacting “extended producer responsibility” regulations, which are designed to obligate producers to fund the post-use life cycle of their products by providing recycling programs for their products. State and municipal governments also have enacted or may enact “organic diversion” regulations that require food waste to be managed separately from the other waste streams, similar to the rules recently enacted in California. Several states have also enacted or are considering “minimum recycled content” regulations mandating certain minimum post-consumer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recycled content in certain types of packaging, including California. Legislative and regulatory measures to mandate or encourage waste reduction and recycling also have been considered, or are under consideration by, the United States Congress and the EPA. These regulations may present new opportunities to offer sustainable environmental services to our customers but may require investment of time, effort and money to be able to offer these new solutions, may expose us to additional regulatory requirements and competition from others offering these services, and could involve loss of volume at our landfills.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 construct, operate and expand a landfill, we must obtain one or more construction or operating permits, as well as zoning and land use approvals. These permits and approvals may be burdensome to obtain and to comply with, are often opposed by neighboring landowners and citizens’ groups, may be subject to periodic renewal, and are subject to denial, modification, non-renewal and revocation by the issuing agency. Significant compliance disclosure obligations often accompany these processes. In connection with our acquisition of existing landfills, we may be required to spend considerable time, effort and money to bring the acquired facilities into compliance with applicable requirements and to obtain the permits and approvals necessary to increase their capacity.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Canadian Waste Regulation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Certain of our operations and facilities are subject to, among other regulations, Canadian hazardous and non-hazardous waste regulations. The Canadian federal government regulates issues within federal jurisdiction, including activities that cross provincial boundaries or affect Canada’s relations with other nations. The Canadian provinces and territories also have jurisdiction over environmental matters within their respective boundaries, including primary responsibility for regulation and management of hazardous and non-hazardous waste.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main federal laws governing waste management are the Canadian Environmental Protection Act, 1999 (CEPA) and the Transportation of Dangerous Goods Act, 1992. Environment and Climate Change Canada (ECCC) is the federal agency with responsibility for environmental matters. CEPA charges ECCC and Health Canada with the protection of human health and the environment and seeks to control the production, importation and use of substances in Canada and their impact on the environment. The Cross-border Movement of Hazardous Waste and Hazardous Recyclable Material Regulations under CEPA control the transboundary movement of hazardous waste and hazardous recyclable materials. These regulations require that anyone proposing to export or import hazardous waste or hazardous recyclable materials or transport them through Canada notify ECCC and obtain a permit to do so.</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facilities are subject to the Québec Environment Quality Act, the Ontario Environmental Protection Act or the Alberta Environmental Protection and Enhancement Act and their respective regulations. These statutes and regulations regulate the generation, collection, characterization, documentation, transport, storage, treatment, recovery and disposal of hazardous and non-hazardous wastes, establish the requirements for waste management facilities and waste transportation systems and govern actual or potential releases of contaminants in the environment, such as air emissions and soil, groundwater and surface water contamination issues. Similarly, the federal Fisheries Act and provincial statutes such as the Ontario Water Resources Act also regulate releases of contaminants to bodies of water.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Hazardous waste transporters are required to hold permits to operate under the provincial statutes and regulations and are also subject to safety documentation and reporting requirements under provincial law and the federal Transportation of Dangerous Goods Act, 1992.</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Maritime Regulations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Group 3 operations own and use 68 vessels registered under the United States flag. Accordingly, we are subject to various United States federal, state and local statutes and regulations governing the ownership, operation and maintenance of our vessels. Our United States-flag vessels are subject to the direct jurisdiction of the United States Coast Guard, the United States Customs and Border Protection and the United States Maritime Administration as well as other federal and state agencies. We are also subject to international laws and conventions and the laws of foreign jurisdictions when we operate outside of the United States.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portion of the operations of our standby services business within Group 3 is conducted in the United States coastwise trade. This is a protected market that is subject to United States cabotage laws that impose certain restrictions on the ownership and operation of vessels in the United States coastwise trade. These laws are principally contained in 46 U.S.C. Chapters 121, 505 and 551 and the related regulations, which are commonly referred to collectively as the “Jones Act.” The Jones Act restricts transportation of merchandise by water or by land and water, either directly or via a foreign port, between points in the United States and certain of its island territories. Subject to limited exceptions, the Jones Act requires that vessels engaged in United States coastwise trade be owned and operated by United States citizens within the meaning of the Jones Act, be built in and registered under the laws of the United States and manned by predominantly United States citizen crews. We have compliance mechanisms in place designed to assist with monitoring and maintaining compliance with the ownership requirements of the Jones Act. Failure to maintain compliance with these ownership requirements could adversely impact our Group 3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All of our offshore vessels are subject to either United States or international safety and classification standards and sometimes both. United States-flag vessels, barges and crew boats are required to undergo periodic inspections pursuant to United States Coast Guard regulations.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also subject to a number of safety, security and environmental laws and regulations, including the Oil Pollution Act of 1990, CERCLA, the Clean Air Act, and the International Ship and Port Facility Security Code (ISPS Code), an amendment to the International Convention for the Safety of Life at Sea (SOLAS) as implemented in the Maritime Transportation and Security Act of 2002 to align United States regulations with those of SOLAS and the ISPS Code. The ISPS Code provides that owners or operators of certain vessels and facilities must provide security and security plans for their vessels and facilities and obtain appropriate certification of compliance. Under the ISPS Code, we perform worldwide security assessments, risk analyses and develop vessel and required port facility security plans to enhance safe and secure vessel and facility operations. Additionally, we have developed security annexes for those United States-flag vessels that transit or work in waters designated as high risk by the United States Coast Guard pursuant to the latest revision of the U.S. Coast Guard’s Maritime Security (MARSEC) Directive 104-6. We believe that additional security and environmental related regulations could be imposed on the maritime industry affecting our Group 3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Other Regulations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Some of our facilities and operations are subject to the Toxic Substances Control Act of 1976 (TSCA) and the Atomic Energy Act of 1954, as amended (AEA). TSCA regulates the treatment, storage and disposal of polychlorinated biphenyls and asbestos. The AEA assigns the United States Nuclear Regulatory Commission (USNRC) regulatory authority over receipt, possession, use and transfer of certain radioactive materials, including disposal. The USNRC has adopted regulations for licensing commercial low-level radioactive waste regulated under the AEA for disposal and has delegated regulatory authority to certain states, including states where one or more of our facilities are located. The USNRC and United States Department of Transportation regulate the transport of radioactive materials. Shippers must comply with both the general requirements for hazardous materials transportation and specific requirements for transporting radioactive materials.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Many of our facilities own and operate underground storage tanks that are generally used to store petroleum-based products. These tanks can be subject to federal, state and local laws and regulations that mandate their periodic testing, upgrading, closure and removal. In the event of leaks or releases from these tanks, these regulations require that polluted groundwater and soils be remediated. If underground storage tanks we own or operate leak, we could be liable for response costs and, if the leakage migrates onto the property of others, we could be liable for damages to third parties. We are unaware of facts indicating that issues of compliance with regulations related to underground storage tanks will have a material adverse effect on our consolidated financial condition, results of operations or cash flows.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With regard to our solid waste transportation operations, we are subject to the jurisdiction of the Surface Transportation Board and are regulated by the Federal Highway Administration, Office of Motor Carriers and by regulatory agencies in states that regulate such matters. Various state and local government authorities have adopted, or are considering adopting, laws and regulations that would restrict the transportation of solid waste across state, county, or other jurisdictional lines. In 1978, the United States Supreme Court ruled that a law that restricts the importation of out-of-state solid waste is unconstitutional; however, states have attempted to distinguish proposed laws from those involved in and implicated by that ruling. In 1994, the United States Supreme Court ruled that a flow control law, which attempted to restrict solid waste from leaving its place of generation, imposes an impermissible burden upon interstate commerce and is unconstitutional. In 2007, however, the United States Supreme Court upheld the right of a local government to direct the flow of solid waste to a publicly-owned and publicly-operated waste facility. A number of county and other local jurisdictions have enacted ordinances or other regulations restricting the free movement of solid waste across jurisdictional boundaries. Other governments may enact similar regulations in the future. These regulations may cause a decline in volumes of waste delivered to our landfills or transfer stations and may increase our costs of disposal, thereby adversely affecting our operations and our financial results.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engaged in 84 landfill gas-to-energy and other renewable energy projects. The production of renewable fuel through certain of these projects is incentivized by the federal Renewable Fuel Standard (RFS) program, which was authorized under the Energy Policy Act of 2005 and expanded through the Energy Independence and Security Act of 2007. Oil refiners and importers are required through the RFS program to blend specified volumes of renewable transportation fuels with gasoline or buy credits, known as renewable identification numbers (RINs), from renewable fuel producers. The amount of RIN credits generated by each gallon of renewable fuel depends on the process and feedstock used to create the specific renewable fuel. There is a market for RINs and, as we and/or our partners produce RFS-compliant renewable fuel, RINs are generated and sold to parties purchasing such RINs to achieve compliance with the RFS program.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Climate and Sustainability Trends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jurisdictions have been updating climate policies toward the goal of reporting and reducing greenhouse gas (GHG) emissions through a broad range of sustainability initiatives. For example, in 2023, California became the first U.S. state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require annual greenhouse gas emission disclosure, as well as biennial disclosure of information on climate-related financial risks. These laws are currently subject to legal challenge. Similar bills have been introduced in other U.S. states; to-date, none have been passed into law.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reducing our impact on the planet and improving the quality of life of its inhabitants are the right things to do, and have committed to heightened emissions reduction goals. Taking into account the challenges associated with quantifying environmental services emissions precisely, we evaluate and offer strategic opportunities to provide our customers with sustainable solutions to reduce their GHG emissions as new regulatory and business developments related to concerns about climate change arise. As a provider of a highly regulated public service, we recognize the importance of broad stakeholder engagement in these endeavors, and we actively seek opportunities for discussion on more sustainable materials management practices. In addition, we cooperate with and support initiatives at the federal and state level that encourage sustainable practices including the production and use of renewable, low-carbon fuels and electricity and the processing of recyclables and organics.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long been a leader in sustainability as it relates to environmental services and strive to maintain this reputation. Our sustainability commitments, as well as our progress toward our current goals, are published in our Sustainability Report and accompanying reports and can be found at republicservices.com/sustainability. The information contained on our website shall not be deemed incorporated by reference in this Annual Report on Form 10-K or in any other filing we make under the Exchange Act.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Liabilities Established for Landfill and Environmental Costs</w:t>
      </w:r>
    </w:p>
    <w:p>
      <w:pPr>
        <w:pStyle w:val="TextBody"/>
        <w:bidi w:val="0"/>
        <w:spacing w:lineRule="auto" w:line="288" w:before="100" w:after="283"/>
        <w:jc w:val="left"/>
        <w:rPr/>
      </w:pPr>
      <w:r>
        <w:rPr>
          <w:rFonts w:ascii="Times New Roman;serif" w:hAnsi="Times New Roman;serif"/>
          <w:b w:val="false"/>
          <w:color w:val="000000"/>
          <w:sz w:val="20"/>
        </w:rPr>
        <w:t xml:space="preserve">We have established reserves for landfill and environmental costs, which include landfill site final capping, closure and post-closure costs. We periodically reassess such costs based on various methods and assumptions regarding landfill airspace and the technical requirements of Subtitles C and D of RCRA, and we adjust our amortization rates used to expense final capping, closure and post-closure costs accordingly. Based on current information and regulatory requirements, we believe that our recorded reserves for such landfill and environmental expenditures are adequate; however, environmental laws may change, and our recorded reserves may not be adequate to cover requirements under existing or new environmental laws and regulations, future changes or interpretations of existing laws and regulations, or adverse environmental conditions previously unknown to us. Refer to the </w:t>
      </w:r>
      <w:r>
        <w:rPr>
          <w:rFonts w:ascii="Times New Roman;serif" w:hAnsi="Times New Roman;serif"/>
          <w:b w:val="false"/>
          <w:i/>
          <w:color w:val="000000"/>
          <w:sz w:val="20"/>
        </w:rPr>
        <w:t>Material Cash Requirements and Intended Uses of Cash</w:t>
      </w:r>
      <w:r>
        <w:rPr>
          <w:color w:val="000000"/>
        </w:rPr>
        <w:t xml:space="preserve"> </w:t>
      </w:r>
      <w:r>
        <w:rPr>
          <w:rFonts w:ascii="Times New Roman;serif" w:hAnsi="Times New Roman;serif"/>
          <w:b w:val="false"/>
          <w:color w:val="000000"/>
          <w:sz w:val="20"/>
        </w:rPr>
        <w:t xml:space="preserve">section of our Management’s Discussion and Analysis of Financial Condition and Results of Operations contained in Part II, Item 7 of this Annual Report on Form 10-K and to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xml:space="preserve">, to our audited consolidated financial statements in Part II, Item 8 of this Annual Report on Form 10-K for further information.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Liability Insurance and Bonding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nature of our business exposes us to the possible risk of liabilities arising out of our operations, including damages to the environment, property, employees or the general public, or those resulting from cyber incidents. We focus on operating safely and prudently, but occasionally we receive claims, alleging damages, negligence or other wrongdoing in the planning or performance of work, which resulted in harm to the environment, property, employees or the general public. These liabilities can be significant. We also could be subject to fines and civil and criminal penalties in connection with alleged violations of regulatory requirements. We maintain various policies of insurance that, subject to limitations, exclusions, or deductibles, provide coverage for these types of claims. While we believe the amount of insurance is appropriate for our type of business, such insurance may not be adequate, in scope or amount, in the event of a major loss, and we may be exposed to uninsured liabilities that could have a material adverse effect on our consolidated financial condition, results of operations or cash flows. We may choose not to continue to maintain the insurance should market conditions in the insurance industry make such coverage cost prohibitive.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Accruals for deductibles are based on claims filed and actuarial estimates of claims development and claims incurred but not reported. Due to the variable condition of the insurance market, we have experienced, and may experience in the future, increased deductible retention levels and increased premiums or unavailability of insurance. As we assume more risk through higher retention levels, we may experience more variability in our insurance reserves and expense.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we also purchase surety bonds, insurance policies, letters of credit, or marketable securities deposits in connection with, among other things, municipal residential collection contracts, financial assurance for closure and post-closure of landfills, environmental remediation, environmental permits and business licenses and permits as a financial guarantee of our performance.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Availability of Reports and Other Information</w:t>
      </w:r>
    </w:p>
    <w:p>
      <w:pPr>
        <w:pStyle w:val="TextBody"/>
        <w:bidi w:val="0"/>
        <w:spacing w:lineRule="auto" w:line="288" w:before="100" w:after="283"/>
        <w:jc w:val="left"/>
        <w:rPr/>
      </w:pPr>
      <w:r>
        <w:rPr>
          <w:rFonts w:ascii="Times New Roman;serif" w:hAnsi="Times New Roman;serif"/>
          <w:b w:val="false"/>
          <w:color w:val="000000"/>
          <w:sz w:val="20"/>
        </w:rPr>
        <w:t xml:space="preserve">Our corporate website is </w:t>
      </w:r>
      <w:r>
        <w:rPr>
          <w:rFonts w:ascii="Times New Roman;serif" w:hAnsi="Times New Roman;serif"/>
          <w:b w:val="false"/>
          <w:color w:val="000000"/>
          <w:sz w:val="20"/>
          <w:u w:val="single"/>
        </w:rPr>
        <w:t>republicservices.com</w:t>
      </w:r>
      <w:r>
        <w:rPr>
          <w:rFonts w:ascii="Times New Roman;serif" w:hAnsi="Times New Roman;serif"/>
          <w:b w:val="false"/>
          <w:color w:val="000000"/>
          <w:sz w:val="20"/>
        </w:rPr>
        <w:t xml:space="preserve">. We make available on that website, free of charge, access to our Annual Reports on Form 10-K, Quarterly Reports on Form 10-Q, Current Reports on Form 8-K, Proxy Statements on Schedule 14A and amendments to those materials filed or furnished with the Securities and Exchange Commission (SEC) pursuant to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pPr>
      <w:r>
        <w:rPr>
          <w:rFonts w:ascii="Times New Roman;serif" w:hAnsi="Times New Roman;serif"/>
          <w:b w:val="false"/>
          <w:color w:val="000000"/>
          <w:sz w:val="20"/>
        </w:rPr>
        <w:t>13(a) or 15(d) of the Securities Exchange Act of 1934. We make such materials available as soon as reasonably practicable after we electronically submit them to the SEC. Our corporate website also contains our Certificate of Incorporation, Bylaws, Corporate Governance Guidelines, Code of Ethics and Conduct, Political Contributions Policy, Human Rights Policy and Charters of the Audit Committee, Management Development and Compensation Committee, Nominating and Corporate Governance Committee and Sustainability and Corporate Responsibility Committee of the Board of Directors. In addition, the SEC makes available at its website (</w:t>
      </w:r>
      <w:r>
        <w:rPr>
          <w:rFonts w:ascii="Times New Roman;serif" w:hAnsi="Times New Roman;serif"/>
          <w:b w:val="false"/>
          <w:color w:val="000000"/>
          <w:sz w:val="20"/>
          <w:u w:val="single"/>
        </w:rPr>
        <w:t>sec.gov</w:t>
      </w:r>
      <w:r>
        <w:rPr>
          <w:rFonts w:ascii="Times New Roman;serif" w:hAnsi="Times New Roman;serif"/>
          <w:b w:val="false"/>
          <w:color w:val="000000"/>
          <w:sz w:val="20"/>
        </w:rPr>
        <w:t xml:space="preserve">), free of charge, reports, proxy statements and other information regarding issuers, such as us, that file electronically with the SEC. Information on our website or the SEC website is not part of this Annual Report on Form 10-K. We intend to satisfy the disclosure requirements under Item 5.05 of Form 8-K and applicable New York Stock Exchange (NYSE) rules regarding amendments to or waivers of our Code of Ethics by posting this information on our website at </w:t>
      </w:r>
      <w:r>
        <w:rPr>
          <w:rFonts w:ascii="Times New Roman;serif" w:hAnsi="Times New Roman;serif"/>
          <w:b w:val="false"/>
          <w:color w:val="000000"/>
          <w:sz w:val="20"/>
          <w:u w:val="single"/>
        </w:rPr>
        <w:t>republicservices.com</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pPr>
      <w:r>
        <w:rPr>
          <w:rFonts w:ascii="Times New Roman;serif" w:hAnsi="Times New Roman;serif"/>
          <w:b/>
          <w:color w:val="000000"/>
          <w:sz w:val="20"/>
        </w:rPr>
        <w:t>ITEM 1A.</w:t>
      </w:r>
      <w:r>
        <w:rPr>
          <w:color w:val="000000"/>
        </w:rPr>
        <w:t xml:space="preserve"> </w:t>
      </w:r>
      <w:r>
        <w:rPr>
          <w:rFonts w:ascii="Times New Roman;serif" w:hAnsi="Times New Roman;serif"/>
          <w:b/>
          <w:color w:val="000000"/>
          <w:sz w:val="20"/>
        </w:rPr>
        <w:t>RISK FACTORS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Disclosure Regarding Forward-Looking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contains certain forward-looking information about us that is intended to be covered by the safe harbor for “forward-looking statements” provided by the Private Securities Litigation Reform Act of 1995. Forward-looking statements are statements that are not historical facts. Words such as “guidance,” “expect,” “will,” “may,” “anticipate,” “plan,” “estimate,” “project,” “intend,” “should,” “can,” “likely,” “could,” “outlook” and similar expressions are intended to identify forward-looking statements. Among other sections of this Form 10-K, the Business, Risk Factors and Management’s Discussion and Analysis of Financial Condition and Results of Operations include forward-looking statements. These statements include statements about our plans, strategies and prospects. Forward-looking statements are not guarantees of performance. These statements are based upon the current beliefs and expectations of our management and are subject to risks and uncertainties that could cause actual results to differ materially from those expressed in, or implied or projected by, the forward-looking information and statements. Although we believe that the expectations reflected in the forward-looking statements are reasonable, such expectations may not prove to be correct. Among the factors that could cause actual results to differ materially from the expectations expressed in the forward-looking statements are: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 economic and market conditions, including inflation and changes in fuel costs, interest rates, tariffs and international trade restrictions, labor, health insurance and other variable costs that generally are not within our control, and our exposure to credit and counterparty risk;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fluctuations in prices and demand for recycled commodities that we sell to customers;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whether our estimates and assumptions concerning critical accounting issues are correct or appropriate, including estimates and assumptions concerning selected balance sheet accounts, income tax accounts, final capping, closure, post-closure and remediation costs, available airspace, projected costs and expenses related to our landfills and property and equipment, fair values of acquired assets and liabilities assumed in our acquisitions and labor, fuel rates and economic and inflationary trends;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competition and demand for services in the environmental services industry;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increase prices to our customers, which may not be adequate to offset the impact of increased costs, including labor, third-party disposal and fuel and may cause us to lose volume;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growth and execute our growth strategy;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compliance with, and future changes in, environmental and flow control regulations and our ability to obtain approvals from regulatory agencies in connection with operating and expanding our landfills and other facilities;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on us of our substantial indebtedness, including on our ability to obtain financing on acceptable terms to finance our operations and growth strategy and to operate within the limitations imposed by financing arrangements;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retain our investment grade ratings for our debt;</w:t>
      </w:r>
    </w:p>
    <w:p>
      <w:pPr>
        <w:pStyle w:val="TextBody"/>
        <w:bidi w:val="0"/>
        <w:spacing w:lineRule="auto" w:line="288" w:before="100" w:after="120"/>
        <w:ind w:left="0" w:right="0" w:hanging="360"/>
        <w:jc w:val="left"/>
        <w:rPr/>
      </w:pPr>
      <w:r>
        <w:rPr>
          <w:color w:val="000000"/>
        </w:rPr>
        <w:t>•</w:t>
      </w:r>
      <w:r>
        <w:rPr>
          <w:rFonts w:ascii="Times New Roman;serif" w:hAnsi="Times New Roman;serif"/>
          <w:b w:val="false"/>
          <w:color w:val="000000"/>
          <w:sz w:val="20"/>
        </w:rPr>
        <w:t>our dependence on key personnel;</w:t>
      </w:r>
    </w:p>
    <w:p>
      <w:pPr>
        <w:pStyle w:val="TextBody"/>
        <w:bidi w:val="0"/>
        <w:spacing w:lineRule="auto" w:line="288" w:before="100" w:after="120"/>
        <w:ind w:left="0" w:right="0" w:hanging="360"/>
        <w:jc w:val="left"/>
        <w:rPr/>
      </w:pPr>
      <w:r>
        <w:rPr>
          <w:color w:val="000000"/>
        </w:rPr>
        <w:t>•</w:t>
      </w:r>
      <w:r>
        <w:rPr>
          <w:rFonts w:ascii="Times New Roman;serif" w:hAnsi="Times New Roman;serif"/>
          <w:b w:val="false"/>
          <w:color w:val="000000"/>
          <w:sz w:val="20"/>
        </w:rPr>
        <w:t>our dependence on large, long-term collection, transfer and disposal contracts;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capital intensive nature of our business, which may consume cash in excess of cash flow from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exposure to liabilities or losses, to the extent not adequately covered by insurance, which could result in substantial expenses;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associated with undisclosed liabilities of acquired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associated with pending and future legal proceedings, including litigation, audits or investigations brought by or before any governmental body;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severe weather conditions, including those brought about by climate change, which could impair our financial results by causing increased costs, loss of revenue, reduced operational efficiency or disruptions to our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compliance with existing and future legal and regulatory requirements, including changes relating to per- and polyfluoroalkyl substances (commonly referred to as PFAS) and other chemicals of emerging concern and limitations or bans on disposal of certain types of wastes or on the transportation of waste, which could limit our ability to conduct or grow our business, increase our costs to operate or require additional capital expenditures;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achieve reduction in our greenhouse gas emissions and our other sustainability goals;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safety and operational risks, including the risk of personal injury to our employees or third parties;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potential increases in our costs if we are required to provide additional funding to any multiemployer pension plan to which we contribute or if a withdrawal event (including our voluntary withdrawal, which we consider from time to time, or the mass withdrawal of all contributing employers from any underfunded multiemployer pension plan) occurs with respect to any such plan;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negative impact on our operations of union organizing campaigns, work stoppages or labor shortages;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negative effect on our revenues that trends toward requiring recycling, waste reduction at the source and prohibiting the disposal of certain types of wastes could have on volumes of waste going to landfills;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to generally accepted accounting principles or policies;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of United States and international tax laws and regulations on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interruptions and breaches of our information technology systems that could adversely affect, or temporarily disable, all or a portion of our operations or have a negative effect on our infrastructure;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negative impact that a significant cyber-security incident could have on our business and our relationships with our employees, customers and vendors;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acts of war, riots or terrorism, including the continuing war on terrorism, as well as actions taken or to be taken by the United States or other governments as a result of further acts or threats of terrorism and the impact of these acts on economic, financial and social conditions in the United States.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risks identified in the bullet points above are not exhaustive. Refer to the Risk Factors below in this Item 1A for further discussion regarding our exposure to risks. Any forward-looking statement in this Annual Report on Form 10-K and the documents incorporated herein by reference or elsewhere, speaks only as of the date on which we make it. Additionally, new risk factors emerge from time to time and it is not possible for us to predict all such risk factors, or to assess the impact such risk factors might have on our business or the extent to which any factor or combination of factors may cause actual results to differ materially from those contained in any forward-looking statements. You should not place undue reliance on any forward-looking statement. Except to the extent required by applicable law or regulation, we undertake no obligation to update or publish revised forward-looking statements to reflect events or circumstances after the date of this Annual Report on Form 10-K and the documents incorporated by reference, as the case may be, or to reflect the occurrence of unanticipated events.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Risks Related to Our Business and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The environmental services industry is highly competitive and includes competitors that may have greater financial and operational resources, flexibility to reduce prices or other competitive advantages that could make it difficult for us to compete effectively.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principally compete with large national waste management companies, numerous municipalities and numerous regional and local companies. Competition for collection accounts is typically based on the quality of services, ease of doing business and/or price. Competition for disposal business is primarily based on geographic location, quality of operations and price. Certain competitors may have greater financial and operational resources than we do. Further, many counties and municipalities that operate their own collection and disposal facilities have the benefits of tax revenue and greater opportunities for tax-exempt financing. Our ability to obtain solid waste volume for our landfills also may be limited by the fact that some major collection operations also own or operate landfills to which they send their waste. In certain markets in which we do not own or operate a landfill, our collection operations may have difficulty competing effectively. We are also subject to risks associated with contracts awarded by municipalities and other entities through competitive bidding. For example, we may not be the successful bidder, we may need to lower our price in order to win or retain a contract, and our competitors may have lower financial expectations that permit them to reduce their prices in order to win a contract. If we were to lose market share or if we were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lower prices to address competitive issues, it could negatively impact our consolidated financial condition, results of operations and cash flows.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Increases in the cost of fuel or petrochemicals increase our operating expenses, and we may not be able to recover such cost increases from our customers.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depend on fuel purchased in the open market to operate our collection and transfer trucks and other equipment used for collection, transfer, disposal and other environmental services. Fuel prices are unpredictable and fluctuate significantly based on events beyond our control, including geopolitical developments, actions by the Organization of the Petroleum Exporting Countries and other oil and gas producers, changes in refinery operations, supply and demand for oil and gas, war, terrorism and unrest in oil-producing countries, adverse weather and regional production patterns. Due to contractual or market factors, we may not be able to offset increased fuel costs resulting from such volatility through fuel recovery fees. Our fuel costs were $466 million in 2025, or 2.8% of revenue, compared to $470 million in 2024, or 2.9% of revenue.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current consumption levels, a twenty-cent per gallon change in the price of diesel fuel changes our fuel costs by approximately $26 million on an annual basis. Offsetting these changes in fuel expense would be changes in our fuel recovery fee charged to our customers. At current participation rates, we believe a twenty-cent per gallon change in the price of diesel fuel changes our fuel recovery fee by approximately $42 million. A substantial rise or drop in fuel costs could materially affect our revenue and cost of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Over the last decade, regulations have been adopted mandating changes in the composition of fuels for motor vehicles. The renewable fuel standards that the EPA sets annually affect the type of fuel our motor vehicle fleet uses. It is difficult to predict the quantity of renewable fuel volumes that the EPA will mandate for future years. These regulations are one of many factors that may affect the cost of the fuel we use.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Part of our fleet of vehicles is powered by CNG and we also operate CNG fueling stations. We have invested significant upfront capital costs to purchase and support our CNG vehicles and fueling stations in order to reduce our overall fleet operating costs through lower fuel expenses and to create a competitive advantage in communities that focus on protecting the environment. CNG is not yet widely adopted in North America. As the CNG industry develops, new regulations, the availability of alternative fuel technologies, fluctuations in the price or availability of CNG or reductions in tax incentives for the use of CNG vehicles could substantially affect our revenue and costs of operations and reduce the benefits sought by investing in CNG vehicles and fueling stations.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operations also require the use of products (such as liners at our landfills) whose costs may vary with the price of petrochemicals. An increase in the price of petrochemicals could increase the cost of those products, which would increase our operating and capital costs. Petrochemical prices, and hence our operating and capital costs, may be further affected by regulatory efforts to reduce greenhouse gases from the industries that produce such petrochemicals. We are also susceptible to increases in fuel recovery fees from our vendors.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Fluctuations in prices and demand for recycled commodities that we sell to customers may adversely affect our consolidated financial condition, results of operations and cash flows.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purchase or collect and process recyclable materials such as paper, cardboard, plastics, aluminum and other metals for sale to third parties. Our results of operations may be affected by changing prices or market requirements for recyclable materials. The resale and purchase prices of, and market demand for, recyclable materials are volatile due to changes in economic conditions and numerous other factors beyond our control. For instance, several states have passed legislation commonly referred to as Extended Producer Responsibility. These laws are intended to shift the cost of recycling from consumers to producers while also mandating increased supply, which could lead to lower commodity prices. Significant price fluctuations or increased operating costs may affect our consolidated financial condition, results of operations and cash flows.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current volumes and mix of materials, we believe a $10 per ton change in the price of recycled commodities change both annual revenue and operating income by approximately $13 million. Accordingly, a substantial rise or drop in recycled commodity prices could materially affect our revenue and operating income. Although we have entered into hedging agreements to help offset volatility in recycled commodity prices in the past, we do not have any such hedging agreements currently, and we may not enter into these agreements in the future.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Acute and chronic weather events, including those brought about by climate change, may adversely impact our operations and increase the costs of collection, transfer, disposal and other environmental services we provide.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could be adversely impacted by extreme weather events, changing weather patterns and rising mean temperature and sea levels, some of which we are already experiencing. For example, we have operations in multiple states that are affected by hurricanes and/or wildfires, and we have seen the impact of storms and associated flooding or other damage in our day-to-day operations and to our infrastructure. Changing weather patterns and rising temperatures are expected to result in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severe heat waves, fires, storms and other extreme weather events. Any of these factors could increase the volume of material collected or processed under our existing contracts (without corresponding compensation), impede our employees' and equipment's ability to operate, result in asset impairment, disrupt our supply chain, delay the development of landfill capacity, or reduce the volume of material generated by our customers. In addition, while we have business continuity plans in place for severe weather, natural disasters and other emergencies, these events may result in the temporary suspension of our operations, which can significantly affect our operating results in the affected regions during those periods.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The environmental services industry is capital-intensive and our capital expenditures may exceed current expectations, which could require us to obtain additional funding for our operations or impair our ability to grow our business.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ability to remain competitive and to grow our business largely depends on our cash flow from operations and access to capital. If our capital efficiency programs cannot offset the effect of inflation and business growth, it may be necessary to increase the amount we spend. Additionally, as we make acquisitions and further expand our operations, the amount we spend on capital, capping, closure, post-closure, environmental remediation and other items will increase. Our cash needs also will increase if the expenditures for capping, closure, post-closure and remediation activities increase above our current estimates, which may occur over a long period due to changes in federal, state, provincial, or local government requirements and other factors beyond our control. Increases in expenditures would negatively impact our cash flows.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We may be unable to obtain or maintain required permits or to expand existing permitted capacity of our facilities, which could decrease our revenue and increase our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cannot assure you that we will be able to obtain or maintain the permits required for our operations because permits to operate new landfills, transfer stations and other facilities, or to expand the permitted capacity of existing landfills, increase acceptable volume at transfer stations or otherwise increase the capabilities of our facilities, have become more difficult and expensive to obtain and maintain. Permits often take years to obtain as a result of numerous hearings and compliance requirements with regard to zoning, environmental and other regulations. Local communities and citizen groups, adjacent landowners, governmental agencies and others have in the past opposed and may in the future oppose the issuance of a permit or approval we may need, allege violations of the permits under which we currently operate or laws or regulations to which we are subject, or seek to impose liability on us for environmental damage. Such actions could also create risks related to our reputation, which may limit our ability to do business. Responding to these challenges has, at times, increased our costs and extended the time associated with establishing new landfills, transfer stations and other facilities and expanding existing facilities. In addition, failure to receive regulatory and zoning approval may prohibit us from establishing new landfills, transfer stations and other facilities, or expanding existing facilities. Our failure to obtain the required permits to operate our landfills, transfer stations and other facilities could have a material adverse effect on our consolidated financial condition, results of operations and cash flows. In addition, we may have to transport and dispose collected waste at facilities operated by our competitors or haul the waste long distances at a higher cost to one of our other facilities, either of which could significantly increase our waste transportation and disposal costs.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If we do not appropriately estimate landfill capping, closure, post-closure and remediation costs, our consolidated financial condition and results of operations may be adversely affected.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landfill must be closed and capped, and post-closure maintenance commenced, once the landfill's permitted capacity is reached and additional capacity is not authorized. Further, we undertake remediation activities at some of our solid waste facilities. We have significant financial obligations relating to capping, closure, post-closure and remediation costs at our existing owned or operated landfills, and will have material financial obligations with respect to any future owned or operated landfills. We establish accruals for the estimated costs associated with capping, closure, post-closure and remediation obligations. We could underestimate such costs and our financial obligations for capping, closure, post-closure or remediation costs could exceed the amounts accrued or amounts otherwise receivable pursuant to trust funds established for this purpose. Additionally, if a landfill must be closed earlier than expected or its remaining airspace is reduced for any other reason, the accruals for capping, closure, post-closure and remediation could be required to be accelerated. If our capping, closure, post-closure or remediation costs exceed the amounts accrued, or if such accruals are required to be accelerated, this could have a material adverse effect on our consolidated financial condition, results of operations and cash flows.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Alternatives to landfill disposal, and increasing customer preferences for these alternatives, could reduce our disposal volumes and cause our revenues and operating results to decline.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Most of the states in which we operate landfills require counties and municipalities to formulate comprehensive plans to reduce the volume of solid waste deposited in landfills through waste planning, composting, recycling or other programs. Some state and local governments mandate waste reduction at the source and prohibit the disposal of certain types of wastes, such as yard waste, at landfills. Further, many of our customers voluntarily are diverting waste to alternatives to landfill disposal, such as recycling and composting, while also working to reduce the amount of waste they generate. Many of the largest companies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United States are setting zero-waste goals in which they strive to send no waste to landfills and some jurisdictions have enacted or are considering waste reduction regulations such as extended producer responsibility, organic diversion and minimum recycled content regulations. Although such actions help to protect our environment and reduce the impact of waste on climate change, they have reduced, and will in the future reduce, the volume of waste going to landfills and may affect the prices that we can charge for landfill disposal. Accordingly, we may not be able to operate our landfills at their current volumes or charge current prices for landfill disposal services due to possible decreases in demand for such services. If we cannot expand our service offerings and grow lines of business to service waste streams that do not go to landfills and to provide services for customers that wish to reduce waste entirely, this could have a negative effect on our consolidated financial condition, results of operations and cash flows. Further, even if we can develop such service offerings and lines of business, disposal alternatives nonetheless could negatively affect our consolidated financial condition, results of operations and cash flows.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We could incur charges to income, which could be material, if landfill and transfer station site development projects or expansion projects are not completed, or certain other events occur.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accordance with the accounting principles generally accepted in the United States of America (U.S. GAAP), we capitalize certain expenditures relating to the development and expansion of landfills, transfer stations and other projects. If a facility or operation is permanently shut down or determined to be impaired, or a development, expansion or other project is not completed or is determined to be impaired, we will charge against earnings any unamortized capitalized expenditures relating to such facility or project that we are unable to recover through sale, transfer or otherwise. We also carry a significant amount of goodwill on our consolidated balance sheets, which we must assess for impairment annually, and more frequently in the case of certain triggering events. We may incur charges against earnings in accordance with this policy, or other events may cause impairments. Such charges could have a material adverse effect on our results of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The business and assets we operate expose us to safety, operational and other risks, including the risk of personal injury to our employees or third parties.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provision of environmental services, including the operation of our facilities, a substantial fleet of trucks and other environmental services-related assets, involves risks. These risks include, among others, the risk of truck accidents, equipment defects, malfunctions and failures, improper use of dangerous equipment, the release of hazardous substances, fire and explosion, any of which could result in environmental liability, personal injury, loss of life, business interruption or property damage or destruction. While we carry insurance to cover many contingencies, and seek to minimize our exposure to these risks through maintenance, training and compliance programs, any substantial losses could have a material adverse effect on our business, results of operations and financial condition.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We are periodically subject to work stoppages and other workforce effects, which increases our operating costs and disrupts our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approximately 22% of our workforce was covered by collective bargaining agreements. We have experienced interrupted service when our union-represented employees have engaged in strikes and work stoppages in the past, including in 2025, and we would expect the same to occur as a result of any future strikes or work stoppages. When our union-represented employees engage in strikes, work stoppages or other slowdowns, we typically experience disruptions of our operations and increases in our operating costs, which may be significant, and which may have an adverse effect on our consolidated financial condition, results of operations and cash flows. Additional groups of employees may seek union representation in the future which could result in further increased operating costs. If a greater percentage of our workforce becomes union-represented, our consolidated financial condition, results of operations and cash flows could be adversely impacted due to the potential for increased operating costs.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We may not be able to achieve reduction of our greenhouse gas emissions and our other sustainability goals.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Climate change and other sustainability matters are embedded in our core value and vision. As part of our strategic long-term plans to address sustainability, among other sustainability goals, we are committed to reducing our absolute Scope 1 and Scope 2 greenhouse gas emissions 35% by 2030 relative to the 2017 baseline year. The execution of our plans and achievement of our goals are subject to risks and uncertainties, including our ability to develop, obtain, license or scale the innovations, technologies and modeling and measurement tools that may be necessary to achieve our plans and the availability, cost and benefits of materials and infrastructure associated with our sustainability projects, such as our CNG vehicles, fleet electrification, recycling, circularity of key materials, landfill gas-to-energy, solar and other renewable energy projects.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increasing governmental and societal attention to sustainability matters, including expanding mandatory and voluntary reporting in certain jurisdictions, diligence and disclosure on topics such as climate change, waste production, water usage, talent management and risk oversight, could expand the nature, scope and complexity of matters that we are required to control, assess and report. These and other rapidly changing laws, regulations, policies and related interpretations, as well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increased enforcement actions by various governmental and regulatory agencies, create challenges for us. If we are unable to continue to meet these challenges and comply with all laws, regulations, policies and related interpretations, and meet the sustainability values, standards and metrics that we set for ourselves, it could negatively impact our reputation and our business results.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Risks Related to our Legal and Regulatory Environment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We are subject to costly environmental and flow-control regulations and requirements that may affect our operating margins, restrict our operations and subject us to additional liability.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Complying with laws and regulations governing the collection, treatment, storage, transfer and disposal of material, air quality and emissions of greenhouse gases, water quality and the remediation of contamination associated with the release of hazardous substances is costly. Laws and regulations often require us to, among other things, enhance or replace our equipment and to modify landfill operations or initiate final closure of a landfill. We may not be able to implement price increases sufficient to offset the costs of complying with these laws and regulations. In addition, environmental regulatory changes, including those relating to PFAS and other chemicals of emerging concern, could accelerate or increase expenditures for capping, closure, post-closure and environmental and remediation activities at our waste facilities and obligate us to spend sums in addition to those accrued for such purposes, which could have a negative effect on our consolidated financial position, results of operations and cash flows. For example, the EPA in 2024 listed two PFAS as hazardous substances under CERCLA, and has indicated it is considering listing additional PFAS as hazardous substances under CERCLA, which could trigger additional obligations or liabilities under CERCLA or other laws and regulations. Further, under certain municipal and other agreements, we are subject to landfill diversion requirements that if not met, subject us to liquidated damages and other costs and expenses, the result of which could adversely affect our business, reputation and operating margins.</w:t>
      </w:r>
    </w:p>
    <w:p>
      <w:pPr>
        <w:pStyle w:val="TextBody"/>
        <w:bidi w:val="0"/>
        <w:spacing w:lineRule="auto" w:line="288" w:before="100" w:after="283"/>
        <w:jc w:val="left"/>
        <w:rPr/>
      </w:pPr>
      <w:r>
        <w:rPr>
          <w:rFonts w:ascii="Times New Roman;serif" w:hAnsi="Times New Roman;serif"/>
          <w:b w:val="false"/>
          <w:color w:val="000000"/>
          <w:sz w:val="20"/>
        </w:rPr>
        <w:t>Our environmental solutions operations and facilities also are subject to Canadian environmental laws and regulations, including federal and provincial regulations governing the management of hazardous waste, as well as various treaties, laws and regulations governing the ownership, operation and maintenance of maritime vessels used in the business.</w:t>
      </w:r>
      <w:r>
        <w:rPr>
          <w:color w:val="000000"/>
        </w:rPr>
        <w:t xml:space="preserve"> </w:t>
      </w:r>
      <w:r>
        <w:rPr>
          <w:rFonts w:ascii="Times New Roman;serif" w:hAnsi="Times New Roman;serif"/>
          <w:b w:val="false"/>
          <w:color w:val="000000"/>
          <w:sz w:val="20"/>
        </w:rPr>
        <w:t>Our environmental solutions operations are also subject to federal statutes regulating the treatment, storage and disposal of certain radioactive materials.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business is and will continue to be affected by state, county, provincial, or local laws or regulations that restrict the transportation of solid waste across state, county, provincial, or other jurisdictional lines or that direct the flow of waste to a specified facility or facilities. Such laws and regulations could negatively affect our operations, resulting in declines in landfill volumes and increased costs of alternate disposal.</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Regulation of greenhouse gas emissions and other governmental regulations could impose costs on our operations, the magnitude of which is difficult to estimate.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Efforts to curtail the emission of greenhouse gases and to ameliorate the effects of climate change continue to progress. Our landfill operations emit anthropogenic methane, identified as a greenhouse gas, and our vehicle fleet emits, among other things, carbon dioxide, which also is a greenhouse gas. While passage of comprehensive, federal climate change legislation appears unlikely in the near term, we expect any such legislation, if enacted, to impose costs on our operations, which could be material.</w:t>
      </w:r>
    </w:p>
    <w:p>
      <w:pPr>
        <w:pStyle w:val="TextBody"/>
        <w:bidi w:val="0"/>
        <w:spacing w:lineRule="auto" w:line="288" w:before="100" w:after="283"/>
        <w:jc w:val="left"/>
        <w:rPr/>
      </w:pPr>
      <w:r>
        <w:rPr>
          <w:rFonts w:ascii="Times New Roman;serif" w:hAnsi="Times New Roman;serif"/>
          <w:b w:val="false"/>
          <w:color w:val="000000"/>
          <w:sz w:val="20"/>
        </w:rPr>
        <w:t xml:space="preserve">Absent comprehensive federal legislation to control greenhouse gas emissions, the EPA has taken certain actions administratively under its existing Clean Air Act authority. The EPA is compelled to issue rules by the United States Supreme Court's April 2007 </w:t>
      </w:r>
      <w:r>
        <w:rPr>
          <w:rFonts w:ascii="Times New Roman;serif" w:hAnsi="Times New Roman;serif"/>
          <w:b w:val="false"/>
          <w:i/>
          <w:color w:val="000000"/>
          <w:sz w:val="20"/>
        </w:rPr>
        <w:t>Massachusetts v. EPA</w:t>
      </w:r>
      <w:r>
        <w:rPr>
          <w:color w:val="000000"/>
        </w:rPr>
        <w:t xml:space="preserve"> </w:t>
      </w:r>
      <w:r>
        <w:rPr>
          <w:rFonts w:ascii="Times New Roman;serif" w:hAnsi="Times New Roman;serif"/>
          <w:b w:val="false"/>
          <w:color w:val="000000"/>
          <w:sz w:val="20"/>
        </w:rPr>
        <w:t xml:space="preserve">ruling that greenhouse gases are pollutants for purposes of the Clean Air Act and the EPA's December 2009 finding that continued emissions of greenhouse gases endanger human health and welfare. With respect to our light- and heavy-duty vehicle fleet, the EPA has issued regulations limiting greenhouse gas emissions and increasing fuel economy standards. The EPA and the NHTSA periodically issue additional regulations covering additional model years of vehicles, typically increasing the stringency of the relevant vehicle standards, and those rules are frequently challenged in court. For further discussion, see Item 1. </w:t>
      </w:r>
      <w:r>
        <w:rPr>
          <w:rFonts w:ascii="Times New Roman;serif" w:hAnsi="Times New Roman;serif"/>
          <w:b w:val="false"/>
          <w:i/>
          <w:color w:val="000000"/>
          <w:sz w:val="20"/>
        </w:rPr>
        <w:t>Business – Regulation – Federal Regulation – The Clean Air Act</w:t>
      </w:r>
      <w:r>
        <w:rPr>
          <w:rFonts w:ascii="Times New Roman;serif" w:hAnsi="Times New Roman;serif"/>
          <w:b w:val="false"/>
          <w:color w:val="000000"/>
          <w:sz w:val="20"/>
        </w:rPr>
        <w:t xml:space="preserve">, in this Annual Report on Form 10-K. These standards and further federal efforts to curtail greenhouse gas emissions and to increase the fuel efficiency of light-duty and heavy-duty vehicles could have a material adverse effect on our consolidated financial condition, results of operations and cash flows.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With regard to greenhouse gas emissions from our landfills, on July 14, 2016, the EPA issued amendments to its regulations that require large landfills that commenced construction, reconstruction or modification on or after July 17, 2014 to capture additional landfill gas to reduce emissions of methane and certain non-methane gases, which are recognized as greenhouse gases. In a separate action finalized that same day, the EPA issued updates to its 1996 Emission Guidelines to reduce emissions of landfill gas from existing active landfills. The EPA has taken further steps to implement these regulations. These regulations, or an amended version of them that eventually goes into effect, may require our landfills to deploy more stringent emission controls and monitoring systems, with resulting capital or operating costs. The application of these or other greenhouse gas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regulations to our landfills could have a material adverse effect on our landfill operations and on our consolidated financial condition, results of operations and cash flows. We cannot predict what other actions or regulations the current administration may undertake that would affect our industry.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the U.S. state level, California has taken action to require greenhouse gas emission disclosure, as well as information on climate-related financial risks, some of which are subject to legal challenge. Similar bills have been introduced in other U.S. states; to-date, none have passed into law.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Canada, the federal Greenhouse Gas Pollution Pricing Act imposes a carbon pricing system for industry in provinces and territories that have not implemented carbon pricing systems of their own or, in the opinion of the federal government, have implemented carbon pricing systems that do not align with the federal benchmark requirements. This federal system imposed a carbon levy to the sale of fuel (fuel charge) and sets out an output-based pricing system that applies to industrial emitters that meet certain criteria set out in the statute and its regulations, which creates a price incentive for industrial emitters to reduce greenhouse gas emissions by establishing a regulatory trading system for industry. In April 2025, the Canadian federal government effectively eliminated the fuel charge but the output-based pricing system remains. Additionally, the Canadian federal government finalized new Landfill Methane Regulations in December 2025, which are intended to reduce waste sector methane emissions by 42% below 2019 levels by 2030. Both direct and indirect costs associated with compliance with this and other greenhouse gas legislation could have a material adverse effect on our consolidated financial condition, results of operations and cash flows, including material increases to our capital or operating costs related to matters such as infrastructure upgrades or increased fuel costs.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We may incur losses from liabilities that are not covered by our insurance. Changes in insurance markets also may impact our financial results.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may incur liabilities or suffer losses arising from our operations or properties that resulted in harm to the environment, property, employees or the general public. We maintain insurance for these liabilities and losses, including high deductibles for our environmental liability insurance coverage. If we were to incur substantial liability or loss in connection with these contingencies, our insurance coverage may be inadequate to cover such liability or loss. This could have a material adverse effect on our consolidated financial condition, results of operations and cash flows.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Also, due to the variable condition of the insurance market, we have experienced, and may experience in the future, increased insurance retention levels and increased premiums or unavailability of insurance. As we assume more risk for insurance through higher retention levels, we may experience more variability in our insurance reserves and expense.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Despite our efforts, we may incur additional liability under environmental laws in excess of amounts presently known and accrued.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a potentially responsible party at many sites under CERCLA, which provides for the remediation of contaminated facilities and imposes strict, joint and several liability for the cost of remediation on current owners and operators of a facility at which there has been a release or a threatened release of a hazardous substance. CERCLA liability also extends to parties who were site owners and operators at the time hazardous substances were disposed and to persons who arrange for the disposal of such substances at the facility (e.g., generators of the waste and transporters who selected the disposal site). Hundreds of substances are defined as hazardous under CERCLA and their presence, even in minute amounts, can result in substantial liability.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Notwithstanding our efforts to comply with applicable environmental laws, we may have additional liability under environmental laws in excess of our current reserves because, among other things, hazardous substances may be present in waste collected by us or disposed of in our landfills (or in waste collected, transported or disposed of in the past by businesses we have acquired), environmental laws or regulations may change, or there may be adverse environmental conditions that develop or were otherwise previously unknown to us. Environmental liabilities in excess of our current reserves could have a material adverse effect on our consolidated financial position, results of operations and cash flows.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Currently pending or future litigation or governmental proceedings could result in material adverse consequences, including judgments or settlements.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and will continue to be involved in lawsuits, regulatory inquiries and governmental and other legal proceedings. Many of these matters raise complicated factual and legal issues and are subject to uncertainties. The timing of the final resolutions to lawsuits, regulatory inquiries and governmental and other legal proceedings is uncertain. Further, the possible outcomes or resolutions to these matters could include adverse judgments, fines or settlements, any of which could require substantial payments and adversely affect our consolidated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example, we incur costs to defend against litigation brought by government agencies and private parties who allege we are in violation of our permits and applicable environmental laws and regulations, or who assert claims alleging nuisance, environmental damage, personal injury or property damage. As a result, we have in the past been required and may in the future be required to pay fines or judgments or implement corrective measures, or we may have our permits and licenses modified or revoked. A significant judgment against us or settlement, the loss of a significant permit or license, or the imposition of a significant fine could have a material adverse effect on our consolidated financial condition, results of operations and cash flows. We establish accruals for our estimates of the costs associated with lawsuits, regulatory, governmental and other legal proceedings. We could underestimate such accruals. Such shortfalls could result in significant unanticipated charges to income.</w:t>
      </w:r>
    </w:p>
    <w:p>
      <w:pPr>
        <w:pStyle w:val="TextBody"/>
        <w:bidi w:val="0"/>
        <w:spacing w:lineRule="auto" w:line="288" w:before="180" w:after="283"/>
        <w:jc w:val="left"/>
        <w:rPr/>
      </w:pPr>
      <w:r>
        <w:rPr>
          <w:rFonts w:ascii="Times New Roman;serif" w:hAnsi="Times New Roman;serif"/>
          <w:b/>
          <w:i/>
          <w:color w:val="000000"/>
          <w:sz w:val="20"/>
        </w:rPr>
        <w:t>Changes</w:t>
      </w:r>
      <w:r>
        <w:rPr>
          <w:color w:val="000000"/>
        </w:rPr>
        <w:t xml:space="preserve"> </w:t>
      </w:r>
      <w:r>
        <w:rPr>
          <w:rFonts w:ascii="Times New Roman;serif" w:hAnsi="Times New Roman;serif"/>
          <w:b/>
          <w:i/>
          <w:color w:val="000000"/>
          <w:sz w:val="20"/>
        </w:rPr>
        <w:t>to federal renewable fuel policies could affect our financial performance in that sector as a renewable fuel producer and impact our projected future investments.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engaged in 84 landfill gas-to-energy and other renewable energy projects. The production of renewable fuel through certain of these projects is incentivized by the federal Renewable Fuel Standard (RFS) program. Oil refiners and importers are required through the RFS program to blend specified volumes of renewable transportation fuels with gasoline or buy RINs from renewable fuel producers. RIN prices generally respond to administrative actions, decisions and/or regulations from the EPA, including the issuance of an annual renewable volumetric obligation, as well as fluctuations in supply and demand. Changes in the RFS market, the structure of the RFS program or RIN prices and demand may impact the financial performance of the projects developed to capture and treat gas and could impact or alter our projected future investments.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Risks Related to Financial Strategy and Indebtedness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We have substantial indebtedness, which may limit our financial flexibility.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approximately $14 billion in principal value of debt and finance leases outstanding. This amount of indebtedness and our debt service requirements may limit our financial flexibility to access additional capital and make capital expenditures and other investments in our business, to withstand economic downturns and interest rate increases, to plan for or react to changes in our business and our industry and to comply with the financial and other covenants of our debt instruments. Further, our ability to comply with these financial and other covenants may be affected by changes in economic or business conditions or other events that are beyond our control. If we do not comply with these covenants, we may be required to take actions such as reducing or delaying capital expenditures, reducing or eliminating dividends or stock repurchases, selling assets, restructuring or refinancing all or part of our existing debt, or seeking additional equity capital.</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We may be unable to maintain our credit ratings or execute our financial strategy.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ability to execute our financial strategy depends in part on our ability to maintain investment grade ratings on our debt. Our credit ratings depend on a number of factors, many of which are beyond our control, and we may not be able to maintain our investment grade ratings. If we are unable to do so, our interest expense would increase and our ability to obtain financing on favorable terms may be adversely affected.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financial strategy also depends on our ability to generate sufficient cash flow to reinvest in our existing business, fund internal growth, acquire other environmental services businesses, pay dividends, repurchase stock and take other actions to enhance shareholder value. We may not succeed in executing our broad-based pricing initiatives, and we may not generate sufficient cash flow to execute our financial strategy, pay cash dividends at our present rate, or increase them, or be able to continue our share repurchase program.</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Weakness in the United States economy may expose us to credit risk for amounts due from governmental entities, large national accounts, industrial customers and others.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Weakness in the United States economy can reduce the amount of taxes collected by various governmental entities. We provide services to a number of these entities, including numerous municipalities. These governmental entities may suffer financial difficulties resulting from a decrease in tax revenue and may ultimately be unable or unwilling to pay amounts owed to us. In addition, weakness in the economy may cause other customers, including our large national accounts, or industrial or other environmental services clients, to suffer financial difficulties and ultimately to be unable or unwilling to pay amounts owed to us. This could negatively impact our consolidated financial condition, results of operations and cash flows.</w:t>
      </w:r>
    </w:p>
    <w:p>
      <w:pPr>
        <w:pStyle w:val="TextBody"/>
        <w:bidi w:val="0"/>
        <w:spacing w:lineRule="auto" w:line="288" w:before="180" w:after="283"/>
        <w:jc w:val="left"/>
        <w:rPr/>
      </w:pPr>
      <w:r>
        <w:rPr>
          <w:rFonts w:ascii="Times New Roman;serif" w:hAnsi="Times New Roman;serif"/>
          <w:b/>
          <w:i/>
          <w:color w:val="000000"/>
          <w:sz w:val="20"/>
        </w:rPr>
        <w:t>Our consolidated financial statements are based on estimates and assumptions that may differ from actual results.</w:t>
      </w:r>
      <w:r>
        <w:rPr>
          <w:color w:val="000000"/>
        </w:rPr>
        <w:t xml:space="preserve"> </w:t>
      </w:r>
      <w:r>
        <w:rPr>
          <w:rFonts w:ascii="Times New Roman;serif" w:hAnsi="Times New Roman;serif"/>
          <w:b/>
          <w:i/>
          <w:color w:val="000000"/>
          <w:sz w:val="20"/>
        </w:rPr>
        <w:t>The liabilities we record based on such estimates and assumptions may not be adequate to cover the costs we ultimately will face.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consolidated financial statements have been prepared in accordance with U.S. GAAP and necessarily include amounts based on management's estimates. Actual results may differ from these amounts. Significant items requiring management to make subjective or complex judgments that are inherently uncertain include the recoverability of long-lived assets, the depletion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and amortization of landfill development costs, accruals for final capping, closure and post-closure costs, valuation allowances for accounts receivable and deferred tax assets, liabilities for potential litigation, claims and assessments and liabilities for environmental remediation, multiemployer pension plans, employee benefit plans, deferred taxes, uncertain tax positions, insurance and our estimates of the fair values of assets acquired and liabilities assumed in any acquisition. The liabilities recorded for items such as these may not be adequate to cover the costs we ultimately will face.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Our obligation to fund multiemployer pension plans to which we contribute, or our withdrawal from such plans, may have an adverse effect on us.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participate in multiemployer pension plans that generally provide retirement benefits to participants of contributing employers. We do not administer these plans and generally are not represented on the boards of trustees of these plans. The Pension Protection Act enacted in 2006 (the PPA) requires under-funded pension plans to improve their funding ratios. Based on the information available to us, we believe that some of the multiemployer plans to which we contribute are either critical or endangered as those terms are defined in the PPA. We cannot presently determine the amount of additional funding, if any, we may be required to make to these plans. However, plan assessments could have a material adverse effect on our results of operations or cash flows for a given period.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Further, under current law, upon the termination of a multiemployer pension plan, or in the event of a withdrawal by us (which we consider from time to time) or a mass withdrawal of contributing employers (each, a Withdrawal Event), we would be required to make payments to the plan for our proportionate share of the plan's unfunded vested liabilities. We cannot assure you that there will not be a Withdrawal Event with respect to any of the multiemployer pension plans to which we contribute or that, in the event of such a Withdrawal Event, the amounts we would be required to contribute would not have a material adverse effect on our consolidated financial condition, results of operations and cash flows.</w:t>
      </w:r>
    </w:p>
    <w:p>
      <w:pPr>
        <w:pStyle w:val="TextBody"/>
        <w:bidi w:val="0"/>
        <w:spacing w:lineRule="auto" w:line="288" w:before="100" w:after="283"/>
        <w:jc w:val="left"/>
        <w:rPr/>
      </w:pPr>
      <w:r>
        <w:rPr>
          <w:rFonts w:ascii="Times New Roman;serif" w:hAnsi="Times New Roman;serif"/>
          <w:b w:val="false"/>
          <w:color w:val="000000"/>
          <w:sz w:val="20"/>
        </w:rPr>
        <w:t xml:space="preserve">For additional discussion and detail regarding multiemployer pension plans see Note 12, </w:t>
      </w:r>
      <w:r>
        <w:rPr>
          <w:rFonts w:ascii="Times New Roman;serif" w:hAnsi="Times New Roman;serif"/>
          <w:b w:val="false"/>
          <w:i/>
          <w:color w:val="000000"/>
          <w:sz w:val="20"/>
        </w:rPr>
        <w:t xml:space="preserve">Employee Benefit Plans, </w:t>
      </w:r>
      <w:r>
        <w:rPr>
          <w:rFonts w:ascii="Times New Roman;serif" w:hAnsi="Times New Roman;serif"/>
          <w:b w:val="false"/>
          <w:color w:val="000000"/>
          <w:sz w:val="20"/>
        </w:rPr>
        <w:t>of the notes to our audited consolidated financial statements in Part II, Item 8 of this Annual Report on Form 10-K.</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Risks Related to Our Growth Strategy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We may be unable to manage our growth effectively.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growth strategy places significant demands on our financial, operational and management resources. To continue our growth, we may need to add administrative, managerial and other personnel, and may need to make additional investments in operations and systems. We may not be able to find and train qualified personnel, or do so on a timely basis, or to expand or otherwise modify our operations and systems to the extent, and in the time, required.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We may be unable to execute our acquisition growth strategy.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ability to execute our growth strategy depends in part on our ability to identify and acquire desirable acquisition candidates and on our ability to successfully integrate acquired operations into our business. The integration of our operations with those of acquired companies may present significant challenges to our management. In addition, competition for acquisition candidates may prevent us from acquiring certain acquisition candidates. Thus, we cannot assure you that: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desirable acquisition candidates exist or will be identified;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will be able to acquire any of the candidates identified;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will effectively integrate and manage companies we acquire;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acquisitions will be profitable or accretive to our earnings.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If any of these factors force us to alter our growth strategy, our growth prospects could be adversely affected.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Businesses we acquire may have undisclosed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due diligence investigations of acquisition candidates may fail to discover certain undisclosed liabilities. If we acquire a company with undisclosed liabilities such as environmental, remediation or contractual liabilities, as a successor owner we may be responsible for such undisclosed liabilities. We try to minimize our exposure to such liabilities by conducting due diligence, by obtaining indemnification from each seller of the acquired companies, by deferring payment of a portion of the purchase price as security for the indemnification, by obtaining representations and warranties insurance and by acquiring only specified assets. However, we may not be able to obtain indemnification, insurance coverage or other security, and such indemnification, insurance coverage or other security obtained may not be enforceable, collectible or sufficient in amount, scope or duration to fully offset any undisclosed liabilities arising from our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Risks Related to Technology and Intellectual Property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Our strategy includes an increasing dependence on technology, including the use of artificial intelligence (AI), in our operations. If any of our key technology fails, our business could be adversely affected.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are increasingly dependent on technology, including AI and machine learning tools that we deploy or that are embedded in systems provided by third parties. Our information technology systems are critical to our ability to drive profitable growth through differentiation, continue the implementation of standardized processes and deliver a consistent customer experience. One of our three differentiating capabilities is to enable our customers to do business with us through more channels and with better access to information and, accordingly, we have made substantial investment in our e-commerce platform. Problems with the operation of the information or communication technology systems we use could adversely affect, or temporarily disable, all or a portion of our operations. Inabilities and delays in implementing new systems can also affect our ability to realize projected or expected revenue or cost savings. AI models and tools can produce inaccurate, biased, or inconsistent outputs and may rely on third-party content or training data for which we do not have sufficient rights. Further, any systems failures could impede our ability to timely collect and report financial results in accordance with applicable laws.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Emerging technologies, including those that are used to recycle and process waste as an alternative to disposal of waste in landfills, represent risks, as well as opportunities, to our current business model. The costs associated with developing or investing in emerging technologies, particularly data-intensive and compute-intensive AI applications, could require substantial capital and adversely affect our results of operations and cash flows. Delays in the development or implementation of such emerging technologies and difficulties in marketing new products or services based on emerging technologies could have similar negative impacts. Our financial results may suffer if we are not able to develop or license emerging technologies, or if a competitor obtains exclusive rights to an emerging technology that disrupts the current methods used in the environmental services industry.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 significant cybersecurity incident could negatively impact our business and our relationships with employees, customers and vendors and expose us to increased liability.</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use information technology and operational technology assets, including computer and information networks and artificial intelligence technologies and services in substantially all aspects of our business operations. We also use mobile devices, social networking and other online activities to connect with our employees, customers and vendors. Such uses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us and our business partners. We also rely on a Payment Card Industry compliant third party to protect our customers’ credit card information. In connection with our strategy to grow through acquisitions and to pursue new initiatives that improve our operations and cost structure, we are also expanding and improving our information technologies, resulting in a larger technological presence and corresponding exposure to cybersecurity risk. If we fail to assess and identify cybersecurity threats associated with acquisitions and new initiatives, we may become increasingly vulnerable to such threats. Additionally, while we have implemented measures to prevent security breaches and cyber incidents, like many companies we have periodically experienced cyber incidents, and our preventive measures and incident response efforts may not be entirely effective. Also, the regulatory environment surrounding information security and privacy is increasingly demanding, with the frequent imposition of new and constantly changing requirements. This changing regulatory landscape may cause increasingly complex compliance challenges, which may increase our compliance costs. Any failure to comply with these changing security and privacy laws and regulations could result in significant penalties, fines, legal challenges and reputational harm.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Other Risks Relevant to Our Business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Price increases may not be adequate to offset the effect of increased costs and may cause us to lose volume and customers.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seek to secure price increases necessary to offset increased costs, improve our operating margins and earn an appropriate return on our substantial investments in assets such as our landfills. From time to time, our competitors reduce their prices in an effort to expand their market share. Contractual, general economic or market-specific conditions also may limit our ability to raise prices. For example, many of our contracts have price adjustment provisions that are tied to an index such as the consumer price index. Particularly in a weak or volatile United States economy, our costs may increase in excess of the increase, if any, in the consumer price index. This may continue to be the case even when the United States economy recovers because a recovery in the environmental services industry historically has lagged behind a recovery in the general economy. As a result, we may be unable to offset increases in costs, improve our operating margins and obtain adequate investment returns through price increases. Price increases also might cause us to lose volume to lower-cost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The loss of key personnel or the inability to attract, hire or retain key team members and a high-quality workforce could have a material adverse effect on our consolidated financial condition, results of operations, cash flows and growth prospects.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future success depends on the continued contributions of several key employees and officers. The loss of the services of key employees and officers, whether through resignation or other causes, or the inability to attract additional qualified personnel, could have a material adverse effect on our consolidated financial condition, results of operations, cash flows and growth prospects. In some of our markets, we compete with other similar businesses which may drive labor costs or reduce the amount of available qualified personnel.</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The introduction of new accounting rules, laws or regulations could adversely impact our reported results of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Complying with new accounting rules, laws or regulations, such as, for example, those related to our asset retirement obligations and environmental liabilities, could adversely impact our results of operations or cause unanticipated fluctuations in our results of operations or financial conditions in future periods.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Weakened or volatile economic conditions have and may continue to harm our industry, business and results of operations.</w:t>
      </w:r>
    </w:p>
    <w:p>
      <w:pPr>
        <w:pStyle w:val="TextBody"/>
        <w:bidi w:val="0"/>
        <w:spacing w:lineRule="auto" w:line="288" w:before="100" w:after="283"/>
        <w:jc w:val="left"/>
        <w:rPr/>
      </w:pPr>
      <w:r>
        <w:rPr>
          <w:rFonts w:ascii="Times New Roman;serif" w:hAnsi="Times New Roman;serif"/>
          <w:b w:val="false"/>
          <w:color w:val="000000"/>
          <w:sz w:val="20"/>
        </w:rPr>
        <w:t>Our business is directly affected by changes in local, national, global and general economic factors and overall economic activity that are outside of our control, including changes in governmental monetary policies, tariffs and international trade restrictions, consumer confidence, slowing economic growth, inflation, pandemics, supply chain issues and interest ra</w:t>
      </w:r>
      <w:r>
        <w:rPr>
          <w:rFonts w:ascii="Times New Roman;serif" w:hAnsi="Times New Roman;serif"/>
          <w:b w:val="false"/>
          <w:color w:val="000000"/>
          <w:sz w:val="20"/>
          <w:shd w:fill="FFFFFF" w:val="clear"/>
        </w:rPr>
        <w:t xml:space="preserve">tes. In recent years, for example, inflation, the Ukraine-Russia conflict, </w:t>
      </w:r>
      <w:r>
        <w:rPr>
          <w:rFonts w:ascii="Times New Roman;serif" w:hAnsi="Times New Roman;serif"/>
          <w:b w:val="false"/>
          <w:color w:val="000000"/>
          <w:sz w:val="20"/>
        </w:rPr>
        <w:t>United States</w:t>
      </w:r>
      <w:r>
        <w:rPr>
          <w:rFonts w:ascii="Times New Roman;serif" w:hAnsi="Times New Roman;serif"/>
          <w:b w:val="false"/>
          <w:color w:val="000000"/>
          <w:sz w:val="20"/>
          <w:shd w:fill="FFFFFF" w:val="clear"/>
        </w:rPr>
        <w:t>-China relations, the Israel-Gaza conflict, monetary policy changes, and the resulting increases in interest rates have negatively impacted the economy, disrupted supply chains and created significant volatility and disruption of financial markets. In particular, disruption of the labor market and supply chains related to vehicles, especially trucks and the mechanical and electrical components necessary to service them, negatively impacts our ability to provide services. A weak or volatile economy may result in decrea</w:t>
      </w:r>
      <w:r>
        <w:rPr>
          <w:rFonts w:ascii="Times New Roman;serif" w:hAnsi="Times New Roman;serif"/>
          <w:b w:val="false"/>
          <w:color w:val="000000"/>
          <w:sz w:val="20"/>
        </w:rPr>
        <w:t>ses in volumes, which adversely affects our revenues. In addition, we have certain fixed costs (e.g., facility expense associated with long-term leases, depreciation expense and accretion expense), which may be difficult to adjust quickly to match declining volume levels. Consumer uncertainty and the loss of consumer confidence may decrease overall economic activity and thereby limit the amount of services we provide. Additionally, a decline in volumes may result in increased competitive pricing pressure and increased customer turnover, resulting in lower revenue and increased operating costs. Operating in an environment of worsening economic conditions could have a material adverse effect on our consolidated financial condition, results of operations and cash flows. Further, recovery in the environmental services industry historically has lagged behind recovery in the general economy. Accordingly, we cannot assure you that an improvement in general economic conditions will result in an immediate, or any, improvement in our consolidated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pPr>
      <w:r>
        <w:rPr>
          <w:rFonts w:ascii="Times New Roman;serif" w:hAnsi="Times New Roman;serif"/>
          <w:b/>
          <w:color w:val="000000"/>
          <w:sz w:val="20"/>
        </w:rPr>
        <w:t>ITEM 1B.</w:t>
      </w:r>
      <w:r>
        <w:rPr>
          <w:color w:val="000000"/>
        </w:rPr>
        <w:t xml:space="preserve"> </w:t>
      </w:r>
      <w:r>
        <w:rPr>
          <w:rFonts w:ascii="Times New Roman;serif" w:hAnsi="Times New Roman;serif"/>
          <w:b/>
          <w:color w:val="000000"/>
          <w:sz w:val="20"/>
        </w:rPr>
        <w:t>UNRESOLVED STAFF COMMENTS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Republic’s technology and cybersecurity programs are crucial to maintaining secure operations, which enable us to deliver on our promise to customers and maintain stakeholder trust. Our Cybersecurity organization, led by our Chief Information Security Officer (CISO), is responsible for establishing, implementing and executing our cybersecurity program and strategy. Our CISO has over 20 years of information technology, information technology audit, and cybersecurity experience, and is involved in assessing the latest developments in cybersecurity, including potential threats and innovative risk management techniques.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cybersecurity program is a critical component of our enterprise risk management process overseen by our Board of Directors, and we have integrated cybersecurity-related risks into our overall enterprise risk management framework. Additionally, cybersecurity-related risks are included in the risk universe that the risk management function evaluates to assess top risks to the enterprise on an annual basis.</w:t>
      </w:r>
    </w:p>
    <w:p>
      <w:pPr>
        <w:pStyle w:val="TextBody"/>
        <w:bidi w:val="0"/>
        <w:spacing w:lineRule="auto" w:line="276"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Cybersecurity organization proactively identifies, manages, and mitigates cyber risk in a variety of ways, including but not limited to: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 formal enterprise-wide cybersecurity policy and related standards;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b.Cybersecurity training and employee phishing simulations;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c.Scheduled and ad hoc internal and external penetration tests;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d.Cyber incident response, IT disaster recovery, and business continuity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e.Operational technology assessments, testing, and incident response;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f.Assessing and securing artificial intelligence (AI) enabled services and technologies;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g.Cybersecurity assessments and remediation planning as part of our M&amp;A due diligence process;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h.Identity and access management controls;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i.Third-party risk assessment and management for vendors and third-party service providers; and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j.Cyber incident tabletop exercises for our Board of Directors and management.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primary element of our cybersecurity program is the implementation of controls that are aligned with industry guidelines and applicable regulations to identify threats, deter attacks, and protect our information security assets. We have procedures in place for selecting and managing our relationships with third-party service providers and other business partners, including to monitor compliance with our agreements and regulatory and legal requirements. We also actively engage with industry participants and intelligence and law enforcement communities as part of our continuing efforts to evaluate and enhance the effectiveness of our information security policies and procedures.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cybersecurity program is designed based on the concepts of control maturity and control efficacy. For control maturity, our cybersecurity program is aligned to the National Institute of Standards and Technology Cybersecurity Framework (NIST CSF) and is assessed annually by an independent third party against our yearly control maturity targets in the context of current cyber threat and industry trends. The NIST CSF assessment results are used to validate the progress made against the current year maturity targets, inform the program’s strategic priorities and establish maturity targets for the following year. These assessment results are provided to our Audit Committee and our Board of Directors on an annual basis.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control efficacy, the cybersecurity program leverages a variety of metrics and measurements to demonstrate whether the control objectives are being consistently achieved within the target range. Monthly security operation (SecOps) reviews are utilized to monitor metric trends and root causes to determine potential capability improvements. The monthly SecOps reviews and related actions are aggregated into a subset of key metrics reviewed quarterly by the Audit Committee.</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 xml:space="preserve">Cybersecurity Governance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Audit Committee oversees the management of our cybersecurity risk exposures and the steps management has taken to monitor and control such exposures. At each quarterly meeting, the Audit Committee receives an update from our CISO and other members of management on relevant topics, including cybersecurity program maturity progress, new capabilities implemented, penetration testing results, key cyber risk metrics (e.g., simulated phishing testing and vulnerability management) and notable incidents or events should they occur. On an annual basis, our Board of Directors meets with our CISO and our third-party cybersecurity consultant to review our cybersecurity strategy and the results of our consultant's NIST CSF assessment. In accordance with our cybersecurity incident response plan, our Board is promptly informed of potentially material cybersecurity incidents, including with respect to our third-party service providers.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Although we have experienced cybersecurity incidents from time to time that have not had a material adverse effect on our business, financial condition, or results of operations, there can be no assurance that a cyber-attack, security breach, or other cybersecurity incident will not have a material adverse effect on us in the future. For a discussion regarding risks from cybersecurity threats that have affected or are reasonably likely to affect the company, see our risk factors, including the risk factors titled “Our strategy includes an increasing dependence on technology, including the use of artificial intelligence (AI), in our operations. If any of our key technology fails, our business could be adversely affected.” and “A significant cybersecurity incident could negatively impact our business and our relationships with employees, customers and vendors and expose us to increased liability." in Item 1A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2.PROPERTIES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corporate office is located at 5353 East City North Drive, Phoenix, Arizona 85054, where we lease approximately 250,000 square feet of office space.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principal property and equipment consists of land, landfills, buildings, vehicles and equipment. We own or lease real property in the United States and Canada where we conduct operations. As of December 31, 2025, we operated across the United States and Canada through 377 collection operations, 255 transfer stations, 79 recycling centers, 207 active landfills, 2 treatment, recovery and disposal facilities, 24 TSDFs, 5 salt water disposal wells, 15 deep injection wells, 9 industrial wastewater treatment facilities, and 2 polymer centers. In the aggregate, our active solid waste landfills total 118,918 acres, including 41,158 permitted acres. We are engaged in 84 landfill gas-to-energy and other renewable energy projects and had post-closure responsibility for 124 closed landfills. We believe that our property and equipment are adequate for our current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3.LEGAL PROCEEDINGS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General Legal Proceedings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subject to extensive and evolving laws and regulations and have implemented safeguards to respond to regulatory requirements. In the normal course of our business, we become involved in legal proceedings. Some may result in fines, penalties or judgments against us, or settlements, which may impact earnings and cash flows for a particular period. Although we cannot predict the ultimate outcome of any legal matter with certainty, we do not believe the outcome of any of our pending legal proceedings will have a material adverse effect on our consolidated financial position, results of operations or cash flows.</w:t>
      </w:r>
    </w:p>
    <w:p>
      <w:pPr>
        <w:pStyle w:val="TextBody"/>
        <w:bidi w:val="0"/>
        <w:spacing w:lineRule="auto" w:line="288" w:before="100" w:after="283"/>
        <w:jc w:val="left"/>
        <w:rPr/>
      </w:pPr>
      <w:r>
        <w:rPr>
          <w:rFonts w:ascii="Times New Roman;serif" w:hAnsi="Times New Roman;serif"/>
          <w:b w:val="false"/>
          <w:color w:val="000000"/>
          <w:sz w:val="20"/>
        </w:rPr>
        <w:t xml:space="preserve">As used in the immediately following paragraph, the term </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color w:val="000000"/>
          <w:sz w:val="20"/>
        </w:rPr>
        <w:t xml:space="preserve">refers to litigation and similar claims against us and our subsidiaries, excluding: (1) ordinary course accidents, general commercial liability and workers' compensation claims, which are covered by insurance programs, subject to customary deductibles, and which, together with self-insured employee health care costs, are discussed in Note 7, </w:t>
      </w:r>
      <w:r>
        <w:rPr>
          <w:rFonts w:ascii="Times New Roman;serif" w:hAnsi="Times New Roman;serif"/>
          <w:b w:val="false"/>
          <w:i/>
          <w:color w:val="000000"/>
          <w:sz w:val="20"/>
        </w:rPr>
        <w:t xml:space="preserve">Other Liabilities, </w:t>
      </w:r>
      <w:r>
        <w:rPr>
          <w:rFonts w:ascii="Times New Roman;serif" w:hAnsi="Times New Roman;serif"/>
          <w:b w:val="false"/>
          <w:color w:val="000000"/>
          <w:sz w:val="20"/>
        </w:rPr>
        <w:t xml:space="preserve">to our audited consolidated financial statements in Part II, Item 8 of this Annual Report on Form 10-K; and (2) environmental remediation liabilities, which totaled $443 million at December 31, 2025 and which are discussed in Note 8, </w:t>
      </w:r>
      <w:r>
        <w:rPr>
          <w:rFonts w:ascii="Times New Roman;serif" w:hAnsi="Times New Roman;serif"/>
          <w:b w:val="false"/>
          <w:i/>
          <w:color w:val="000000"/>
          <w:sz w:val="20"/>
        </w:rPr>
        <w:t>Landfill and Environmental Costs,</w:t>
      </w:r>
      <w:r>
        <w:rPr>
          <w:color w:val="000000"/>
        </w:rPr>
        <w:t xml:space="preserve"> </w:t>
      </w:r>
      <w:r>
        <w:rPr>
          <w:rFonts w:ascii="Times New Roman;serif" w:hAnsi="Times New Roman;serif"/>
          <w:b w:val="false"/>
          <w:color w:val="000000"/>
          <w:sz w:val="20"/>
        </w:rPr>
        <w:t>to our audited consolidated financial statements in Part II, Item 8 of this Annual Report on Form 10-K</w:t>
      </w:r>
      <w:r>
        <w:rPr>
          <w:rFonts w:ascii="Times New Roman;serif" w:hAnsi="Times New Roman;serif"/>
          <w:b w:val="false"/>
          <w:i/>
          <w:color w:val="000000"/>
          <w:sz w:val="20"/>
        </w:rPr>
        <w: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accrue for legal proceedings when losses become probable and reasonably estimable. As of the end of each applicable reporting period, we review each of our legal proceedings and, where it is probable that a liability has been incurred, we accrue for all probable and reasonably estimable losses. Where we can reasonably estimate a range of losses we may incur regarding such a matter, we record an accrual for the amount within the range that constitutes our best estimate. If we can reasonably estimate a range but no amount within the range appears to be a better estimate than any other, we use the amount that is the low end of such range. As of December 31, 2025, we estimate that the probable and reasonably estimable outcomes of any such legal proceedings, as well as the aggregate potential liability using reasonably possible high ends of our ranges, are immaterial to the Company's consolidated financial statements.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Legal Proceedings over Certain Environmental Matters Involving Governmental Authorities with Possible Sanctions of $1,000,000 or More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Item 103 of the SEC's Regulation S-K requires disclosure of certain environmental matters when a governmental authority is a party to the proceedings and the proceedings involve potential monetary sanctions unless we reasonably believe the monetary sanctions will not equal or exceed a threshold which we determine is reasonably designed to result in disclosure of any such proceeding that is material to our business or financial condition. We have determined such disclosure threshold to be $1,000,000. We have no matters to disclose in accordance with that requirement.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5.MARKET FOR REGISTRANT'S COMMON EQUITY, RELATED STOCKHOLDER MATTERS AND ISSUER PURCHASES OF EQUITY SECURITIES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Market Information, Holders and Dividends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principal market for our common stock is the New York Stock Exchange, and it is traded under the symbol RSG.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There were 440 holders of record of our common stock at February 10, 2026, which does not include beneficial owners for whom Cede &amp; Co. or others act as nominees.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October 2025, our Board of Directors declared a regular quarterly dividend of $0.625 per share for shareholders of record on January 2, 2026. We expect to continue to pay quarterly cash dividends, and we may consider increasing our dividends if we believe it will enhance shareholder value.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the ability under our credit facilities to pay dividends and repurchase our common stock if we are in compliance with the financial covenants in our credit facilities. As of December 31, 2025, we were in compliance with those financial covenants.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relating to our purchases of shares of our common stock during the three months ended December 31, 2025:</w:t>
      </w:r>
    </w:p>
    <w:tbl>
      <w:tblPr>
        <w:tblW w:w="10205" w:type="dxa"/>
        <w:jc w:val="left"/>
        <w:tblInd w:w="0" w:type="dxa"/>
        <w:tblLayout w:type="fixed"/>
        <w:tblCellMar>
          <w:top w:w="28" w:type="dxa"/>
          <w:left w:w="28" w:type="dxa"/>
          <w:bottom w:w="28" w:type="dxa"/>
          <w:right w:w="28" w:type="dxa"/>
        </w:tblCellMar>
      </w:tblPr>
      <w:tblGrid>
        <w:gridCol w:w="522"/>
        <w:gridCol w:w="428"/>
        <w:gridCol w:w="413"/>
        <w:gridCol w:w="621"/>
        <w:gridCol w:w="563"/>
        <w:gridCol w:w="565"/>
        <w:gridCol w:w="109"/>
        <w:gridCol w:w="109"/>
        <w:gridCol w:w="109"/>
        <w:gridCol w:w="331"/>
        <w:gridCol w:w="1133"/>
        <w:gridCol w:w="172"/>
        <w:gridCol w:w="109"/>
        <w:gridCol w:w="109"/>
        <w:gridCol w:w="109"/>
        <w:gridCol w:w="896"/>
        <w:gridCol w:w="896"/>
        <w:gridCol w:w="897"/>
        <w:gridCol w:w="109"/>
        <w:gridCol w:w="109"/>
        <w:gridCol w:w="109"/>
        <w:gridCol w:w="221"/>
        <w:gridCol w:w="1400"/>
        <w:gridCol w:w="166"/>
      </w:tblGrid>
      <w:tr>
        <w:trPr/>
        <w:tc>
          <w:tcPr>
            <w:tcW w:w="5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w:t>
              <w:br/>
              <w:t>of Shares 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w:t>
              <w:br/>
              <w:t>per Share (a)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 as</w:t>
              <w:br/>
              <w:t>Part of Publicly</w:t>
              <w:br/>
              <w:t>Announced Program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Dollar Value of </w:t>
              <w:br/>
              <w:t>Shares that May Yet</w:t>
              <w:br/>
              <w:t> Be Purchased Under</w:t>
              <w:br/>
              <w:t> the Program (c) (d)</w:t>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October 1 – 31</w:t>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678,563 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678,563 </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1,774,604,691 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November 1 – 30</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1,666,544,939 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December 1 – 31</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1,656,134,454 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1,253,563 </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1,253,563 </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(a)In October 2023, our Board of Directors approved a $3 billion share repurchase authorization effective January 1, 2024 and extending through December 31, 2026. Share repurchases under the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As of December 31, 2025, there were no repurchased shares pending settlement.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(b)The total number of shares purchased as part of the publicly announced program were all purchased pursuant to the October 2023 authorization.</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(c)Shares that may be purchased under the program exclude shares of common stock that may be surrendered to satisfy statutory minimum tax withholding obligations in connection with the vesting of restricted stock units and performance stock units issued to employees.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(d)Excludes a 1% excise tax imposed by the Inflation Reduction Act.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There were no sales of unregistered securities during the three months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performance of our common stock to the Standard &amp; Poor’s 500 Stock Index (S&amp;P 500 Index) and the Dow Jones Waste &amp; Disposal Services Index (DJ W&amp;DS Index). The graph covers the period from December 31, 2020 to December 31, 2025 and assumes that the value of the investment in our common stock and in each index was $100 as of December 31, 2020 and that all dividends were reinvested.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performance graph and related information shall not be deemed "soliciting material" or to be "filed" with the SEC, nor shall such information be incorporated by reference into any future filing under the Securities Act of 1933 or the Securities Exchange Act of 1934, each as amended, except to the extent that we specifically incorporate it by reference into such filing. </w:t>
      </w:r>
    </w:p>
    <w:p>
      <w:pPr>
        <w:pStyle w:val="TextBody"/>
        <w:bidi w:val="0"/>
        <w:spacing w:before="180" w:after="283"/>
        <w:jc w:val="center"/>
        <w:rPr/>
      </w:pPr>
      <w:r>
        <w:rPr/>
        <w:drawing>
          <wp:inline distT="0" distB="0" distL="0" distR="0">
            <wp:extent cx="6486525" cy="3714750"/>
            <wp:effectExtent l="0" t="0" r="0" b="0"/>
            <wp:docPr id="3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 descr=""/>
                    <pic:cNvPicPr>
                      <a:picLocks noChangeAspect="1" noChangeArrowheads="1"/>
                    </pic:cNvPicPr>
                  </pic:nvPicPr>
                  <pic:blipFill>
                    <a:blip r:embed="rId2"/>
                    <a:stretch>
                      <a:fillRect/>
                    </a:stretch>
                  </pic:blipFill>
                  <pic:spPr bwMode="auto">
                    <a:xfrm>
                      <a:off x="0" y="0"/>
                      <a:ext cx="6486525" cy="3714750"/>
                    </a:xfrm>
                    <a:prstGeom prst="rect">
                      <a:avLst/>
                    </a:prstGeom>
                  </pic:spPr>
                </pic:pic>
              </a:graphicData>
            </a:graphic>
          </wp:inline>
        </w:drawing>
      </w:r>
      <w:bookmarkStart w:id="0" w:name="i-1"/>
      <w:bookmarkEnd w:id="0"/>
    </w:p>
    <w:tbl>
      <w:tblPr>
        <w:tblW w:w="8376" w:type="dxa"/>
        <w:jc w:val="center"/>
        <w:tblInd w:w="0" w:type="dxa"/>
        <w:tblLayout w:type="fixed"/>
        <w:tblCellMar>
          <w:top w:w="28" w:type="dxa"/>
          <w:left w:w="28" w:type="dxa"/>
          <w:bottom w:w="28" w:type="dxa"/>
          <w:right w:w="28" w:type="dxa"/>
        </w:tblCellMar>
      </w:tblPr>
      <w:tblGrid>
        <w:gridCol w:w="716"/>
        <w:gridCol w:w="630"/>
        <w:gridCol w:w="634"/>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9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Indexed Returns for the Years Ended December 31,</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DJ W&amp;DS Index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Note: Prepared by Zacks Investment Research, Inc. Used with permission. All rights reserved. Copyright 1980-2025.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Index data: Copyright Standard and Poor's, Inc. Used with permission. All rights reserved.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Index data: Copyright Dow Jones, Inc. Used with permission. All rights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6.[RESERVED]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7.MANAGEMENT’S DISCUSSION AND ANALYSIS OF FINANCIAL CONDITION AND RESULTS OF OPERATIONS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in conjunction with our audited consolidated financial statements and the notes thereto included in Part II, Item 8 of this Annual Report on Form 10-K. This discussion may contain forward-looking statements that anticipate results that are subject to uncertainty. We discuss in more detail various factors that could cause actual results to differ from expectations in Part I, Item 1A, Risk Factors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pPr>
      <w:r>
        <w:rPr>
          <w:rFonts w:ascii="Times New Roman;serif" w:hAnsi="Times New Roman;serif"/>
          <w:b w:val="false"/>
          <w:color w:val="000000"/>
          <w:sz w:val="20"/>
        </w:rPr>
        <w:t xml:space="preserve">For further discussion regarding our results of operations for the year ended December 31, 2024 as compared to the year ended December 31, 2023, refer to Part II, Item 7.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xml:space="preserve">, in our Annual Report on </w:t>
      </w:r>
      <w:hyperlink r:id="rId3">
        <w:r>
          <w:rPr>
            <w:rStyle w:val="InternetLink"/>
            <w:rFonts w:ascii="Times New Roman;serif" w:hAnsi="Times New Roman;serif"/>
            <w:b w:val="false"/>
            <w:color w:val="0000FF"/>
            <w:sz w:val="20"/>
            <w:u w:val="single"/>
          </w:rPr>
          <w:t>Form 10-K for the fiscal year ended December 31, 2024</w:t>
        </w:r>
      </w:hyperlink>
      <w:r>
        <w:rPr>
          <w:rFonts w:ascii="Times New Roman;serif" w:hAnsi="Times New Roman;serif"/>
          <w:b w:val="false"/>
          <w:color w:val="000000"/>
          <w:sz w:val="20"/>
        </w:rPr>
        <w:t xml:space="preserve">.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2026 Financial Guidance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2026, we will focus on pricing in excess of cost inflation, driving profitable volume growth, investing in sustainability to improve the environment and drive growth, investing in value-creating acquisitions and advancing technology to improve productivity and increase customer retention. Specific guidance follows: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revenue to be in the range of $17.050 billion to $17.150 billion. We expect growth from average yield on total revenue to be in a range of 3.2% to 3.7% and related revenue to be in a range of 4.0% to 4.5%. We expect the impact from volume on total revenue to be approximately (1.0)%. </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Adjusted Diluted Earnings per Share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anticipated adjusted diluted earnings per share for the year ending December 31, 2026 compared to the actual adjusted diluted earnings per share for the year ended December 31, 2025. Adjusted diluted earnings per share is not a measure determined in accordance with U.S. GAAP:</w:t>
      </w:r>
    </w:p>
    <w:tbl>
      <w:tblPr>
        <w:tblW w:w="8769" w:type="dxa"/>
        <w:jc w:val="left"/>
        <w:tblInd w:w="0" w:type="dxa"/>
        <w:tblLayout w:type="fixed"/>
        <w:tblCellMar>
          <w:top w:w="28" w:type="dxa"/>
          <w:left w:w="28" w:type="dxa"/>
          <w:bottom w:w="28" w:type="dxa"/>
          <w:right w:w="28" w:type="dxa"/>
        </w:tblCellMar>
      </w:tblPr>
      <w:tblGrid>
        <w:gridCol w:w="1082"/>
        <w:gridCol w:w="949"/>
        <w:gridCol w:w="953"/>
        <w:gridCol w:w="914"/>
        <w:gridCol w:w="914"/>
        <w:gridCol w:w="916"/>
        <w:gridCol w:w="109"/>
        <w:gridCol w:w="109"/>
        <w:gridCol w:w="109"/>
        <w:gridCol w:w="652"/>
        <w:gridCol w:w="1582"/>
        <w:gridCol w:w="480"/>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(Anticipated) </w:t>
              <w:br/>
              <w:t>Year Ending December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(Actual)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 $7.22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disruption</w:t>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earnings per share</w:t>
            </w:r>
          </w:p>
        </w:tc>
        <w:tc>
          <w:tcPr>
            <w:tcW w:w="27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 $7.28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believe that the presentation of adjusted diluted earnings per share provides an understanding of operational activities before the financial effect of certain items. We use this measure, and believe investors will find it helpful, in understanding the ongoing performance of our operations separate from items that have a disproportionate effect on our results for a particular period. We have incurred comparable charges and costs in prior periods, and similar types of adjustments can reasonably be expected to be recorded in future periods. Our definition of adjusted diluted earnings per share may not be comparable to similarly titled measures presented by other companies.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guidance set forth above constitutes forward-looking information and is not a guarantee of future performance. The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guidance is based upon the current beliefs and expectations of our management and is subject to significant risk and </w:t>
      </w:r>
    </w:p>
    <w:p>
      <w:pPr>
        <w:pStyle w:val="TextBody"/>
        <w:bidi w:val="0"/>
        <w:spacing w:lineRule="auto" w:line="288" w:before="0" w:after="0"/>
        <w:jc w:val="left"/>
        <w:rPr/>
      </w:pPr>
      <w:r>
        <w:rPr>
          <w:rFonts w:ascii="Times New Roman;serif" w:hAnsi="Times New Roman;serif"/>
          <w:b w:val="false"/>
          <w:color w:val="000000"/>
          <w:sz w:val="20"/>
        </w:rPr>
        <w:t xml:space="preserve">uncertainties that could cause actual results to differ materially from those shown above. See Item 1A. </w:t>
      </w:r>
      <w:r>
        <w:rPr>
          <w:rFonts w:ascii="Times New Roman;serif" w:hAnsi="Times New Roman;serif"/>
          <w:b w:val="false"/>
          <w:i/>
          <w:color w:val="000000"/>
          <w:sz w:val="20"/>
        </w:rPr>
        <w:t>Risk Factors - Disclosure Regarding Forward-Looking Statements</w:t>
      </w:r>
      <w:r>
        <w:rPr>
          <w:rFonts w:ascii="Times New Roman;serif" w:hAnsi="Times New Roman;serif"/>
          <w:b w:val="false"/>
          <w:color w:val="000000"/>
          <w:sz w:val="20"/>
        </w:rPr>
        <w: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Republic is one of the largest providers of environmental services in the United States, as measured by revenue. As of December 31, 2025, we operated across the United States and Canada through 377 collection operations, 255 transfer stations, 79 recycling centers, 207 active landfills, 2 treatment, recovery and disposal facilities, 24 treatment, storage and disposal facilities (TSDF), 5 salt water disposal wells, 15 deep injection wells, 9 industrial wastewater treatment facilities, and 2 polymer centers. We are engaged in 84 landfill gas-to-energy and other renewable energy projects and had post-closure responsibility for 124 closed landfills.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Revenue for the year ended December 31, 2025 increased by 3.5% to $16.6 billion compared to $16.0 billion in 2024. This change in revenue is due to increased average yield of 4.1% and acquisitions, net of divestitures of 1.3%, partially offset by decreases in environmental solutions revenue of 1.0%, volume of 0.6%, fuel recovery fees of 0.1% as well as the effect of a decrease in workdays of 0.1%.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 costs and expenses for the years ended December 31, 2025 and 2024 (in millions of dollars and as a percentage of revenue):</w:t>
      </w:r>
    </w:p>
    <w:tbl>
      <w:tblPr>
        <w:tblW w:w="10205" w:type="dxa"/>
        <w:jc w:val="left"/>
        <w:tblInd w:w="0" w:type="dxa"/>
        <w:tblLayout w:type="fixed"/>
        <w:tblCellMar>
          <w:top w:w="28" w:type="dxa"/>
          <w:left w:w="28" w:type="dxa"/>
          <w:bottom w:w="28" w:type="dxa"/>
          <w:right w:w="28" w:type="dxa"/>
        </w:tblCellMar>
      </w:tblPr>
      <w:tblGrid>
        <w:gridCol w:w="1802"/>
        <w:gridCol w:w="1533"/>
        <w:gridCol w:w="1551"/>
        <w:gridCol w:w="211"/>
        <w:gridCol w:w="721"/>
        <w:gridCol w:w="109"/>
        <w:gridCol w:w="109"/>
        <w:gridCol w:w="109"/>
        <w:gridCol w:w="109"/>
        <w:gridCol w:w="308"/>
        <w:gridCol w:w="308"/>
        <w:gridCol w:w="271"/>
        <w:gridCol w:w="109"/>
        <w:gridCol w:w="109"/>
        <w:gridCol w:w="109"/>
        <w:gridCol w:w="211"/>
        <w:gridCol w:w="721"/>
        <w:gridCol w:w="109"/>
        <w:gridCol w:w="109"/>
        <w:gridCol w:w="109"/>
        <w:gridCol w:w="109"/>
        <w:gridCol w:w="308"/>
        <w:gridCol w:w="308"/>
        <w:gridCol w:w="271"/>
        <w:gridCol w:w="109"/>
        <w:gridCol w:w="109"/>
        <w:gridCol w:w="109"/>
        <w:gridCol w:w="155"/>
      </w:tblGrid>
      <w:tr>
        <w:trPr/>
        <w:tc>
          <w:tcPr>
            <w:tcW w:w="180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depletion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Amortization of other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business divestitures and impairments,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withdrawal liability for multiemployer pension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pre-tax income was $2.6 billion for the year ended December 31, 2025, compared to $2.4 billion in 2024. Our net income attributable to Republic Services, Inc. was $2.1 billion, or $6.85 per diluted share, for 2025, compared to $2.0 billion, or $6.49 per diluted share, for 2024.</w:t>
      </w:r>
    </w:p>
    <w:p>
      <w:pPr>
        <w:pStyle w:val="TextBody"/>
        <w:bidi w:val="0"/>
        <w:spacing w:lineRule="auto" w:line="288" w:before="100" w:after="283"/>
        <w:jc w:val="left"/>
        <w:rPr/>
      </w:pPr>
      <w:r>
        <w:rPr>
          <w:rFonts w:ascii="Times New Roman;serif" w:hAnsi="Times New Roman;serif"/>
          <w:b w:val="false"/>
          <w:color w:val="000000"/>
          <w:sz w:val="20"/>
        </w:rPr>
        <w:t xml:space="preserve">During 2025 and 2024, we recorded a number of charges, other expenses and benefits that impacted our pre-tax income, tax impact, net income attributable to Republic Services, Inc. (net income – Republic) and diluted earnings per share as noted in the following table (in millions, except per share data). Additionally, see our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 xml:space="preserve">section of this </w:t>
      </w:r>
      <w:r>
        <w:rPr>
          <w:rFonts w:ascii="Times New Roman;serif" w:hAnsi="Times New Roman;serif"/>
          <w:b w:val="false"/>
          <w:i/>
          <w:color w:val="000000"/>
          <w:sz w:val="20"/>
        </w:rPr>
        <w:t xml:space="preserve">Management's Discussion and Analysis of Financial Condition and Results of Operations </w:t>
      </w:r>
      <w:r>
        <w:rPr>
          <w:rFonts w:ascii="Times New Roman;serif" w:hAnsi="Times New Roman;serif"/>
          <w:b w:val="false"/>
          <w:color w:val="000000"/>
          <w:sz w:val="20"/>
        </w:rPr>
        <w:t>for a discussion of other items that impacted our earnings during the years ended December 31, 2025 and 2024. For comparative purposes, prior year amounts have been reclassified to conform to current year presentation.</w:t>
      </w:r>
    </w:p>
    <w:tbl>
      <w:tblPr>
        <w:tblW w:w="10205" w:type="dxa"/>
        <w:jc w:val="left"/>
        <w:tblInd w:w="0" w:type="dxa"/>
        <w:tblLayout w:type="fixed"/>
        <w:tblCellMar>
          <w:top w:w="28" w:type="dxa"/>
          <w:left w:w="28" w:type="dxa"/>
          <w:bottom w:w="28" w:type="dxa"/>
          <w:right w:w="28" w:type="dxa"/>
        </w:tblCellMar>
      </w:tblPr>
      <w:tblGrid>
        <w:gridCol w:w="574"/>
        <w:gridCol w:w="407"/>
        <w:gridCol w:w="410"/>
        <w:gridCol w:w="196"/>
        <w:gridCol w:w="556"/>
        <w:gridCol w:w="109"/>
        <w:gridCol w:w="109"/>
        <w:gridCol w:w="109"/>
        <w:gridCol w:w="109"/>
        <w:gridCol w:w="201"/>
        <w:gridCol w:w="432"/>
        <w:gridCol w:w="111"/>
        <w:gridCol w:w="109"/>
        <w:gridCol w:w="109"/>
        <w:gridCol w:w="109"/>
        <w:gridCol w:w="196"/>
        <w:gridCol w:w="556"/>
        <w:gridCol w:w="109"/>
        <w:gridCol w:w="109"/>
        <w:gridCol w:w="109"/>
        <w:gridCol w:w="109"/>
        <w:gridCol w:w="196"/>
        <w:gridCol w:w="466"/>
        <w:gridCol w:w="109"/>
        <w:gridCol w:w="109"/>
        <w:gridCol w:w="109"/>
        <w:gridCol w:w="109"/>
        <w:gridCol w:w="196"/>
        <w:gridCol w:w="556"/>
        <w:gridCol w:w="109"/>
        <w:gridCol w:w="109"/>
        <w:gridCol w:w="109"/>
        <w:gridCol w:w="109"/>
        <w:gridCol w:w="201"/>
        <w:gridCol w:w="432"/>
        <w:gridCol w:w="111"/>
        <w:gridCol w:w="109"/>
        <w:gridCol w:w="109"/>
        <w:gridCol w:w="109"/>
        <w:gridCol w:w="196"/>
        <w:gridCol w:w="556"/>
        <w:gridCol w:w="109"/>
        <w:gridCol w:w="109"/>
        <w:gridCol w:w="109"/>
        <w:gridCol w:w="109"/>
        <w:gridCol w:w="196"/>
        <w:gridCol w:w="466"/>
        <w:gridCol w:w="160"/>
      </w:tblGrid>
      <w:tr>
        <w:trPr/>
        <w:tc>
          <w:tcPr>
            <w:tcW w:w="57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 December 31, 2024</w:t>
            </w:r>
          </w:p>
        </w:tc>
      </w:tr>
      <w:tr>
        <w:trPr/>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Pre-tax</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Tax Impact</w:t>
            </w:r>
            <w:r>
              <w:rPr>
                <w:rFonts w:ascii="Times New Roman;serif" w:hAnsi="Times New Roman;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w:t>
              <w:br/>
              <w:t>Income -</w:t>
              <w:br/>
              <w:t>Republic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Diluted</w:t>
              <w:br/>
              <w:t>Earnings</w:t>
              <w:br/>
              <w:t>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Pre-tax</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Tax Impact</w:t>
            </w:r>
            <w:r>
              <w:rPr>
                <w:rFonts w:ascii="Times New Roman;serif" w:hAnsi="Times New Roman;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w:t>
              <w:br/>
              <w:t>Income -</w:t>
              <w:br/>
              <w:t>Republic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Diluted</w:t>
              <w:br/>
              <w:t>Earnings</w:t>
              <w:br/>
              <w:t>per</w:t>
              <w:br/>
              <w:t>Share</w:t>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reported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extinguishment of debt and other related costs,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disruption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certain divestitures and impairments,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Settlements and withdrawals on pension plans</w:t>
            </w:r>
            <w:r>
              <w:rPr>
                <w:rFonts w:ascii="Times New Roman;serif" w:hAnsi="Times New Roman;serif"/>
                <w:b w:val="false"/>
                <w:color w:val="000000"/>
                <w:sz w:val="12"/>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13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13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adjusted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left"/>
        <w:rPr>
          <w:rFonts w:ascii="Times New Roman;serif" w:hAnsi="Times New Roman;serif"/>
          <w:b w:val="false"/>
          <w:color w:val="000000"/>
          <w:sz w:val="13"/>
        </w:rPr>
      </w:pPr>
      <w:r>
        <w:rPr>
          <w:rFonts w:ascii="Times New Roman;serif" w:hAnsi="Times New Roman;serif"/>
          <w:b w:val="false"/>
          <w:color w:val="000000"/>
          <w:sz w:val="13"/>
        </w:rPr>
        <w:t>(1) The income tax effect related to our adjustments includes both current and deferred income tax impact and is individually calculated based on the statutory rates applicable to each adjustment.</w:t>
      </w:r>
    </w:p>
    <w:p>
      <w:pPr>
        <w:pStyle w:val="TextBody"/>
        <w:bidi w:val="0"/>
        <w:spacing w:lineRule="auto" w:line="268" w:before="120" w:after="283"/>
        <w:jc w:val="left"/>
        <w:rPr>
          <w:rFonts w:ascii="Times New Roman;serif" w:hAnsi="Times New Roman;serif"/>
          <w:b w:val="false"/>
          <w:color w:val="000000"/>
          <w:sz w:val="13"/>
        </w:rPr>
      </w:pPr>
      <w:r>
        <w:rPr>
          <w:rFonts w:ascii="Times New Roman;serif" w:hAnsi="Times New Roman;serif"/>
          <w:b w:val="false"/>
          <w:color w:val="000000"/>
          <w:sz w:val="13"/>
        </w:rPr>
        <w:t>(2) The aggregate impact to adjusted diluted earnings per share totals to less than $0.01 for the year ended December 31, 2025.</w:t>
      </w:r>
    </w:p>
    <w:p>
      <w:pPr>
        <w:pStyle w:val="TextBody"/>
        <w:bidi w:val="0"/>
        <w:spacing w:lineRule="auto" w:line="288" w:before="100" w:after="283"/>
        <w:jc w:val="left"/>
        <w:rPr/>
      </w:pPr>
      <w:r>
        <w:rPr>
          <w:rFonts w:ascii="Times New Roman;serif" w:hAnsi="Times New Roman;serif"/>
          <w:b w:val="false"/>
          <w:color w:val="000000"/>
          <w:sz w:val="20"/>
        </w:rPr>
        <w:t xml:space="preserve">We believe that presenting adjusted pre-tax income, adjusted tax impact, adjusted net income – Republic, and adjusted diluted earnings per share, which are not measures determined in accordance with U.S. GAAP, provide an understanding of operational activities before the financial impact of certain items. We use these measures, and believe investors will find them helpful, in understanding the ongoing performance of our operations separate from items that have a disproportionate impact on our results for a particular period. We have incurred comparable charges and costs in prior periods, and similar types of adjustments can reasonably be expected to be recorded in future periods. Our definitions of adjusted pre-tax income, adjusted tax impact, </w:t>
      </w:r>
      <w:r>
        <w:rPr>
          <w:rFonts w:ascii="Times New Roman;serif" w:hAnsi="Times New Roman;serif"/>
          <w:b w:val="false"/>
          <w:color w:val="000000"/>
          <w:sz w:val="20"/>
          <w:shd w:fill="FFFFFF" w:val="clear"/>
        </w:rPr>
        <w:t>adjusted net income – Republic, and adjusted diluted earnings per share may not be comparable to similarly titled measures p</w:t>
      </w:r>
      <w:r>
        <w:rPr>
          <w:rFonts w:ascii="Times New Roman;serif" w:hAnsi="Times New Roman;serif"/>
          <w:b w:val="false"/>
          <w:color w:val="000000"/>
          <w:sz w:val="20"/>
        </w:rPr>
        <w:t>resented by other companies. Further information on each of these adjustments is included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pPr>
      <w:r>
        <w:rPr>
          <w:rFonts w:ascii="Times New Roman;serif" w:hAnsi="Times New Roman;serif"/>
          <w:b w:val="false"/>
          <w:i/>
          <w:color w:val="000000"/>
          <w:sz w:val="20"/>
        </w:rPr>
        <w:t xml:space="preserve">Restructuring charges. </w:t>
      </w:r>
      <w:r>
        <w:rPr>
          <w:rFonts w:ascii="Times New Roman;serif" w:hAnsi="Times New Roman;serif"/>
          <w:b w:val="false"/>
          <w:color w:val="000000"/>
          <w:sz w:val="20"/>
          <w:shd w:fill="FFFFFF" w:val="clear"/>
        </w:rPr>
        <w:t xml:space="preserve">In 2025 and 2024, we incurred restructuring charges of </w:t>
      </w:r>
      <w:r>
        <w:rPr>
          <w:rFonts w:ascii="Times New Roman;serif" w:hAnsi="Times New Roman;serif"/>
          <w:b w:val="false"/>
          <w:color w:val="000000"/>
          <w:sz w:val="20"/>
        </w:rPr>
        <w:t>$20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$29 million</w:t>
      </w:r>
      <w:r>
        <w:rPr>
          <w:rFonts w:ascii="Times New Roman;serif" w:hAnsi="Times New Roman;serif"/>
          <w:b w:val="false"/>
          <w:color w:val="000000"/>
          <w:sz w:val="20"/>
          <w:shd w:fill="FFFFFF" w:val="clear"/>
        </w:rPr>
        <w:t xml:space="preserve">, respectively. The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charges primarily related to the design and implementation of a new accounts receivable system. The 2024 charges primarily related to the redesign of our asset management, and customer and order management software systems. We paid </w:t>
      </w:r>
      <w:r>
        <w:rPr>
          <w:rFonts w:ascii="Times New Roman;serif" w:hAnsi="Times New Roman;serif"/>
          <w:b w:val="false"/>
          <w:color w:val="000000"/>
          <w:sz w:val="20"/>
        </w:rPr>
        <w:t>$12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$25 million</w:t>
      </w:r>
      <w:r>
        <w:rPr>
          <w:color w:val="000000"/>
          <w:shd w:fill="FFFFFF" w:val="clear"/>
        </w:rPr>
        <w:t xml:space="preserve"> </w:t>
      </w:r>
      <w:r>
        <w:rPr>
          <w:rFonts w:ascii="Times New Roman;serif" w:hAnsi="Times New Roman;serif"/>
          <w:b w:val="false"/>
          <w:color w:val="000000"/>
          <w:sz w:val="20"/>
          <w:shd w:fill="FFFFFF" w:val="clear"/>
        </w:rPr>
        <w:t>during 2025 and 2024, respectively, related to these restructuring efforts.</w:t>
      </w:r>
    </w:p>
    <w:p>
      <w:pPr>
        <w:pStyle w:val="TextBody"/>
        <w:bidi w:val="0"/>
        <w:spacing w:lineRule="auto" w:line="288" w:before="100" w:after="283"/>
        <w:jc w:val="left"/>
        <w:rPr/>
      </w:pPr>
      <w:r>
        <w:rPr>
          <w:rFonts w:ascii="Times New Roman;serif" w:hAnsi="Times New Roman;serif"/>
          <w:b w:val="false"/>
          <w:color w:val="000000"/>
          <w:sz w:val="20"/>
          <w:shd w:fill="FFFFFF" w:val="clear"/>
        </w:rPr>
        <w:t>In 2026, we expect to incur restructuring charges of approximately $25 million</w:t>
      </w:r>
      <w:r>
        <w:rPr>
          <w:rFonts w:ascii="Aptos;sans-serif" w:hAnsi="Aptos;sans-serif"/>
          <w:b w:val="false"/>
          <w:color w:val="000000"/>
          <w:sz w:val="24"/>
        </w:rPr>
        <w:t xml:space="preserve">, </w:t>
      </w:r>
      <w:r>
        <w:rPr>
          <w:rFonts w:ascii="Times New Roman;serif" w:hAnsi="Times New Roman;serif"/>
          <w:b w:val="false"/>
          <w:color w:val="000000"/>
          <w:sz w:val="20"/>
          <w:shd w:fill="FFFFFF" w:val="clear"/>
        </w:rPr>
        <w:t>primarily related to the continuation of the design and implementation of our new accounts receivable system as well as the conversion of the general ledger, budgeting and procurement enterprise resource planning (ERP) systems for our environmental solutions segment.</w:t>
      </w:r>
    </w:p>
    <w:p>
      <w:pPr>
        <w:pStyle w:val="TextBody"/>
        <w:bidi w:val="0"/>
        <w:spacing w:lineRule="auto" w:line="288" w:before="100" w:after="283"/>
        <w:jc w:val="left"/>
        <w:rPr/>
      </w:pPr>
      <w:r>
        <w:rPr>
          <w:rFonts w:ascii="Times New Roman;serif" w:hAnsi="Times New Roman;serif"/>
          <w:b w:val="false"/>
          <w:i/>
          <w:color w:val="000000"/>
          <w:sz w:val="20"/>
          <w:shd w:fill="FFFFFF" w:val="clear"/>
        </w:rPr>
        <w:t>Gain on extinguishment of debt and other related costs, net</w:t>
      </w:r>
      <w:r>
        <w:rPr>
          <w:rFonts w:ascii="Times New Roman;serif" w:hAnsi="Times New Roman;serif"/>
          <w:b w:val="false"/>
          <w:color w:val="000000"/>
          <w:sz w:val="20"/>
          <w:shd w:fill="FFFFFF" w:val="clear"/>
        </w:rPr>
        <w:t xml:space="preserve">. During 2024 we recognized a loss of </w:t>
      </w:r>
      <w:r>
        <w:rPr>
          <w:rFonts w:ascii="Times New Roman;serif" w:hAnsi="Times New Roman;serif"/>
          <w:b w:val="false"/>
          <w:color w:val="000000"/>
          <w:sz w:val="20"/>
        </w:rPr>
        <w:t>$2 million</w:t>
      </w:r>
      <w:r>
        <w:rPr>
          <w:color w:val="000000"/>
          <w:shd w:fill="FFFFFF" w:val="clear"/>
        </w:rPr>
        <w:t xml:space="preserve"> </w:t>
      </w:r>
      <w:r>
        <w:rPr>
          <w:rFonts w:ascii="Times New Roman;serif" w:hAnsi="Times New Roman;serif"/>
          <w:b w:val="false"/>
          <w:color w:val="000000"/>
          <w:sz w:val="20"/>
          <w:shd w:fill="FFFFFF" w:val="clear"/>
        </w:rPr>
        <w:t xml:space="preserve">due to the amendment and restatement of the Credit Facility, and a net gain of </w:t>
      </w:r>
      <w:r>
        <w:rPr>
          <w:rFonts w:ascii="Times New Roman;serif" w:hAnsi="Times New Roman;serif"/>
          <w:b w:val="false"/>
          <w:color w:val="000000"/>
          <w:sz w:val="20"/>
        </w:rPr>
        <w:t>$8 million</w:t>
      </w:r>
      <w:r>
        <w:rPr>
          <w:color w:val="000000"/>
          <w:shd w:fill="FFFFFF" w:val="clear"/>
        </w:rPr>
        <w:t xml:space="preserve"> </w:t>
      </w:r>
      <w:r>
        <w:rPr>
          <w:rFonts w:ascii="Times New Roman;serif" w:hAnsi="Times New Roman;serif"/>
          <w:b w:val="false"/>
          <w:color w:val="000000"/>
          <w:sz w:val="20"/>
          <w:shd w:fill="FFFFFF" w:val="clear"/>
        </w:rPr>
        <w:t xml:space="preserve">attributable to the early settlement of certain cash flow hedges related to the Term Loan Facility. The gain was recognized as a reduction of interest expense. </w:t>
      </w:r>
    </w:p>
    <w:p>
      <w:pPr>
        <w:pStyle w:val="TextBody"/>
        <w:bidi w:val="0"/>
        <w:spacing w:lineRule="auto" w:line="288" w:before="100" w:after="283"/>
        <w:jc w:val="left"/>
        <w:rPr/>
      </w:pPr>
      <w:r>
        <w:rPr>
          <w:rFonts w:ascii="Times New Roman;serif" w:hAnsi="Times New Roman;serif"/>
          <w:b w:val="false"/>
          <w:i/>
          <w:color w:val="000000"/>
          <w:sz w:val="20"/>
        </w:rPr>
        <w:t xml:space="preserve">Labor disruption. </w:t>
      </w:r>
      <w:r>
        <w:rPr>
          <w:rFonts w:ascii="Times New Roman;serif" w:hAnsi="Times New Roman;serif"/>
          <w:b w:val="false"/>
          <w:color w:val="000000"/>
          <w:sz w:val="20"/>
        </w:rPr>
        <w:t xml:space="preserve">During 2025, we experienced labor disruptions in certain isolated markets. The impact of these labor disruptions was $56 million, including $16 million of customer credits and $40 million of cost of operations. </w:t>
      </w:r>
    </w:p>
    <w:p>
      <w:pPr>
        <w:pStyle w:val="TextBody"/>
        <w:bidi w:val="0"/>
        <w:spacing w:lineRule="auto" w:line="288" w:before="100" w:after="283"/>
        <w:jc w:val="left"/>
        <w:rPr/>
      </w:pPr>
      <w:r>
        <w:rPr>
          <w:rFonts w:ascii="Times New Roman;serif" w:hAnsi="Times New Roman;serif"/>
          <w:b w:val="false"/>
          <w:i/>
          <w:color w:val="000000"/>
          <w:sz w:val="20"/>
        </w:rPr>
        <w:t xml:space="preserve">Gain on certain divestitures and impairments, net. </w:t>
      </w:r>
      <w:r>
        <w:rPr>
          <w:rFonts w:ascii="Times New Roman;serif" w:hAnsi="Times New Roman;serif"/>
          <w:b w:val="false"/>
          <w:color w:val="000000"/>
          <w:sz w:val="20"/>
        </w:rPr>
        <w:t xml:space="preserve">During 2024, we recorded a net gain on certain divestitures and impairments of $30 million, of which $29 million was due to a gain on the sale of a transfer station facility and $1 million related to a gain on other business divestitures and impairments. </w:t>
      </w:r>
    </w:p>
    <w:p>
      <w:pPr>
        <w:pStyle w:val="TextBody"/>
        <w:bidi w:val="0"/>
        <w:spacing w:lineRule="auto" w:line="288" w:before="100" w:after="283"/>
        <w:jc w:val="left"/>
        <w:rPr/>
      </w:pPr>
      <w:r>
        <w:rPr>
          <w:rFonts w:ascii="Times New Roman;serif" w:hAnsi="Times New Roman;serif"/>
          <w:b w:val="false"/>
          <w:i/>
          <w:color w:val="000000"/>
          <w:sz w:val="20"/>
        </w:rPr>
        <w:t xml:space="preserve">Settlements and withdrawals on pension plans. </w:t>
      </w:r>
      <w:r>
        <w:rPr>
          <w:rFonts w:ascii="Times New Roman;serif" w:hAnsi="Times New Roman;serif"/>
          <w:b w:val="false"/>
          <w:color w:val="000000"/>
          <w:sz w:val="20"/>
        </w:rPr>
        <w:t xml:space="preserve">During 2025, we recorded a charge to earnings of $1 million for a withdrawal event at a multiemployer pension fund to which we contribute. During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we recognized a settlement of our defined benefit pension plan. The settlement included a combination of lump-sum payments to participants who elected to receive them and the transfer of benefit obligations to a third-party insurance company under a group annuity contract. As a result of the settlements, we recognized a non-cash gain of $8 million related to the accelerated recognition of the proportional share of unamortized net actuarial gains in accumulated other comprehensive loss. As we obtain updated information regarding multiemployer pension funds, the factors used in deriving our estimated withdrawal liabilities will be subject to change, which may adversely impact our reserves for withdrawal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generate revenue by providing environmental services to our customers, including the collection and processing of recyclable materials, the collection, treatment, consolidation, transfer and disposal of hazardous and non-hazardous waste and other environmental solutions. Our residential, small-container and large-container collection operations in some markets are based on long-term contracts with municipalities. Certain of our municipal contracts have annual price escalation clauses that are tied to changes in an underlying base index such as a consumer price index. We generally provide small-container and large-container collection services to customers under contracts with initial terms up to three years. Our transfer stations and landfills generate revenue from disposal or tipping fees charged to third parties. Our recycling centers generate revenue from tipping fees charged to third parties and the sale of recycled commodities. Our revenue from environmental solutions primarily consists of (1) fees we charge for the collection, treatment, transfer and disposal of hazardous and non-hazardous waste, (2) field and industrial services, (3) equipment rental, (4) emergency response and standby services, (5) in-plant services, such as transportation and logistics, including at our TSDFs and (6) in-plant services such as high-pressure cleaning, tank cleaning, decontamination, remediation, transportation, spill cleanup and emergency response at refineries, chemical, steel and automotive plants and other governmental, commercial and industrial facilities. Other non-core revenue consists primarily of revenue from National Accounts, which represents the portion of revenue generated from nationwide or regional contracts in markets outside our operating areas where the associated material handling is subcontracted to local operators. Consequently, substantially all of this revenue is offset with related subcontract costs, which are recorded in cost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our revenue by service line for the years ended December 31, 2025 and 2024 (in millions of dollars and as a percentage of revenue):</w:t>
      </w:r>
    </w:p>
    <w:tbl>
      <w:tblPr>
        <w:tblW w:w="8512" w:type="dxa"/>
        <w:jc w:val="left"/>
        <w:tblInd w:w="0" w:type="dxa"/>
        <w:tblLayout w:type="fixed"/>
        <w:tblCellMar>
          <w:top w:w="28" w:type="dxa"/>
          <w:left w:w="28" w:type="dxa"/>
          <w:bottom w:w="28" w:type="dxa"/>
          <w:right w:w="28" w:type="dxa"/>
        </w:tblCellMar>
      </w:tblPr>
      <w:tblGrid>
        <w:gridCol w:w="1313"/>
        <w:gridCol w:w="1151"/>
        <w:gridCol w:w="1166"/>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316"/>
      </w:tblGrid>
      <w:tr>
        <w:trPr/>
        <w:tc>
          <w:tcPr>
            <w:tcW w:w="131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Small-container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Large-container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collection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intercompany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intercompany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solutions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intercompany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solutions,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Recycling processing and commodity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non-core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changes in components of our revenue, as a percentage of total revenue, for the years ended December 31, 2025 and 2024:</w:t>
      </w:r>
    </w:p>
    <w:tbl>
      <w:tblPr>
        <w:tblW w:w="5548" w:type="dxa"/>
        <w:jc w:val="left"/>
        <w:tblInd w:w="0" w:type="dxa"/>
        <w:tblLayout w:type="fixed"/>
        <w:tblCellMar>
          <w:top w:w="28" w:type="dxa"/>
          <w:left w:w="28" w:type="dxa"/>
          <w:bottom w:w="28" w:type="dxa"/>
          <w:right w:w="28" w:type="dxa"/>
        </w:tblCellMar>
      </w:tblPr>
      <w:tblGrid>
        <w:gridCol w:w="1316"/>
        <w:gridCol w:w="1153"/>
        <w:gridCol w:w="1161"/>
        <w:gridCol w:w="239"/>
        <w:gridCol w:w="241"/>
        <w:gridCol w:w="292"/>
        <w:gridCol w:w="109"/>
        <w:gridCol w:w="109"/>
        <w:gridCol w:w="109"/>
        <w:gridCol w:w="239"/>
        <w:gridCol w:w="241"/>
        <w:gridCol w:w="339"/>
      </w:tblGrid>
      <w:tr>
        <w:trPr/>
        <w:tc>
          <w:tcPr>
            <w:tcW w:w="131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yield</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recovery fees</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price</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workdays</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Recycling processing and commodity sales</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solutions</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internal growth</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 divestitures, net</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Core price</w:t>
            </w:r>
          </w:p>
        </w:tc>
        <w:tc>
          <w:tcPr>
            <w:tcW w:w="48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9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jc w:val="left"/>
        <w:rPr>
          <w:rFonts w:ascii="Times New Roman;serif" w:hAnsi="Times New Roman;serif"/>
          <w:b w:val="false"/>
          <w:color w:val="000000"/>
          <w:sz w:val="13"/>
        </w:rPr>
      </w:pPr>
      <w:r>
        <w:rPr>
          <w:rFonts w:ascii="Times New Roman;serif" w:hAnsi="Times New Roman;serif"/>
          <w:b w:val="false"/>
          <w:color w:val="000000"/>
          <w:sz w:val="13"/>
        </w:rPr>
        <w:t>(1) Other represents customer credits recognized in connection with recent labor disruptions.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Average yield is defined as revenue growth from the change in average price per unit of service, expressed as a percentage. Core price is defined as price increases to our customers and fees, excluding fuel recovery, net of price decreases to retain customers. We also measure changes in average yield, core price and volume as a percentage of related-business revenue, defined as total revenue excluding recycled commodities, fuel recovery fees and environmental solutions revenue to determine the effectiveness of our pricing strategies.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average yield, core price and volume as a percentage of related-business revenue for the years ended December 31, 2025 and 2024:</w:t>
      </w:r>
    </w:p>
    <w:tbl>
      <w:tblPr>
        <w:tblW w:w="4490" w:type="dxa"/>
        <w:jc w:val="left"/>
        <w:tblInd w:w="0" w:type="dxa"/>
        <w:tblLayout w:type="fixed"/>
        <w:tblCellMar>
          <w:top w:w="28" w:type="dxa"/>
          <w:left w:w="28" w:type="dxa"/>
          <w:bottom w:w="28" w:type="dxa"/>
          <w:right w:w="28" w:type="dxa"/>
        </w:tblCellMar>
      </w:tblPr>
      <w:tblGrid>
        <w:gridCol w:w="402"/>
        <w:gridCol w:w="352"/>
        <w:gridCol w:w="355"/>
        <w:gridCol w:w="109"/>
        <w:gridCol w:w="109"/>
        <w:gridCol w:w="328"/>
        <w:gridCol w:w="328"/>
        <w:gridCol w:w="328"/>
        <w:gridCol w:w="328"/>
        <w:gridCol w:w="773"/>
        <w:gridCol w:w="109"/>
        <w:gridCol w:w="109"/>
        <w:gridCol w:w="109"/>
        <w:gridCol w:w="224"/>
        <w:gridCol w:w="226"/>
        <w:gridCol w:w="301"/>
      </w:tblGrid>
      <w:tr>
        <w:trPr/>
        <w:tc>
          <w:tcPr>
            <w:tcW w:w="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1078"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5"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a % of Related Business</w:t>
            </w:r>
          </w:p>
        </w:tc>
        <w:tc>
          <w:tcPr>
            <w:tcW w:w="1078"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2025, we experienced the following changes in our revenue as compared to 2024:</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Average yield increased revenue by 4.1% due to positive pricing changes in all lines of business.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fuel recovery fee program, which mitigates our exposure to increases in fuel prices, decreased revenue by 0.1%, primarily due to a decrease in fuel prices compared to 2024.</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Volume decreased revenue by 0.6% during 2025 as compared to 2024 due to a decrease in volume in our collection lines of business as well as a decrease in solid waste volumes in our landfill line of business. The decline in revenue in our large-container collection line of business was primarily driven by slowing in construction-related activity as well as adverse weather in January and February of 2025. The decline in our residential and small-container collection lines of business is primarily attributable to certain municipal contract losses and broker-related business.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decrease in overall volume as compared to 2024 was partially offset by an increase in construction and demolition and special waste volumes at our landfills. The increase was primarily related to Hurricane Helene recovery efforts and the Los Angeles area wildfire remediation. These events increased revenue during 2025 by approximately $100 million.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Revenue decreased by 0.1% due to the impact of the number of workdays during 2025 as compared to 2024.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There was no net change to revenue as a result of recycling processing and commodity sales during 2025. In 2025, volume increased at the Las Vegas Polymer Center. Volume also increased due to the opening of the Indianapolis Polymer Center and reopening of a recycling center on the west coast. This increase was offset by a decrease in overall commodity prices compared to the same period in 2024. The average price for recycled commodities, excluding glass and organics, for 2025 was $135 per ton compared to $164 per ton for 2024.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Changing market demand for recycled commodities causes volatility in commodity prices. At current volumes and mix of materials, we believe a $10 per ton change in the price of recycled commodities will change both annual revenue and operating income by approximately $13 million.</w:t>
      </w:r>
    </w:p>
    <w:p>
      <w:pPr>
        <w:pStyle w:val="TextBody"/>
        <w:bidi w:val="0"/>
        <w:spacing w:lineRule="auto" w:line="288" w:before="100" w:after="283"/>
        <w:ind w:left="0" w:right="0" w:hanging="360"/>
        <w:jc w:val="left"/>
        <w:rPr/>
      </w:pPr>
      <w:r>
        <w:rPr>
          <w:color w:val="000000"/>
          <w:shd w:fill="FFFFFF" w:val="clear"/>
        </w:rPr>
        <w:t>•</w:t>
      </w:r>
      <w:r>
        <w:rPr>
          <w:rFonts w:ascii="Times New Roman;serif" w:hAnsi="Times New Roman;serif"/>
          <w:b w:val="false"/>
          <w:color w:val="000000"/>
          <w:sz w:val="20"/>
        </w:rPr>
        <w:t>During 2025, environmental solutions revenue decreased by 1.0%</w:t>
      </w:r>
      <w:r>
        <w:rPr>
          <w:color w:val="000000"/>
        </w:rPr>
        <w:t xml:space="preserve"> </w:t>
      </w:r>
      <w:r>
        <w:rPr>
          <w:rFonts w:ascii="Times New Roman;serif" w:hAnsi="Times New Roman;serif"/>
          <w:b w:val="false"/>
          <w:color w:val="000000"/>
          <w:sz w:val="20"/>
        </w:rPr>
        <w:t>primarily due to a decline in manufacturing and emergency response activity as well as a decrease in event-based volumes into our landfills. In 2024, environmental solutions revenue included approximately $50 million from a non-recurring emergency response project.</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Acquisitions, net of divestitures, increased revenue by 1.3%, reflecting the results of our continued growth strategy of acquiring environmental services companies that complement and expand our existing business platform.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Cost of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includes labor and related benefits, which consists of salaries and wages, health and welfare benefits, incentive compensation and payroll taxes. It also includes transfer and disposal costs representing tipping fees paid to third party disposal facilities and transfer stations; maintenance and repairs relating to our vehicles, equipment and containers, including related labor and benefit costs; transportation and subcontractor costs, which include costs for independent haulers that transport our waste to disposal facilities and costs for local operators that provide waste handling services associated with our National Accounts in markets outside our standard operating areas; fuel, which includes the direct cost of fuel used by our vehicles, net of fuel tax credits; disposal fees and taxes, consisting of landfill taxes, host community fees and royalties; landfill operating costs, which includes financial assurance, leachate disposal, remediation charges and other landfill maintenance costs; risk management costs, which include insurance premiums and claims; and other, which includes expenses such as facility operating costs, equipment rent and gains or losses on the sale of assets used in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major components of our cost of operations for the years ended December 31, 2025 and 2024 (in millions of dollars and as a percentage of revenue):</w:t>
      </w:r>
    </w:p>
    <w:tbl>
      <w:tblPr>
        <w:tblW w:w="8556" w:type="dxa"/>
        <w:jc w:val="left"/>
        <w:tblInd w:w="0" w:type="dxa"/>
        <w:tblLayout w:type="fixed"/>
        <w:tblCellMar>
          <w:top w:w="28" w:type="dxa"/>
          <w:left w:w="28" w:type="dxa"/>
          <w:bottom w:w="28" w:type="dxa"/>
          <w:right w:w="28" w:type="dxa"/>
        </w:tblCellMar>
      </w:tblPr>
      <w:tblGrid>
        <w:gridCol w:w="1481"/>
        <w:gridCol w:w="1304"/>
        <w:gridCol w:w="130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316"/>
      </w:tblGrid>
      <w:tr>
        <w:trPr/>
        <w:tc>
          <w:tcPr>
            <w:tcW w:w="148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and related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and disposal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and repairs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and subcontract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Disposal fees and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operating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management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certain divestitures and impairments,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disruption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These cost categories may change from time to time and may not be comparable to similarly titled categories presented by other companies. As such, you should take care when comparing our cost of operations by component to that of other companies and of ours for prior periods.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cost of operations increased in aggregate dollars for the year ended December 31, 2025 compared to 2024 as a result of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Labor and related benefits increased in aggregate dollars primarily due to higher hourly and salaried wages as a result of annual merit increases as well as acquisition related growth.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Transfer and disposal costs decreased primarily due to a decrease in collection volumes.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both 2024 and 2025, approximately 67% of the total solid waste volume we collected was disposed at landfill sites that we own or operate (internalization).</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Maintenance and repairs expense increa</w:t>
      </w:r>
      <w:r>
        <w:rPr>
          <w:rFonts w:ascii="Times New Roman;serif" w:hAnsi="Times New Roman;serif"/>
          <w:b w:val="false"/>
          <w:color w:val="000000"/>
          <w:sz w:val="20"/>
        </w:rPr>
        <w:t>se</w:t>
      </w:r>
      <w:r>
        <w:rPr>
          <w:rFonts w:ascii="Times New Roman;serif" w:hAnsi="Times New Roman;serif"/>
          <w:b w:val="false"/>
          <w:color w:val="000000"/>
          <w:sz w:val="20"/>
          <w:shd w:fill="FFFFFF" w:val="clear"/>
        </w:rPr>
        <w:t>d in aggregate dollars due to higher hourly wages as a result of annual merit increases, parts inflation, an increase in third-party maintenance and acquisition related growth</w:t>
      </w:r>
      <w:r>
        <w:rPr>
          <w:rFonts w:ascii="Times New Roman;serif" w:hAnsi="Times New Roman;serif"/>
          <w:b/>
          <w:color w:val="000000"/>
          <w:sz w:val="20"/>
          <w:shd w:fill="FFFFFF" w:val="clear"/>
        </w:rPr>
        <w:t>.</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 xml:space="preserve">Transportation and subcontract costs decreased primarily </w:t>
      </w:r>
      <w:r>
        <w:rPr>
          <w:rFonts w:ascii="Times New Roman;serif" w:hAnsi="Times New Roman;serif"/>
          <w:b w:val="false"/>
          <w:color w:val="000000"/>
          <w:sz w:val="20"/>
          <w:shd w:fill="FFFFFF" w:val="clear"/>
        </w:rPr>
        <w:t>due to a decrease in volume in our environmental solutions business.</w:t>
      </w:r>
      <w:r>
        <w:rPr>
          <w:color w:val="000000"/>
        </w:rPr>
        <w:t xml:space="preserve">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Our fuel costs decreased due to a decrease in the average diesel fuel cost per gallon. The national average diesel fuel cost per gallon for </w:t>
      </w:r>
      <w:r>
        <w:rPr>
          <w:rFonts w:ascii="Times New Roman;serif" w:hAnsi="Times New Roman;serif"/>
          <w:b w:val="false"/>
          <w:color w:val="000000"/>
          <w:sz w:val="20"/>
        </w:rPr>
        <w:t>2025 was $3.66 compared to $3.76 for 2024.</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current consumption levels, we believe a twenty-cent per gallon change in the price of diesel fuel would change our fuel costs by approximately $26 million per year. Offsetting these changes in fuel expense would be changes in our fuel recovery fee charged to our customers. At current participation rates, we believe a twenty-cent per gallon change in the price of diesel fuel would change our fuel recovery fee by approximately $42 million per year.</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Landfill operating costs increased in aggregate dollars primarily due to an increase in monitoring and maintenance costs on our gas and leachate extraction systems. These increases were partially offset by a decrease in unfavorable remediation adjustments as compared to 2024.</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Risk management expenses increased primarily due to higher premium costs.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Other costs of operations increased during 2025 due to increased occupancy and facility related expenses, acquisition-related activity and a favorable non-recurring insurance recovery recognized in 2024.</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During 2025, we experienced labor disruptions in certain isolated markets. We incurred $40 million of cost of operations primarily as a result of an increase in labor and other cost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Depreciation, Amortization and Depletion of Property and Equipment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depreciation, amortization and depletion of property and equipment for the years ended December 31, 2025 and 2024 (in millions of dollars and as a percentage of revenue):</w:t>
      </w:r>
    </w:p>
    <w:tbl>
      <w:tblPr>
        <w:tblW w:w="9052" w:type="dxa"/>
        <w:jc w:val="left"/>
        <w:tblInd w:w="0" w:type="dxa"/>
        <w:tblLayout w:type="fixed"/>
        <w:tblCellMar>
          <w:top w:w="28" w:type="dxa"/>
          <w:left w:w="28" w:type="dxa"/>
          <w:bottom w:w="28" w:type="dxa"/>
          <w:right w:w="28" w:type="dxa"/>
        </w:tblCellMar>
      </w:tblPr>
      <w:tblGrid>
        <w:gridCol w:w="1738"/>
        <w:gridCol w:w="1529"/>
        <w:gridCol w:w="1533"/>
        <w:gridCol w:w="211"/>
        <w:gridCol w:w="616"/>
        <w:gridCol w:w="109"/>
        <w:gridCol w:w="109"/>
        <w:gridCol w:w="109"/>
        <w:gridCol w:w="109"/>
        <w:gridCol w:w="203"/>
        <w:gridCol w:w="203"/>
        <w:gridCol w:w="271"/>
        <w:gridCol w:w="109"/>
        <w:gridCol w:w="109"/>
        <w:gridCol w:w="109"/>
        <w:gridCol w:w="211"/>
        <w:gridCol w:w="616"/>
        <w:gridCol w:w="109"/>
        <w:gridCol w:w="109"/>
        <w:gridCol w:w="109"/>
        <w:gridCol w:w="109"/>
        <w:gridCol w:w="203"/>
        <w:gridCol w:w="203"/>
        <w:gridCol w:w="316"/>
      </w:tblGrid>
      <w:tr>
        <w:trPr/>
        <w:tc>
          <w:tcPr>
            <w:tcW w:w="1738"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depletion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depletion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 increased largely due to an increased investment in trucks and the supporting infrastructure as well as assets added through acquisitions.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Landfill depletion and amortization expense increased in aggregate dollars due to increased construction and demolition volumes related to Hurricane Helene recovery efforts and increased special waste volumes attributable to the Los Angeles area wildfire remediation. Landfill depletion and amortization also increased due to an increase in our overall average depletion rate.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Amortization of Other Intangible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intangible assets primarily relates to customer relationships. Expenses for amortization of other intangible assets were $89 million, or 0.6% of revenue, for the year ended December 31, 2025, compared to $79 million, or 0.5% of revenue, for 2024. Amortization expense increased in aggregate dollars due to additional assets acquired through our acquisition activity.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Amortization of Other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other assets primarily relate to the prepayment of fees and capitalized implementation costs associated with cloud-based hosting arrangements. Expenses for amortization of other assets were $110 million, or 0.7% of revenue, for the year ended December 31, 2025, compared to $81 million, or 0.5% of revenue, for 2024.</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Accretion Expense</w:t>
      </w:r>
    </w:p>
    <w:p>
      <w:pPr>
        <w:pStyle w:val="TextBody"/>
        <w:bidi w:val="0"/>
        <w:spacing w:lineRule="auto" w:line="288" w:before="100" w:after="283"/>
        <w:jc w:val="left"/>
        <w:rPr/>
      </w:pPr>
      <w:r>
        <w:rPr>
          <w:rFonts w:ascii="Times New Roman;serif" w:hAnsi="Times New Roman;serif"/>
          <w:b w:val="false"/>
          <w:color w:val="000000"/>
          <w:sz w:val="20"/>
        </w:rPr>
        <w:t>Accretion expense was $114 million, or 0.7% of revenue, and $107 million, or 0.7% of revenue, for the years ended December 31, 2025 and 2024, respectively.</w:t>
      </w:r>
      <w:r>
        <w:rPr>
          <w:color w:val="000000"/>
        </w:rPr>
        <w:t xml:space="preserve">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include salaries, health and welfare benefits and incentive compensation for corporate and field general management, field support functions, sales force, accounting and finance, legal, management information systems and clerical and administrative departments. Other expenses include rent and office costs, fees for professional services provided by third parties, legal settlements, marketing, investor and community relations services, directors’ and officers’ insurance, general employee relocation, travel, entertainment and bank charges. Restructuring charges are excluded from selling, general and administrative expenses and are discussed separately.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selling, general and administrative expenses for the years ended December 31, 2025 and 2024 (in millions of dollars and as a percentage of revenue):</w:t>
      </w:r>
    </w:p>
    <w:tbl>
      <w:tblPr>
        <w:tblW w:w="8646" w:type="dxa"/>
        <w:jc w:val="left"/>
        <w:tblInd w:w="0" w:type="dxa"/>
        <w:tblLayout w:type="fixed"/>
        <w:tblCellMar>
          <w:top w:w="28" w:type="dxa"/>
          <w:left w:w="28" w:type="dxa"/>
          <w:bottom w:w="28" w:type="dxa"/>
          <w:right w:w="28" w:type="dxa"/>
        </w:tblCellMar>
      </w:tblPr>
      <w:tblGrid>
        <w:gridCol w:w="1512"/>
        <w:gridCol w:w="1333"/>
        <w:gridCol w:w="133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316"/>
      </w:tblGrid>
      <w:tr>
        <w:trPr/>
        <w:tc>
          <w:tcPr>
            <w:tcW w:w="151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These cost categories may change from time to time and may not be comparable to similarly titled categories used by other companies. As such, you should take care when comparing our selling, general and administrative expenses by cost component to those of other companies and of ours for prior periods.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most significant items affecting our selling, general and administrative expenses during 2025 as compared to 2024 are summarized below: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Salaries and related benefits decreased primarily due to a decrease in management incentive compensation. This decrease was partially offset by higher wages and benefits resulting from annual merit increases.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 selling, general and administrative expenses increased for the year ended December 31, 2025, largely due to a legal settlement recognized during the period.</w:t>
      </w:r>
    </w:p>
    <w:p>
      <w:pPr>
        <w:pStyle w:val="TextBody"/>
        <w:bidi w:val="0"/>
        <w:spacing w:lineRule="auto" w:line="288" w:before="18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Gain on Business Divestitures and Impairments, Net</w:t>
      </w:r>
    </w:p>
    <w:p>
      <w:pPr>
        <w:pStyle w:val="TextBody"/>
        <w:bidi w:val="0"/>
        <w:spacing w:lineRule="auto" w:line="288" w:before="100" w:after="283"/>
        <w:jc w:val="left"/>
        <w:rPr/>
      </w:pPr>
      <w:r>
        <w:rPr>
          <w:rFonts w:ascii="Times New Roman;serif" w:hAnsi="Times New Roman;serif"/>
          <w:b w:val="false"/>
          <w:color w:val="000000"/>
          <w:sz w:val="20"/>
          <w:shd w:fill="FFFFFF" w:val="clear"/>
        </w:rPr>
        <w:t>We strive to have a leading market position in each of the markets we serve, or have a clear path on how we will achieve a leading market position over time. Where we cannot establish a leading market position, or where operations are not generating acceptable returns, we may decide to divest certain assets and reallocate resources to other markets. Business divestitures could result in gains, losses or impairment charges that m</w:t>
      </w:r>
      <w:r>
        <w:rPr>
          <w:rFonts w:ascii="Times New Roman;serif" w:hAnsi="Times New Roman;serif"/>
          <w:b w:val="false"/>
          <w:color w:val="000000"/>
          <w:sz w:val="20"/>
        </w:rPr>
        <w:t>ay be material to our results of operations in a given period.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we did not record a gain on business divestitures and impairments. During the year ended December 31, 2024, we recorded a gain on business divestitures and impairments of $1 million.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Restructuring Charges</w:t>
      </w:r>
    </w:p>
    <w:p>
      <w:pPr>
        <w:pStyle w:val="TextBody"/>
        <w:bidi w:val="0"/>
        <w:spacing w:lineRule="auto" w:line="288" w:before="100" w:after="283"/>
        <w:jc w:val="left"/>
        <w:rPr/>
      </w:pPr>
      <w:r>
        <w:rPr>
          <w:rFonts w:ascii="Times New Roman;serif" w:hAnsi="Times New Roman;serif"/>
          <w:b w:val="false"/>
          <w:color w:val="000000"/>
          <w:sz w:val="20"/>
        </w:rPr>
        <w:t xml:space="preserve">For a discussion of restructuring charges incurred during the years ended December 31, 2025 and 2024, see </w:t>
      </w:r>
      <w:r>
        <w:rPr>
          <w:rFonts w:ascii="Times New Roman;serif" w:hAnsi="Times New Roman;serif"/>
          <w:b w:val="false"/>
          <w:i/>
          <w:color w:val="000000"/>
          <w:sz w:val="20"/>
        </w:rPr>
        <w:t xml:space="preserve">Overview </w:t>
      </w:r>
      <w:r>
        <w:rPr>
          <w:rFonts w:ascii="Times New Roman;serif" w:hAnsi="Times New Roman;serif"/>
          <w:b w:val="false"/>
          <w:color w:val="000000"/>
          <w:sz w:val="20"/>
        </w:rPr>
        <w:t xml:space="preserve">of this </w:t>
      </w:r>
      <w:r>
        <w:rPr>
          <w:rFonts w:ascii="Times New Roman;serif" w:hAnsi="Times New Roman;serif"/>
          <w:b w:val="false"/>
          <w:i/>
          <w:color w:val="000000"/>
          <w:sz w:val="20"/>
        </w:rPr>
        <w:t xml:space="preserve">Management's Discussion and Analysis of Financial Condition and Results of Operations.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interest expense, including accretion of debt discounts and accretion of discounts primarily associated with environmental and risk insurance liabilities assumed in acquisitions for the years ended December 31, 2025 and 2024 (in millions of dollars):</w:t>
      </w:r>
    </w:p>
    <w:tbl>
      <w:tblPr>
        <w:tblW w:w="4074" w:type="dxa"/>
        <w:jc w:val="left"/>
        <w:tblInd w:w="0" w:type="dxa"/>
        <w:tblLayout w:type="fixed"/>
        <w:tblCellMar>
          <w:top w:w="28" w:type="dxa"/>
          <w:left w:w="28" w:type="dxa"/>
          <w:bottom w:w="28" w:type="dxa"/>
          <w:right w:w="28" w:type="dxa"/>
        </w:tblCellMar>
      </w:tblPr>
      <w:tblGrid>
        <w:gridCol w:w="772"/>
        <w:gridCol w:w="676"/>
        <w:gridCol w:w="682"/>
        <w:gridCol w:w="211"/>
        <w:gridCol w:w="466"/>
        <w:gridCol w:w="109"/>
        <w:gridCol w:w="109"/>
        <w:gridCol w:w="109"/>
        <w:gridCol w:w="109"/>
        <w:gridCol w:w="211"/>
        <w:gridCol w:w="466"/>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capitalized interest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for 2025 increased primarily due to a higher overall debt balance as well as higher interest rates on our debt compared to 2024.</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excluding net swap settlements for interest rate swaps, was $500 million and $487 million for the years ended December 31, 2025 and 2024,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$2.6 billion of floating rate debt. If interest rates increased or decreased by 100 basis points on our floating rate debt, annualized interest expense and net cash payments for interest would increase or decrease by approximately $26 million.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Loss on Extinguishment of Debt</w:t>
      </w:r>
    </w:p>
    <w:p>
      <w:pPr>
        <w:pStyle w:val="TextBody"/>
        <w:bidi w:val="0"/>
        <w:spacing w:lineRule="auto" w:line="288" w:before="100" w:after="283"/>
        <w:jc w:val="left"/>
        <w:rPr/>
      </w:pPr>
      <w:r>
        <w:rPr>
          <w:rFonts w:ascii="Times New Roman;serif" w:hAnsi="Times New Roman;serif"/>
          <w:b w:val="false"/>
          <w:color w:val="000000"/>
          <w:sz w:val="20"/>
        </w:rPr>
        <w:t>During the year ended December 31, 2025, we did not recognize a loss on extinguishment of debt. During the year ended December 31, 2024, we recognized a loss of</w:t>
      </w:r>
      <w:r>
        <w:rPr>
          <w:color w:val="000000"/>
        </w:rPr>
        <w:t xml:space="preserve"> </w:t>
      </w:r>
      <w:r>
        <w:rPr>
          <w:rFonts w:ascii="Times New Roman;serif" w:hAnsi="Times New Roman;serif"/>
          <w:b w:val="false"/>
          <w:color w:val="000000"/>
          <w:sz w:val="20"/>
        </w:rPr>
        <w:t>$2 million due to the amendment and restatement of the Credit Facility.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Adjustment to Withdrawal Liability for Multiemployer Pension Funds</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During </w:t>
      </w:r>
      <w:r>
        <w:rPr>
          <w:rFonts w:ascii="Times New Roman;serif" w:hAnsi="Times New Roman;serif"/>
          <w:b w:val="false"/>
          <w:color w:val="000000"/>
          <w:sz w:val="20"/>
        </w:rPr>
        <w:t xml:space="preserve">2025, we recorded a $1 million charge related to the withdrawal from a certain multiemployer pension plan. As we obtain updated information regarding multiemployer pension funds, the factors used in deriving our estimated withdrawal liabilities will be subject to change, which may adversely impact our reserves for withdrawal costs.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provision for income taxes was $455 million and $388 million for 2025 and 2024, respectively. Our effective tax rate, exclusive of non-controlling interests, for the years ended December 31, 2025 and 2024 was 17.5% and 16.0%, respectively. </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During </w:t>
      </w:r>
      <w:r>
        <w:rPr>
          <w:rFonts w:ascii="Times New Roman;serif" w:hAnsi="Times New Roman;serif"/>
          <w:b w:val="false"/>
          <w:color w:val="000000"/>
          <w:sz w:val="20"/>
        </w:rPr>
        <w:t>2024 and</w:t>
      </w:r>
      <w:r>
        <w:rPr>
          <w:color w:val="000000"/>
          <w:shd w:fill="FFFFFF" w:val="clear"/>
        </w:rPr>
        <w:t xml:space="preserve">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we acquired non-controlling interests in limited liability companies established to own renewable energy assets that qualified for investment tax credits under Section 48 of the Internal Revenue Code. We account for these investments under the equity method of accounting utilizing the Hypothetical Liquidation at Book Value ("HLBV") method and recognize our share of income or loss and other reductions in the value of our investment in loss from unconsolidated equity method investments within our consolidated statements of income. For further discussion regarding our equity method accounting, see Note 3, </w:t>
      </w:r>
      <w:r>
        <w:rPr>
          <w:rFonts w:ascii="Times New Roman;serif" w:hAnsi="Times New Roman;serif"/>
          <w:b w:val="false"/>
          <w:i/>
          <w:color w:val="000000"/>
          <w:sz w:val="20"/>
        </w:rPr>
        <w:t>Business Acquisitions, Investments and Restructuring Charges</w:t>
      </w:r>
      <w:r>
        <w:rPr>
          <w:rFonts w:ascii="Times New Roman;serif" w:hAnsi="Times New Roman;serif"/>
          <w:b w:val="false"/>
          <w:color w:val="000000"/>
          <w:sz w:val="20"/>
          <w:shd w:fill="FFFFFF" w:val="clear"/>
        </w:rPr>
        <w:t>, of the notes to our audited consolidated financial statements in Part II, Item 8 of this Annual Report on Form 10-K.</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July 4, 2025, the One Big Beautiful Bill Act (the "Act”) was signed into law. The Act, among other things, implemented changes to the tax treatment relating to bonus depreciation, research and experimental expenditures and interest expense,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pPr>
      <w:r>
        <w:rPr>
          <w:rFonts w:ascii="Times New Roman;serif" w:hAnsi="Times New Roman;serif"/>
          <w:b w:val="false"/>
          <w:color w:val="000000"/>
          <w:sz w:val="20"/>
          <w:shd w:fill="FFFFFF" w:val="clear"/>
        </w:rPr>
        <w:t>included phase-outs and restrictions on several clean energy tax incentives. We made income tax payments (net of refunds) of $206 million and</w:t>
      </w:r>
      <w:r>
        <w:rPr>
          <w:color w:val="000000"/>
        </w:rPr>
        <w:t xml:space="preserve"> </w:t>
      </w:r>
      <w:r>
        <w:rPr>
          <w:rFonts w:ascii="Times New Roman;serif" w:hAnsi="Times New Roman;serif"/>
          <w:b w:val="false"/>
          <w:color w:val="000000"/>
          <w:sz w:val="20"/>
          <w:shd w:fill="FFFFFF" w:val="clear"/>
        </w:rPr>
        <w:t>$313 million for 2025 and 2024, respectively. Income taxes paid in 2025 reflect benefits from the Act as well as tax credits from our continuing investments in qualified renewable energy projects. The Act did not have a material impact on our effective tax rate. The Company is continuing to evaluate the potential impact of the Act on future years' tax positions.</w:t>
      </w:r>
    </w:p>
    <w:p>
      <w:pPr>
        <w:pStyle w:val="TextBody"/>
        <w:bidi w:val="0"/>
        <w:spacing w:lineRule="auto" w:line="288" w:before="100" w:after="283"/>
        <w:jc w:val="left"/>
        <w:rPr/>
      </w:pPr>
      <w:r>
        <w:rPr>
          <w:rFonts w:ascii="Times New Roman;serif" w:hAnsi="Times New Roman;serif"/>
          <w:b w:val="false"/>
          <w:color w:val="000000"/>
          <w:sz w:val="20"/>
        </w:rPr>
        <w:t xml:space="preserve">We have deferred tax assets related to state net operating loss carryforwards with an estimated tax effect of $51 million available as of December 31, 2025. These state net operating loss carryforwards expire at various times between 2026 and 2045. We believe that it is more likely than not that the benefit from some of our state net operating loss carryforwards will not be realized due to limitations on these loss carryforwards in certain states. In recognition of this risk, as of December 31, 2025, we have provided a valuation allowance of </w:t>
      </w:r>
      <w:r>
        <w:rPr>
          <w:rFonts w:ascii="Times New Roman;serif" w:hAnsi="Times New Roman;serif"/>
          <w:b w:val="false"/>
          <w:color w:val="000000"/>
          <w:sz w:val="20"/>
          <w:shd w:fill="FFFFFF" w:val="clear"/>
        </w:rPr>
        <w:t>$40 million.</w:t>
      </w:r>
    </w:p>
    <w:p>
      <w:pPr>
        <w:pStyle w:val="TextBody"/>
        <w:bidi w:val="0"/>
        <w:spacing w:lineRule="auto" w:line="288" w:before="100" w:after="283"/>
        <w:jc w:val="left"/>
        <w:rPr/>
      </w:pPr>
      <w:r>
        <w:rPr>
          <w:rFonts w:ascii="Times New Roman;serif" w:hAnsi="Times New Roman;serif"/>
          <w:b w:val="false"/>
          <w:color w:val="000000"/>
          <w:sz w:val="20"/>
        </w:rPr>
        <w:t xml:space="preserve">For additional discussion and detail regarding our income taxes, see Note 11, </w:t>
      </w:r>
      <w:r>
        <w:rPr>
          <w:rFonts w:ascii="Times New Roman;serif" w:hAnsi="Times New Roman;serif"/>
          <w:b w:val="false"/>
          <w:i/>
          <w:color w:val="000000"/>
          <w:sz w:val="20"/>
        </w:rPr>
        <w:t>Income Taxes</w:t>
      </w:r>
      <w:r>
        <w:rPr>
          <w:rFonts w:ascii="Times New Roman;serif" w:hAnsi="Times New Roman;serif"/>
          <w:b w:val="false"/>
          <w:color w:val="000000"/>
          <w:sz w:val="20"/>
        </w:rPr>
        <w:t>, of the notes to our audited consolidated financial statements in Part II,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Reportable Segments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senior management evaluates, oversees and manages the financial performance of our operations through three field groups, referred to as Group 1, Group 2 and Group 3. Group 1 is our recycling and waste business operating primarily in geographic areas located in the western United States. Group 2 is our recycling and waste business operating primarily in geographic areas located in the southeastern and mid-western United States, the eastern seaboard of the United States, and Canada. Group 3 is our environmental solutions business operating in geographic areas located across the United States and Canada. These groups are presented below as our reportable segments, which each provide integrated environmental services, including but not limited to collection, transfer, recycling and disposal.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functions include marketing, operations support, business development, legal, tax, treasury, information technology, risk management, human resources and other administrative functions. National Accounts revenue included in Corporate entities and other represents the portion of revenue generated from nationwide and regional contracts in markets outside our operating areas where the associated material handling is subcontracted to local operators. Revenue and overhead costs of Corporate entities and other are either specifically assigned or allocated on a rational and consistent basis among our reportable segments to calculate adjusted EBITDA.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chief operating decision maker (CODM) is Jon Vander Ark, President and Chief Executive Officer of Republic Services, Inc. Adjusted EBITDA is the single financial measure our CODM uses to evaluate segment profitability and returns, which informs resource allocation. For all segments, the CODM uses adjusted EBITDA to evaluate income generated from segment assets (return on invested capital). The CODM considers budget-to-actual variances and year-over-year growth on a monthly basis to assess the performance of each segment. Cost of operations and selling, general and administrative expenses are significant segment expenses used in the evaluation.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pPr>
      <w:r>
        <w:rPr>
          <w:rFonts w:ascii="Times New Roman;serif" w:hAnsi="Times New Roman;serif"/>
          <w:b w:val="false"/>
          <w:color w:val="000000"/>
          <w:sz w:val="20"/>
        </w:rPr>
        <w:t xml:space="preserve">Summarized financial information regarding our reportable segments for the years ended December 31, 2025 and 2024 (in millions of dollars) follows. For totals as well as further detail regarding our reportable segments and the adjustments used to calculate adjusted EBITDA for each segment, see Note 15, </w:t>
      </w:r>
      <w:r>
        <w:rPr>
          <w:rFonts w:ascii="Times New Roman;serif" w:hAnsi="Times New Roman;serif"/>
          <w:b w:val="false"/>
          <w:i/>
          <w:color w:val="000000"/>
          <w:sz w:val="20"/>
        </w:rPr>
        <w:t>Segment Reporting</w:t>
      </w:r>
      <w:r>
        <w:rPr>
          <w:rFonts w:ascii="Times New Roman;serif" w:hAnsi="Times New Roman;serif"/>
          <w:b w:val="false"/>
          <w:color w:val="000000"/>
          <w:sz w:val="20"/>
        </w:rPr>
        <w:t>, of the notes to our audited consolidated financial statements in Part II, Item 8 of this Annual Report on Form 10-K.</w:t>
      </w:r>
    </w:p>
    <w:tbl>
      <w:tblPr>
        <w:tblW w:w="10205" w:type="dxa"/>
        <w:jc w:val="left"/>
        <w:tblInd w:w="0" w:type="dxa"/>
        <w:tblLayout w:type="fixed"/>
        <w:tblCellMar>
          <w:top w:w="28" w:type="dxa"/>
          <w:left w:w="28" w:type="dxa"/>
          <w:bottom w:w="28" w:type="dxa"/>
          <w:right w:w="28" w:type="dxa"/>
        </w:tblCellMar>
      </w:tblPr>
      <w:tblGrid>
        <w:gridCol w:w="594"/>
        <w:gridCol w:w="512"/>
        <w:gridCol w:w="476"/>
        <w:gridCol w:w="196"/>
        <w:gridCol w:w="646"/>
        <w:gridCol w:w="109"/>
        <w:gridCol w:w="109"/>
        <w:gridCol w:w="109"/>
        <w:gridCol w:w="109"/>
        <w:gridCol w:w="196"/>
        <w:gridCol w:w="646"/>
        <w:gridCol w:w="109"/>
        <w:gridCol w:w="109"/>
        <w:gridCol w:w="109"/>
        <w:gridCol w:w="109"/>
        <w:gridCol w:w="283"/>
        <w:gridCol w:w="936"/>
        <w:gridCol w:w="157"/>
        <w:gridCol w:w="109"/>
        <w:gridCol w:w="109"/>
        <w:gridCol w:w="109"/>
        <w:gridCol w:w="331"/>
        <w:gridCol w:w="940"/>
        <w:gridCol w:w="185"/>
        <w:gridCol w:w="109"/>
        <w:gridCol w:w="109"/>
        <w:gridCol w:w="109"/>
        <w:gridCol w:w="285"/>
        <w:gridCol w:w="809"/>
        <w:gridCol w:w="158"/>
        <w:gridCol w:w="109"/>
        <w:gridCol w:w="109"/>
        <w:gridCol w:w="109"/>
        <w:gridCol w:w="196"/>
        <w:gridCol w:w="646"/>
        <w:gridCol w:w="160"/>
      </w:tblGrid>
      <w:tr>
        <w:trPr/>
        <w:tc>
          <w:tcPr>
            <w:tcW w:w="59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Recycling &amp; Waste Subtotal</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3</w:t>
              <w:br/>
              <w:t>(Environmental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 entities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
        <w:gridCol w:w="512"/>
        <w:gridCol w:w="476"/>
        <w:gridCol w:w="196"/>
        <w:gridCol w:w="646"/>
        <w:gridCol w:w="109"/>
        <w:gridCol w:w="109"/>
        <w:gridCol w:w="109"/>
        <w:gridCol w:w="109"/>
        <w:gridCol w:w="196"/>
        <w:gridCol w:w="646"/>
        <w:gridCol w:w="109"/>
        <w:gridCol w:w="109"/>
        <w:gridCol w:w="109"/>
        <w:gridCol w:w="109"/>
        <w:gridCol w:w="283"/>
        <w:gridCol w:w="936"/>
        <w:gridCol w:w="157"/>
        <w:gridCol w:w="109"/>
        <w:gridCol w:w="109"/>
        <w:gridCol w:w="109"/>
        <w:gridCol w:w="331"/>
        <w:gridCol w:w="940"/>
        <w:gridCol w:w="185"/>
        <w:gridCol w:w="109"/>
        <w:gridCol w:w="109"/>
        <w:gridCol w:w="109"/>
        <w:gridCol w:w="285"/>
        <w:gridCol w:w="809"/>
        <w:gridCol w:w="158"/>
        <w:gridCol w:w="109"/>
        <w:gridCol w:w="109"/>
        <w:gridCol w:w="109"/>
        <w:gridCol w:w="196"/>
        <w:gridCol w:w="646"/>
        <w:gridCol w:w="160"/>
      </w:tblGrid>
      <w:tr>
        <w:trPr/>
        <w:tc>
          <w:tcPr>
            <w:tcW w:w="59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Recycling &amp; Waste Subtotal</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3</w:t>
              <w:br/>
              <w:t>(Environmental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 entities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3"/>
        </w:rPr>
      </w:pPr>
      <w:r>
        <w:rPr>
          <w:rFonts w:ascii="Times New Roman;serif" w:hAnsi="Times New Roman;serif"/>
          <w:b w:val="false"/>
          <w:color w:val="000000"/>
          <w:sz w:val="13"/>
        </w:rPr>
        <w:t>(1) The Recycling &amp; Waste Subtotal represents the combined results of our Group 1 and Group 2 reportable segments.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Significant changes in the revenue and adjusted EBITDA of our reportable segments for 2025 compared to 2024 are discussed below.</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Group 1</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in Group 1 increased from $2.3 billion for the year ended December 31, 2024 to $2.5 billion for the year ended December 31, 2025.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most significant items impacting adjusted EBITDA in Group 1 during the year ended December 31, 2025 compared to the year ended December 31, 2024 include: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Net revenue for the year ended December 31, 2025 increased 6.6% from 2024 due to an increase in average yield in all lines of business and higher special waste volumes in our landfill line of business. The increase in special waste volumes was primarily driven by the Los Angeles area wildfire remediation. The increases were partially offset by decreased volume in our large-container and residential collection lines of business. The decrease in volume was also negatively impacted by lower solid waste and construction and demolition volumes in our landfill line of business.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Cost of operations increased primarily due to an increase in labor costs, equipment maintenance and insurance premiums.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Group 2</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in Group 2 increased from $2.3 billion for the year ended December 31, 2024 to $2.4 billion for the year ended December 31, 2025.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most significant items impacting adjusted EBITDA in Group 2 during the year ended December 31, 2025 compared to the year ended December 31, 2024 include: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Net revenue for the year ended December 31, 2025 increased 2.4% from 2024 due to an increase in average yield in all lines of business and increased volume in our landfill line of business. The increase in volume in our landfill line of business was primarily due to increased construction and demolition volume related to the Hurricane Helene recovery efforts as well as increased special waste volumes. These increases were partially offset by decreased volumes in our collection and transfer lines of business.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Cost of operations increased due to an increase in our insurance premiums and landfill operating costs.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Group 3</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in Group 3 decreased from $433 million for the year ended December 31, 2024 to $372 million for the year ended December 31, 2025.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most significant items impacting adjusted EBITDA in Group 3 during the year ended December 31, 2025 compared to the year ended December 31, 2024 include: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Net revenue for the year ended December 31, 2025 decreased due to a decline in manufacturing and emergency response activity as well as a decrease in event-based volumes into our landfills, partially offset by acquisition related growth and price increases relative to 2024.</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Cost of operations decreased primarily due to a decrease in volumes and subcontract costs partially offset by higher labor costs relative to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Landfill and Environmental Matters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landfill costs include daily operating expenses, costs of capital for cell development, costs for final capping, closure and post-closure and the legal and administrative costs of ongoing environmental compliance. Daily operating expenses include leachate treatment, transportation and disposal costs, methane gas and groundwater monitoring and system maintenance costs, interim cap maintenance costs and costs associated with applying daily cover materials. We expense all indirect landfill development costs as they are incurred. We use life cycle accounting and the units-of-consumption method to recognize certain direct landfill costs related to landfill development. In life cycle accounting, certain direct costs are capitalized and charged to depletion expense based on the consumption of cubic yards of available airspace. These costs include all costs to acquire and construct a site, including excavation, natural and synthetic liners, construction of leachate collection systems, installation of methane gas collection and monitoring systems, installation of groundwater monitoring wells and other costs associated with acquiring and developing the site. Obligations associated with final capping, closure and post-closure are capitalized and amortized on a units-of-consumption basis as airspace is consumed.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Cost and airspace estimates are developed at least annually by engineers. Our operating and accounting personnel use these estimates to adjust the rates we use to expense capitalized costs. Changes in these estimates primarily relate to changes in cost estimates, available airspace, inflation and applicable regulations. Changes in available airspace include changes in engineering estimates, changes in design and changes due to the addition of airspace lying in expansion areas that we believe have a probable likelihood of being permitted. Changes in engineering estimates typically include modifications to the available disposal capacity of a landfill based on a refinement of the capacity calculations resulting from updated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Available Airspace</w:t>
      </w:r>
    </w:p>
    <w:p>
      <w:pPr>
        <w:pStyle w:val="TextBody"/>
        <w:bidi w:val="0"/>
        <w:spacing w:lineRule="auto" w:line="288" w:before="100" w:after="283"/>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we owned or operated 207 active landfills with total available disposal capacity estimated to be 5 billion in-place cubic yards. For these landfills, the following table reflects changes in capacity and remaining capacity, as measured in cubic yards of airspace, as of </w:t>
      </w:r>
      <w:r>
        <w:rPr>
          <w:rFonts w:ascii="Times New Roman;serif" w:hAnsi="Times New Roman;serif"/>
          <w:b w:val="false"/>
          <w:color w:val="000000"/>
          <w:sz w:val="20"/>
          <w:shd w:fill="FFFFFF" w:val="clear"/>
        </w:rPr>
        <w:t>December 31, 2025.</w:t>
      </w:r>
    </w:p>
    <w:tbl>
      <w:tblPr>
        <w:tblW w:w="10205" w:type="dxa"/>
        <w:jc w:val="left"/>
        <w:tblInd w:w="0" w:type="dxa"/>
        <w:tblLayout w:type="fixed"/>
        <w:tblCellMar>
          <w:top w:w="28" w:type="dxa"/>
          <w:left w:w="28" w:type="dxa"/>
          <w:bottom w:w="28" w:type="dxa"/>
          <w:right w:w="28" w:type="dxa"/>
        </w:tblCellMar>
      </w:tblPr>
      <w:tblGrid>
        <w:gridCol w:w="661"/>
        <w:gridCol w:w="581"/>
        <w:gridCol w:w="582"/>
        <w:gridCol w:w="334"/>
        <w:gridCol w:w="319"/>
        <w:gridCol w:w="321"/>
        <w:gridCol w:w="109"/>
        <w:gridCol w:w="109"/>
        <w:gridCol w:w="109"/>
        <w:gridCol w:w="305"/>
        <w:gridCol w:w="305"/>
        <w:gridCol w:w="306"/>
        <w:gridCol w:w="109"/>
        <w:gridCol w:w="109"/>
        <w:gridCol w:w="109"/>
        <w:gridCol w:w="305"/>
        <w:gridCol w:w="305"/>
        <w:gridCol w:w="306"/>
        <w:gridCol w:w="109"/>
        <w:gridCol w:w="109"/>
        <w:gridCol w:w="109"/>
        <w:gridCol w:w="250"/>
        <w:gridCol w:w="250"/>
        <w:gridCol w:w="251"/>
        <w:gridCol w:w="109"/>
        <w:gridCol w:w="109"/>
        <w:gridCol w:w="109"/>
        <w:gridCol w:w="280"/>
        <w:gridCol w:w="280"/>
        <w:gridCol w:w="281"/>
        <w:gridCol w:w="109"/>
        <w:gridCol w:w="109"/>
        <w:gridCol w:w="109"/>
        <w:gridCol w:w="320"/>
        <w:gridCol w:w="320"/>
        <w:gridCol w:w="321"/>
        <w:gridCol w:w="109"/>
        <w:gridCol w:w="109"/>
        <w:gridCol w:w="109"/>
        <w:gridCol w:w="344"/>
        <w:gridCol w:w="293"/>
        <w:gridCol w:w="423"/>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w:t>
              <w:br/>
              <w:t>Expansions</w:t>
              <w:br/>
              <w:t>Undertaken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Landfills</w:t>
              <w:br/>
              <w:t>Acquired,</w:t>
              <w:br/>
              <w:t>Net of</w:t>
              <w:br/>
              <w:t>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Permits Granted / </w:t>
              <w:br/>
              <w:t>New Sites,</w:t>
              <w:br/>
              <w:t>Net of 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Airspace</w:t>
              <w:br/>
              <w:t>Consumed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Changes in</w:t>
              <w:br/>
              <w:t>Engineering</w:t>
              <w:br/>
              <w:t>Estimates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Cubic yards (in millions):</w:t>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Permitted airspace</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4,872 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Probable expansion airspace</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cubic yards (in millions)</w:t>
            </w:r>
          </w:p>
        </w:tc>
        <w:tc>
          <w:tcPr>
            <w:tcW w:w="6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5,027 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5,027 </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Number of sites:</w:t>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Permitted airspace</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Probable expansion airspace</w:t>
            </w:r>
          </w:p>
        </w:tc>
        <w:tc>
          <w:tcPr>
            <w:tcW w:w="65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4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20"/>
        </w:rPr>
        <w:t>The following table reflects changes in capacity and remaining capacity for these landfills, as measured in cubic yards of airspace, as of December 31, 2024</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661"/>
        <w:gridCol w:w="581"/>
        <w:gridCol w:w="582"/>
        <w:gridCol w:w="334"/>
        <w:gridCol w:w="319"/>
        <w:gridCol w:w="321"/>
        <w:gridCol w:w="109"/>
        <w:gridCol w:w="109"/>
        <w:gridCol w:w="109"/>
        <w:gridCol w:w="305"/>
        <w:gridCol w:w="305"/>
        <w:gridCol w:w="306"/>
        <w:gridCol w:w="109"/>
        <w:gridCol w:w="109"/>
        <w:gridCol w:w="109"/>
        <w:gridCol w:w="305"/>
        <w:gridCol w:w="305"/>
        <w:gridCol w:w="306"/>
        <w:gridCol w:w="109"/>
        <w:gridCol w:w="109"/>
        <w:gridCol w:w="109"/>
        <w:gridCol w:w="250"/>
        <w:gridCol w:w="250"/>
        <w:gridCol w:w="251"/>
        <w:gridCol w:w="109"/>
        <w:gridCol w:w="109"/>
        <w:gridCol w:w="109"/>
        <w:gridCol w:w="280"/>
        <w:gridCol w:w="280"/>
        <w:gridCol w:w="281"/>
        <w:gridCol w:w="109"/>
        <w:gridCol w:w="109"/>
        <w:gridCol w:w="109"/>
        <w:gridCol w:w="320"/>
        <w:gridCol w:w="320"/>
        <w:gridCol w:w="321"/>
        <w:gridCol w:w="109"/>
        <w:gridCol w:w="109"/>
        <w:gridCol w:w="109"/>
        <w:gridCol w:w="344"/>
        <w:gridCol w:w="293"/>
        <w:gridCol w:w="423"/>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w:t>
              <w:br/>
              <w:t>Expansions</w:t>
              <w:br/>
              <w:t>Undertaken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Landfills</w:t>
              <w:br/>
              <w:t>Acquired,</w:t>
              <w:br/>
              <w:t>Net of</w:t>
              <w:br/>
              <w:t>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Permits Granted / </w:t>
              <w:br/>
              <w:t>New Sites,</w:t>
              <w:br/>
              <w:t>Net of 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Airspace</w:t>
              <w:br/>
              <w:t>Consumed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Changes in</w:t>
              <w:br/>
              <w:t>Engineering</w:t>
              <w:br/>
              <w:t>Estimates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Cubic yards (in millions):</w:t>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Permitted airspace</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4,745 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Probable expansion airspace</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cubic yards (in millions)</w:t>
            </w:r>
          </w:p>
        </w:tc>
        <w:tc>
          <w:tcPr>
            <w:tcW w:w="6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5,104 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5,027 </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Number of sites:</w:t>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Permitted airspace</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Probable expansion airspace</w:t>
            </w:r>
          </w:p>
        </w:tc>
        <w:tc>
          <w:tcPr>
            <w:tcW w:w="65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4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20"/>
        </w:rPr>
        <w:t xml:space="preserve">Total available disposal capacity represents the sum of estimated permitted airspace plus an estimate of probable expansion airspace. Engineers develop these estimates at least annually using information provided by annual aerial surveys. Before airspace included in an expansion area is determined to be probable expansion airspace and, therefore, included in our calculation of total available disposal capacity, it must meet all of our expansion criteria. See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 xml:space="preserve">and Note 8, </w:t>
      </w:r>
      <w:r>
        <w:rPr>
          <w:rFonts w:ascii="Times New Roman;serif" w:hAnsi="Times New Roman;serif"/>
          <w:b w:val="false"/>
          <w:i/>
          <w:color w:val="000000"/>
          <w:sz w:val="20"/>
        </w:rPr>
        <w:t>Landfill and Environmental Costs</w:t>
      </w:r>
      <w:r>
        <w:rPr>
          <w:rFonts w:ascii="Times New Roman;serif" w:hAnsi="Times New Roman;serif"/>
          <w:b w:val="false"/>
          <w:color w:val="000000"/>
          <w:sz w:val="20"/>
        </w:rPr>
        <w:t xml:space="preserve">, of the notes to our audited consolidated financial statements in Part II, Item 8 of this Annual Report on Form 10-K for further information. Also see our </w:t>
      </w:r>
      <w:r>
        <w:rPr>
          <w:rFonts w:ascii="Times New Roman;serif" w:hAnsi="Times New Roman;serif"/>
          <w:b w:val="false"/>
          <w:i/>
          <w:color w:val="000000"/>
          <w:sz w:val="20"/>
        </w:rPr>
        <w:t>Critical Accounting Judgments and Estimates</w:t>
      </w:r>
      <w:r>
        <w:rPr>
          <w:color w:val="000000"/>
        </w:rPr>
        <w:t xml:space="preserve"> </w:t>
      </w:r>
      <w:r>
        <w:rPr>
          <w:rFonts w:ascii="Times New Roman;serif" w:hAnsi="Times New Roman;serif"/>
          <w:b w:val="false"/>
          <w:color w:val="000000"/>
          <w:sz w:val="20"/>
        </w:rPr>
        <w:t>section of this Management's Discussion and Analysis of Financial Condition and Results of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12 of our landfills met all of our criteria for including their probable expansion airspace in their total available disposal capacity. At projected annual volumes, these 12 landfills have an estimated remaining average site life of 32 years, including probable expansion airspace. The average estimated remaining life of all of our landfills is 56 years. We have other expansion opportunities that are not included in our total available airspace because they do not meet all of our criteria for treatment as probable expansion airspace.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estimated operating lives of our active landfill sites based on available and probable disposal capacity using current annual volumes as of December 31, 2025:</w:t>
      </w:r>
    </w:p>
    <w:tbl>
      <w:tblPr>
        <w:tblW w:w="5751" w:type="dxa"/>
        <w:jc w:val="left"/>
        <w:tblInd w:w="0" w:type="dxa"/>
        <w:tblLayout w:type="fixed"/>
        <w:tblCellMar>
          <w:top w:w="28" w:type="dxa"/>
          <w:left w:w="28" w:type="dxa"/>
          <w:bottom w:w="28" w:type="dxa"/>
          <w:right w:w="28" w:type="dxa"/>
        </w:tblCellMar>
      </w:tblPr>
      <w:tblGrid>
        <w:gridCol w:w="456"/>
        <w:gridCol w:w="401"/>
        <w:gridCol w:w="403"/>
        <w:gridCol w:w="325"/>
        <w:gridCol w:w="325"/>
        <w:gridCol w:w="326"/>
        <w:gridCol w:w="109"/>
        <w:gridCol w:w="109"/>
        <w:gridCol w:w="109"/>
        <w:gridCol w:w="325"/>
        <w:gridCol w:w="325"/>
        <w:gridCol w:w="326"/>
        <w:gridCol w:w="109"/>
        <w:gridCol w:w="109"/>
        <w:gridCol w:w="109"/>
        <w:gridCol w:w="232"/>
        <w:gridCol w:w="234"/>
        <w:gridCol w:w="181"/>
        <w:gridCol w:w="109"/>
        <w:gridCol w:w="109"/>
        <w:gridCol w:w="109"/>
        <w:gridCol w:w="232"/>
        <w:gridCol w:w="234"/>
        <w:gridCol w:w="445"/>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br/>
              <w:t>of Sites</w:t>
              <w:br/>
              <w:t>without</w:t>
              <w:br/>
              <w:t>Probable</w:t>
              <w:br/>
              <w:t>Expansion</w:t>
              <w:br/>
              <w:t>Airspace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br/>
              <w:t>of Sites</w:t>
              <w:br/>
              <w:t>with</w:t>
              <w:br/>
              <w:t>Probable</w:t>
              <w:br/>
              <w:t>Expansion</w:t>
              <w:br/>
              <w:t>Airspace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br/>
              <w:t>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br/>
              <w:t>of</w:t>
              <w:br/>
              <w:t>Total</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 to 5 years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 to 10 years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 to 20 years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 to 40 years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 years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Final Capping, Closure and Post-Closure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accrued final capping, closure and post-closure costs were $2,313 million, of which $87 million were current and $2,226 million were long-term as reflected in our consolidated balance sheets in accrued landfill and environmental costs included in Part II,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Remediation and Other Charges for Landfill Matters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It is reasonably possible that we will need to adjust our accrued landfill and environmental liabilities to reflect the effects of new or additional information, to the extent that such information impacts the costs, timing or duration of the required actions. Future changes in our estimates of the costs, timing or duration of the required actions could have a material adverse effect on our consolidated financial position, results of operations and cash flows.</w:t>
      </w:r>
    </w:p>
    <w:p>
      <w:pPr>
        <w:pStyle w:val="TextBody"/>
        <w:bidi w:val="0"/>
        <w:spacing w:lineRule="auto" w:line="288" w:before="100" w:after="283"/>
        <w:jc w:val="left"/>
        <w:rPr/>
      </w:pPr>
      <w:r>
        <w:rPr>
          <w:rFonts w:ascii="Times New Roman;serif" w:hAnsi="Times New Roman;serif"/>
          <w:b w:val="false"/>
          <w:color w:val="000000"/>
          <w:sz w:val="20"/>
        </w:rPr>
        <w:t xml:space="preserve">For a description of our significant remediation matters, see Note 8, </w:t>
      </w:r>
      <w:r>
        <w:rPr>
          <w:rFonts w:ascii="Times New Roman;serif" w:hAnsi="Times New Roman;serif"/>
          <w:b w:val="false"/>
          <w:i/>
          <w:color w:val="000000"/>
          <w:sz w:val="20"/>
        </w:rPr>
        <w:t>Landfill and Environmental Costs,</w:t>
      </w:r>
      <w:r>
        <w:rPr>
          <w:color w:val="000000"/>
        </w:rPr>
        <w:t xml:space="preserve"> </w:t>
      </w:r>
      <w:r>
        <w:rPr>
          <w:rFonts w:ascii="Times New Roman;serif" w:hAnsi="Times New Roman;serif"/>
          <w:b w:val="false"/>
          <w:color w:val="000000"/>
          <w:sz w:val="20"/>
        </w:rPr>
        <w:t>of the notes to our audited consolidated financial statements in Part II,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Investment in Landfills</w:t>
      </w:r>
    </w:p>
    <w:p>
      <w:pPr>
        <w:pStyle w:val="TextBody"/>
        <w:bidi w:val="0"/>
        <w:spacing w:lineRule="auto" w:line="288" w:before="100" w:after="283"/>
        <w:jc w:val="left"/>
        <w:rPr/>
      </w:pPr>
      <w:r>
        <w:rPr>
          <w:rFonts w:ascii="Times New Roman;serif" w:hAnsi="Times New Roman;serif"/>
          <w:b w:val="false"/>
          <w:color w:val="000000"/>
          <w:sz w:val="20"/>
        </w:rPr>
        <w:t xml:space="preserve">As of December 31, 2025, we expect to spend an estimated additional $13 billion on existing landfills, primarily related to cell construction and environmental structures, over their remaining lives. Our total expected investment, excluding non-depletable land, estimated to be </w:t>
      </w:r>
      <w:r>
        <w:rPr>
          <w:rFonts w:ascii="Times New Roman;serif" w:hAnsi="Times New Roman;serif"/>
          <w:b w:val="false"/>
          <w:color w:val="000000"/>
          <w:sz w:val="20"/>
          <w:shd w:fill="FFFFFF" w:val="clear"/>
        </w:rPr>
        <w:t>$18.2 billion</w:t>
      </w:r>
      <w:r>
        <w:rPr>
          <w:rFonts w:ascii="Times New Roman;serif" w:hAnsi="Times New Roman;serif"/>
          <w:b w:val="false"/>
          <w:color w:val="000000"/>
          <w:sz w:val="20"/>
        </w:rPr>
        <w:t xml:space="preserve">, or </w:t>
      </w:r>
      <w:r>
        <w:rPr>
          <w:rFonts w:ascii="Times New Roman;serif" w:hAnsi="Times New Roman;serif"/>
          <w:b w:val="false"/>
          <w:color w:val="000000"/>
          <w:sz w:val="20"/>
          <w:shd w:fill="FFFFFF" w:val="clear"/>
        </w:rPr>
        <w:t xml:space="preserve">$3.62 </w:t>
      </w:r>
      <w:r>
        <w:rPr>
          <w:rFonts w:ascii="Times New Roman;serif" w:hAnsi="Times New Roman;serif"/>
          <w:b w:val="false"/>
          <w:color w:val="000000"/>
          <w:sz w:val="20"/>
        </w:rPr>
        <w:t>per cubic yard, is used in determining our depletion and amortization expense based on airspace consumed using the units-of-consumption method.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our future expected investment as of December 31, 2025 (in millions):</w:t>
      </w:r>
    </w:p>
    <w:tbl>
      <w:tblPr>
        <w:tblW w:w="8884" w:type="dxa"/>
        <w:jc w:val="left"/>
        <w:tblInd w:w="0" w:type="dxa"/>
        <w:tblLayout w:type="fixed"/>
        <w:tblCellMar>
          <w:top w:w="28" w:type="dxa"/>
          <w:left w:w="28" w:type="dxa"/>
          <w:bottom w:w="28" w:type="dxa"/>
          <w:right w:w="28" w:type="dxa"/>
        </w:tblCellMar>
      </w:tblPr>
      <w:tblGrid>
        <w:gridCol w:w="1391"/>
        <w:gridCol w:w="1221"/>
        <w:gridCol w:w="1227"/>
        <w:gridCol w:w="556"/>
        <w:gridCol w:w="1579"/>
        <w:gridCol w:w="309"/>
        <w:gridCol w:w="109"/>
        <w:gridCol w:w="109"/>
        <w:gridCol w:w="109"/>
        <w:gridCol w:w="196"/>
        <w:gridCol w:w="646"/>
        <w:gridCol w:w="109"/>
        <w:gridCol w:w="109"/>
        <w:gridCol w:w="109"/>
        <w:gridCol w:w="109"/>
        <w:gridCol w:w="196"/>
        <w:gridCol w:w="64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Expected</w:t>
              <w:br/>
              <w:t>Future</w:t>
              <w:b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Expected</w:t>
              <w:br/>
              <w:t>Investment</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Non-depletable landfill land</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Landfill development costs</w:t>
            </w:r>
          </w:p>
        </w:tc>
        <w:tc>
          <w:tcPr>
            <w:tcW w:w="2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Construction-in-progress – landfill</w:t>
            </w:r>
          </w:p>
        </w:tc>
        <w:tc>
          <w:tcPr>
            <w:tcW w:w="2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depletion and amortization</w:t>
            </w:r>
          </w:p>
        </w:tc>
        <w:tc>
          <w:tcPr>
            <w:tcW w:w="2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(6,578)</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 landfill land and development costs</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5,295 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our net investment in our landfills, excluding non-depletable land, and our depletion, amortization and accretion expense for the years ended December 31, 2025 and 2024:</w:t>
      </w:r>
    </w:p>
    <w:tbl>
      <w:tblPr>
        <w:tblW w:w="8018" w:type="dxa"/>
        <w:jc w:val="left"/>
        <w:tblInd w:w="0" w:type="dxa"/>
        <w:tblLayout w:type="fixed"/>
        <w:tblCellMar>
          <w:top w:w="28" w:type="dxa"/>
          <w:left w:w="28" w:type="dxa"/>
          <w:bottom w:w="28" w:type="dxa"/>
          <w:right w:w="28" w:type="dxa"/>
        </w:tblCellMar>
      </w:tblPr>
      <w:tblGrid>
        <w:gridCol w:w="2144"/>
        <w:gridCol w:w="1881"/>
        <w:gridCol w:w="1899"/>
        <w:gridCol w:w="196"/>
        <w:gridCol w:w="556"/>
        <w:gridCol w:w="109"/>
        <w:gridCol w:w="109"/>
        <w:gridCol w:w="109"/>
        <w:gridCol w:w="109"/>
        <w:gridCol w:w="196"/>
        <w:gridCol w:w="556"/>
        <w:gridCol w:w="154"/>
      </w:tblGrid>
      <w:tr>
        <w:trPr/>
        <w:tc>
          <w:tcPr>
            <w:tcW w:w="2144"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Number of landfills owned or operated</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excluding non-depletable land (in millions)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estimated available disposal capacity (in millions of cubic yards)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per cubic yard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Landfill depletion and amortization expense (in millions)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expense (in millions)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Airspace consumed (in millions of cubic yards)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amortization and accretion expense per cubic yard of airspace consumed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2025 and 2024, our average compaction rate was approximately 2,000 pounds per cubic yard based primarily on a three-year historical moving average.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Property and Equipment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reflect the activity in our property and equipment accounts for the year ended December 31, 2025 (in millions of dollars):</w:t>
      </w:r>
    </w:p>
    <w:tbl>
      <w:tblPr>
        <w:tblW w:w="11748" w:type="dxa"/>
        <w:jc w:val="left"/>
        <w:tblInd w:w="0" w:type="dxa"/>
        <w:tblLayout w:type="fixed"/>
        <w:tblCellMar>
          <w:top w:w="28" w:type="dxa"/>
          <w:left w:w="28" w:type="dxa"/>
          <w:bottom w:w="28" w:type="dxa"/>
          <w:right w:w="28" w:type="dxa"/>
        </w:tblCellMar>
      </w:tblPr>
      <w:tblGrid>
        <w:gridCol w:w="764"/>
        <w:gridCol w:w="671"/>
        <w:gridCol w:w="411"/>
        <w:gridCol w:w="196"/>
        <w:gridCol w:w="646"/>
        <w:gridCol w:w="109"/>
        <w:gridCol w:w="109"/>
        <w:gridCol w:w="109"/>
        <w:gridCol w:w="109"/>
        <w:gridCol w:w="196"/>
        <w:gridCol w:w="556"/>
        <w:gridCol w:w="109"/>
        <w:gridCol w:w="109"/>
        <w:gridCol w:w="109"/>
        <w:gridCol w:w="109"/>
        <w:gridCol w:w="242"/>
        <w:gridCol w:w="538"/>
        <w:gridCol w:w="136"/>
        <w:gridCol w:w="109"/>
        <w:gridCol w:w="109"/>
        <w:gridCol w:w="109"/>
        <w:gridCol w:w="271"/>
        <w:gridCol w:w="583"/>
        <w:gridCol w:w="152"/>
        <w:gridCol w:w="109"/>
        <w:gridCol w:w="109"/>
        <w:gridCol w:w="109"/>
        <w:gridCol w:w="248"/>
        <w:gridCol w:w="514"/>
        <w:gridCol w:w="139"/>
        <w:gridCol w:w="109"/>
        <w:gridCol w:w="109"/>
        <w:gridCol w:w="109"/>
        <w:gridCol w:w="264"/>
        <w:gridCol w:w="548"/>
        <w:gridCol w:w="149"/>
        <w:gridCol w:w="109"/>
        <w:gridCol w:w="109"/>
        <w:gridCol w:w="109"/>
        <w:gridCol w:w="281"/>
        <w:gridCol w:w="583"/>
        <w:gridCol w:w="157"/>
        <w:gridCol w:w="109"/>
        <w:gridCol w:w="109"/>
        <w:gridCol w:w="109"/>
        <w:gridCol w:w="196"/>
        <w:gridCol w:w="646"/>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90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Property and Equipment</w:t>
            </w:r>
          </w:p>
        </w:tc>
      </w:tr>
      <w:tr>
        <w:trPr/>
        <w:tc>
          <w:tcPr>
            <w:tcW w:w="18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Additions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Retirements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Acquisitions,</w:t>
              <w:br/>
              <w:t>Net of</w:t>
              <w:br/>
              <w:t>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Non-Cash</w:t>
              <w:br/>
              <w:t>Additions</w:t>
              <w:br/>
              <w:t>for Asset</w:t>
              <w:br/>
              <w:t>Retirement</w:t>
              <w:br/>
              <w:t>Obligations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Adjustments</w:t>
              <w:br/>
              <w:t>for</w:t>
              <w:br/>
              <w:t>Asset</w:t>
              <w:br/>
              <w:t>Retirement</w:t>
              <w:br/>
              <w:t>Obligations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Impairments,</w:t>
              <w:br/>
              <w:t>Transfers</w:t>
              <w:br/>
              <w:t>and</w:t>
              <w:br/>
              <w:t>Other</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Landfill development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Vehicles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Buildings and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Construction-in-progress - landfill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Construction-in-progress -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88"/>
        <w:gridCol w:w="357"/>
        <w:gridCol w:w="358"/>
        <w:gridCol w:w="221"/>
        <w:gridCol w:w="759"/>
        <w:gridCol w:w="122"/>
        <w:gridCol w:w="109"/>
        <w:gridCol w:w="109"/>
        <w:gridCol w:w="109"/>
        <w:gridCol w:w="196"/>
        <w:gridCol w:w="576"/>
        <w:gridCol w:w="109"/>
        <w:gridCol w:w="109"/>
        <w:gridCol w:w="109"/>
        <w:gridCol w:w="109"/>
        <w:gridCol w:w="247"/>
        <w:gridCol w:w="531"/>
        <w:gridCol w:w="138"/>
        <w:gridCol w:w="109"/>
        <w:gridCol w:w="109"/>
        <w:gridCol w:w="109"/>
        <w:gridCol w:w="277"/>
        <w:gridCol w:w="574"/>
        <w:gridCol w:w="155"/>
        <w:gridCol w:w="109"/>
        <w:gridCol w:w="109"/>
        <w:gridCol w:w="109"/>
        <w:gridCol w:w="335"/>
        <w:gridCol w:w="438"/>
        <w:gridCol w:w="188"/>
        <w:gridCol w:w="109"/>
        <w:gridCol w:w="109"/>
        <w:gridCol w:w="109"/>
        <w:gridCol w:w="281"/>
        <w:gridCol w:w="583"/>
        <w:gridCol w:w="157"/>
        <w:gridCol w:w="109"/>
        <w:gridCol w:w="109"/>
        <w:gridCol w:w="109"/>
        <w:gridCol w:w="220"/>
        <w:gridCol w:w="755"/>
        <w:gridCol w:w="178"/>
      </w:tblGrid>
      <w:tr>
        <w:trPr/>
        <w:tc>
          <w:tcPr>
            <w:tcW w:w="48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Depreciation, Amortization and Depletion</w:t>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Additions</w:t>
              <w:br/>
              <w:t>Charged</w:t>
              <w:br/>
              <w:t>to</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Retirements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Acquisitions,</w:t>
              <w:br/>
              <w:t>Net of</w:t>
              <w:br/>
              <w:t>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Adjustments</w:t>
              <w:br/>
              <w:t>for</w:t>
              <w:br/>
              <w:t>Asset</w:t>
              <w:br/>
              <w:t>Retirement</w:t>
              <w:br/>
              <w:t>Obligations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Impairments,</w:t>
              <w:br/>
              <w:t>Transfers</w:t>
              <w:br/>
              <w:t>and</w:t>
              <w:br/>
              <w:t>Other</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Landfill development costs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(6,578)</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Vehicles and equipment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Buildings and improvements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(13,667)</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(14,824)</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reflect the activity in our property and equipment accounts for the year ended December 31, 2024 (in millions of dollars):</w:t>
      </w:r>
    </w:p>
    <w:tbl>
      <w:tblPr>
        <w:tblW w:w="11748" w:type="dxa"/>
        <w:jc w:val="center"/>
        <w:tblInd w:w="0" w:type="dxa"/>
        <w:tblLayout w:type="fixed"/>
        <w:tblCellMar>
          <w:top w:w="28" w:type="dxa"/>
          <w:left w:w="28" w:type="dxa"/>
          <w:bottom w:w="28" w:type="dxa"/>
          <w:right w:w="28" w:type="dxa"/>
        </w:tblCellMar>
      </w:tblPr>
      <w:tblGrid>
        <w:gridCol w:w="764"/>
        <w:gridCol w:w="671"/>
        <w:gridCol w:w="411"/>
        <w:gridCol w:w="196"/>
        <w:gridCol w:w="646"/>
        <w:gridCol w:w="109"/>
        <w:gridCol w:w="109"/>
        <w:gridCol w:w="109"/>
        <w:gridCol w:w="109"/>
        <w:gridCol w:w="196"/>
        <w:gridCol w:w="556"/>
        <w:gridCol w:w="109"/>
        <w:gridCol w:w="109"/>
        <w:gridCol w:w="109"/>
        <w:gridCol w:w="109"/>
        <w:gridCol w:w="242"/>
        <w:gridCol w:w="538"/>
        <w:gridCol w:w="136"/>
        <w:gridCol w:w="109"/>
        <w:gridCol w:w="109"/>
        <w:gridCol w:w="109"/>
        <w:gridCol w:w="310"/>
        <w:gridCol w:w="523"/>
        <w:gridCol w:w="173"/>
        <w:gridCol w:w="109"/>
        <w:gridCol w:w="109"/>
        <w:gridCol w:w="109"/>
        <w:gridCol w:w="248"/>
        <w:gridCol w:w="514"/>
        <w:gridCol w:w="139"/>
        <w:gridCol w:w="109"/>
        <w:gridCol w:w="109"/>
        <w:gridCol w:w="109"/>
        <w:gridCol w:w="264"/>
        <w:gridCol w:w="548"/>
        <w:gridCol w:w="149"/>
        <w:gridCol w:w="109"/>
        <w:gridCol w:w="109"/>
        <w:gridCol w:w="109"/>
        <w:gridCol w:w="307"/>
        <w:gridCol w:w="542"/>
        <w:gridCol w:w="172"/>
        <w:gridCol w:w="109"/>
        <w:gridCol w:w="109"/>
        <w:gridCol w:w="109"/>
        <w:gridCol w:w="196"/>
        <w:gridCol w:w="646"/>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90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Property and Equipment</w:t>
            </w:r>
          </w:p>
        </w:tc>
      </w:tr>
      <w:tr>
        <w:trPr/>
        <w:tc>
          <w:tcPr>
            <w:tcW w:w="18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Additions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Retirements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Acquisitions,</w:t>
              <w:br/>
              <w:t>Net of</w:t>
              <w:br/>
              <w:t>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Non-Cash</w:t>
              <w:br/>
              <w:t>Additions</w:t>
              <w:br/>
              <w:t>for Asset</w:t>
              <w:br/>
              <w:t>Retirement</w:t>
              <w:br/>
              <w:t>Obligations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Adjustments</w:t>
              <w:br/>
              <w:t>for</w:t>
              <w:br/>
              <w:t>Asset</w:t>
              <w:br/>
              <w:t>Retirement</w:t>
              <w:br/>
              <w:t>Obligations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Impairments,</w:t>
              <w:br/>
              <w:t>Transfers</w:t>
              <w:br/>
              <w:t>and</w:t>
              <w:br/>
              <w:t>Other</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Landfill development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Vehicles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Buildings and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Construction-in-progress - landfill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Construction-in-progress -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88"/>
        <w:gridCol w:w="357"/>
        <w:gridCol w:w="358"/>
        <w:gridCol w:w="221"/>
        <w:gridCol w:w="759"/>
        <w:gridCol w:w="122"/>
        <w:gridCol w:w="109"/>
        <w:gridCol w:w="109"/>
        <w:gridCol w:w="109"/>
        <w:gridCol w:w="196"/>
        <w:gridCol w:w="576"/>
        <w:gridCol w:w="109"/>
        <w:gridCol w:w="109"/>
        <w:gridCol w:w="109"/>
        <w:gridCol w:w="109"/>
        <w:gridCol w:w="247"/>
        <w:gridCol w:w="531"/>
        <w:gridCol w:w="138"/>
        <w:gridCol w:w="109"/>
        <w:gridCol w:w="109"/>
        <w:gridCol w:w="109"/>
        <w:gridCol w:w="277"/>
        <w:gridCol w:w="574"/>
        <w:gridCol w:w="155"/>
        <w:gridCol w:w="109"/>
        <w:gridCol w:w="109"/>
        <w:gridCol w:w="109"/>
        <w:gridCol w:w="289"/>
        <w:gridCol w:w="510"/>
        <w:gridCol w:w="162"/>
        <w:gridCol w:w="109"/>
        <w:gridCol w:w="109"/>
        <w:gridCol w:w="109"/>
        <w:gridCol w:w="356"/>
        <w:gridCol w:w="465"/>
        <w:gridCol w:w="200"/>
        <w:gridCol w:w="109"/>
        <w:gridCol w:w="109"/>
        <w:gridCol w:w="109"/>
        <w:gridCol w:w="220"/>
        <w:gridCol w:w="755"/>
        <w:gridCol w:w="178"/>
      </w:tblGrid>
      <w:tr>
        <w:trPr/>
        <w:tc>
          <w:tcPr>
            <w:tcW w:w="48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Depreciation, Amortization and Depletion</w:t>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Additions</w:t>
              <w:br/>
              <w:t>Charged</w:t>
              <w:br/>
              <w:t>to</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Retirements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Acquisitions,</w:t>
              <w:br/>
              <w:t>Net of</w:t>
              <w:br/>
              <w:t>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Adjustments</w:t>
              <w:br/>
              <w:t>for</w:t>
              <w:br/>
              <w:t>Asset</w:t>
              <w:br/>
              <w:t>Retirement</w:t>
              <w:br/>
              <w:t>Obligations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Impairments,</w:t>
              <w:br/>
              <w:t>Transfers</w:t>
              <w:br/>
              <w:t>and</w:t>
              <w:br/>
              <w:t>Other</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Landfill development costs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(6,031)</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Vehicles and equipment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Buildings and improvements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(12,496)</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(13,667)</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cash and cash equivalents and restricted cash and marketable securities balances as of December 31:</w:t>
      </w:r>
    </w:p>
    <w:tbl>
      <w:tblPr>
        <w:tblW w:w="8015" w:type="dxa"/>
        <w:jc w:val="left"/>
        <w:tblInd w:w="0" w:type="dxa"/>
        <w:tblLayout w:type="fixed"/>
        <w:tblCellMar>
          <w:top w:w="28" w:type="dxa"/>
          <w:left w:w="28" w:type="dxa"/>
          <w:bottom w:w="28" w:type="dxa"/>
          <w:right w:w="28" w:type="dxa"/>
        </w:tblCellMar>
      </w:tblPr>
      <w:tblGrid>
        <w:gridCol w:w="2080"/>
        <w:gridCol w:w="1827"/>
        <w:gridCol w:w="1837"/>
        <w:gridCol w:w="109"/>
        <w:gridCol w:w="109"/>
        <w:gridCol w:w="109"/>
        <w:gridCol w:w="211"/>
        <w:gridCol w:w="466"/>
        <w:gridCol w:w="109"/>
        <w:gridCol w:w="109"/>
        <w:gridCol w:w="109"/>
        <w:gridCol w:w="109"/>
        <w:gridCol w:w="211"/>
        <w:gridCol w:w="466"/>
        <w:gridCol w:w="154"/>
      </w:tblGrid>
      <w:tr>
        <w:trPr/>
        <w:tc>
          <w:tcPr>
            <w:tcW w:w="2080"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restricted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restricted cash and restricted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restricted cash and marketable securities include amounts pledged to regulatory agencies and governmental entities as financial guarantees of our performance under certain collection, landfill and transfer station contracts and permits, and relating to our final capping, closure and post-closure obligations at our landfills as well as restricted cash and marketable securities related to our insurance obligations.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restricted cash and marketable securities as of December 31:</w:t>
      </w:r>
    </w:p>
    <w:tbl>
      <w:tblPr>
        <w:tblW w:w="5799" w:type="dxa"/>
        <w:jc w:val="left"/>
        <w:tblInd w:w="0" w:type="dxa"/>
        <w:tblLayout w:type="fixed"/>
        <w:tblCellMar>
          <w:top w:w="28" w:type="dxa"/>
          <w:left w:w="28" w:type="dxa"/>
          <w:bottom w:w="28" w:type="dxa"/>
          <w:right w:w="28" w:type="dxa"/>
        </w:tblCellMar>
      </w:tblPr>
      <w:tblGrid>
        <w:gridCol w:w="1395"/>
        <w:gridCol w:w="1228"/>
        <w:gridCol w:w="1232"/>
        <w:gridCol w:w="211"/>
        <w:gridCol w:w="466"/>
        <w:gridCol w:w="109"/>
        <w:gridCol w:w="109"/>
        <w:gridCol w:w="109"/>
        <w:gridCol w:w="109"/>
        <w:gridCol w:w="211"/>
        <w:gridCol w:w="466"/>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Capping, closure and post-closure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restricted cash and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Material Cash Requirements and Intended Uses of Cash</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existing cash, cash equivalents, restricted cash and marketable securities, cash flows from operations and financing activities to continue to be sufficient to fund our operating activities and cash commitments for investing and financing activities for at least the next 12 months and thereafter for the foreseeable future. Our known current- and long-term uses of cash include, among other possible demands: (1) capital expenditures and leases, (2) acquisitions, (3) dividend payments, (4)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payments to service debt and other long-term obligations, (5) payments for asset retirement obligations and environmental liabilities and (6) share repurchases.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may choose to voluntarily retire certain portions of our outstanding debt before their maturity dates using cash from operations or additional borrowings. We may also explore opportunities in the capital markets to fund redemptions of our debt should market conditions be favorable. Early extinguishment of debt will result in a loss in the period in which the debt is repaid. The loss on early extinguishment of debt relates to premiums paid to effectuate the repurchase and the relative portion of unamortized note discounts and debt issuance costs.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Capital Expenditures and Leases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make investments in property and equipment primarily to allow for growth of our service offerings. These investments are largely concentrated in vehicles and equipment and costs to construct our landfills. We expect to receive between $1.96 billion to $2.00 billion of property and equipment, net of proceeds from the sale of property and equipment, in 2026.</w:t>
      </w:r>
    </w:p>
    <w:p>
      <w:pPr>
        <w:pStyle w:val="TextBody"/>
        <w:bidi w:val="0"/>
        <w:spacing w:lineRule="auto" w:line="288" w:before="100" w:after="283"/>
        <w:jc w:val="left"/>
        <w:rPr/>
      </w:pPr>
      <w:r>
        <w:rPr>
          <w:rFonts w:ascii="Times New Roman;serif" w:hAnsi="Times New Roman;serif"/>
          <w:b w:val="false"/>
          <w:color w:val="000000"/>
          <w:sz w:val="20"/>
        </w:rPr>
        <w:t xml:space="preserve">We lease property and equipment in the ordinary course of business under various lease agreements. The most significant lease obligations are for real property and equipment specific to our industry, including property operated as a landfill or transfer station and operating equipment. As of December 31, 2025, the amount of total future lease payments under operating and finance leases was $248 million and $485 million, respectively. For additional detail regarding our lease obligations, see Note 10, </w:t>
      </w:r>
      <w:r>
        <w:rPr>
          <w:rFonts w:ascii="Times New Roman;serif" w:hAnsi="Times New Roman;serif"/>
          <w:b w:val="false"/>
          <w:i/>
          <w:color w:val="000000"/>
          <w:sz w:val="20"/>
        </w:rPr>
        <w:t>Leases</w:t>
      </w:r>
      <w:r>
        <w:rPr>
          <w:rFonts w:ascii="Times New Roman;serif" w:hAnsi="Times New Roman;serif"/>
          <w:b w:val="false"/>
          <w:color w:val="000000"/>
          <w:sz w:val="20"/>
        </w:rPr>
        <w:t>, of the notes to our audited consolidated financial statements in Part II, Item 8 of this Annual Report on Form 10-K.</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acquisition growth strategy focuses primarily on acquiring privately held recycling and waste companies and environmental solutions businesses that complement our existing business platform. We continue to invest in value-enhancing acquisitions in existing markets.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expect to invest approximately $1 billion in acquisitions in 2026.</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Dividend Payments</w:t>
      </w:r>
    </w:p>
    <w:p>
      <w:pPr>
        <w:pStyle w:val="TextBody"/>
        <w:bidi w:val="0"/>
        <w:spacing w:lineRule="auto" w:line="288" w:before="100" w:after="283"/>
        <w:jc w:val="left"/>
        <w:rPr/>
      </w:pPr>
      <w:r>
        <w:rPr>
          <w:rFonts w:ascii="Times New Roman;serif" w:hAnsi="Times New Roman;serif"/>
          <w:b w:val="false"/>
          <w:color w:val="000000"/>
          <w:sz w:val="20"/>
        </w:rPr>
        <w:t>In October 2025</w:t>
      </w:r>
      <w:r>
        <w:rPr>
          <w:color w:val="000000"/>
          <w:shd w:fill="FFFFFF" w:val="clear"/>
        </w:rPr>
        <w:t xml:space="preserve"> </w:t>
      </w:r>
      <w:r>
        <w:rPr>
          <w:rFonts w:ascii="Times New Roman;serif" w:hAnsi="Times New Roman;serif"/>
          <w:b w:val="false"/>
          <w:color w:val="000000"/>
          <w:sz w:val="20"/>
          <w:shd w:fill="FFFFFF" w:val="clear"/>
        </w:rPr>
        <w:t xml:space="preserve">our Board of Directors approved a quarterly dividend of </w:t>
      </w:r>
      <w:r>
        <w:rPr>
          <w:rFonts w:ascii="Times New Roman;serif" w:hAnsi="Times New Roman;serif"/>
          <w:b w:val="false"/>
          <w:color w:val="000000"/>
          <w:sz w:val="20"/>
        </w:rPr>
        <w:t xml:space="preserve">$0.625 </w:t>
      </w:r>
      <w:r>
        <w:rPr>
          <w:rFonts w:ascii="Times New Roman;serif" w:hAnsi="Times New Roman;serif"/>
          <w:b w:val="false"/>
          <w:color w:val="000000"/>
          <w:sz w:val="20"/>
          <w:shd w:fill="FFFFFF" w:val="clear"/>
        </w:rPr>
        <w:t xml:space="preserve">per share. Aggregate cash dividends declared were </w:t>
      </w:r>
      <w:r>
        <w:rPr>
          <w:rFonts w:ascii="Times New Roman;serif" w:hAnsi="Times New Roman;serif"/>
          <w:b w:val="false"/>
          <w:color w:val="000000"/>
          <w:sz w:val="20"/>
        </w:rPr>
        <w:t>$749 million</w:t>
      </w:r>
      <w:r>
        <w:rPr>
          <w:color w:val="000000"/>
          <w:shd w:fill="FFFFFF" w:val="clear"/>
        </w:rPr>
        <w:t xml:space="preserve"> </w:t>
      </w:r>
      <w:r>
        <w:rPr>
          <w:rFonts w:ascii="Times New Roman;serif" w:hAnsi="Times New Roman;serif"/>
          <w:b w:val="false"/>
          <w:color w:val="000000"/>
          <w:sz w:val="20"/>
          <w:shd w:fill="FFFFFF" w:val="clear"/>
        </w:rPr>
        <w:t>for the year ended December 31, 2025. As of December 31, 2025, we recorded a quarterly dividend payable of $193 million to shareholders of record at the close of business on January 2, 2026, which was paid on January 15, 2026.</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Debt and other long-term obligations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Debt repayments may include purchases of our outstanding indebtedness in the secondary market or otherwise. We believe that our excess cash, cash from operating activities and our availability to draw on our credit facilities provide us with sufficient financial resources to meet our anticipated capital requirements and maturing obligations as they come due.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may choose to voluntarily retire certain portions of our outstanding debt before their maturity dates using cash from operations or additional borrowings. We may also explore opportunities in the capital markets to fund redemptions of our debt should market conditions be favorable. Early extinguishment of debt will result in an impairment charge in the period in which the debt is repaid. The loss on early extinguishment of debt relates to premiums paid to effectuate the repurchase and the relative portion of unamortized note discounts and debt issue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May 2022, we entered into a commercial paper program for the issuance and sale of unsecured commercial paper in an aggregate principal amount not to exceed $500 million outstanding at any one time (the Commercial Paper Cap). In August 2022, the Commercial Paper Cap was increased to $1.0 billion, and in October 2023, was increased to $1.5 billion. The weighted average interest rate for borrowings outstanding as of December 31, 2025 was 4.044%. In the event of a failed re-borrowing, we currently have availability under our Credit Facility (as defined below) to fund the amounts borrowed under the commercial paper program until they are re-borrowed successfully. Accordingly, we have classified these borrowings as long-term in our consolidated balance sheet as of December 31,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total principal value of our debt was $13.7 billion, of which $596 million is due in 2026.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several agreements that require us to dispose of a minimum number of tons at third-party disposal facilities. Under these put-or-pay agreements, we must pay for agreed-upon minimum volumes regardless of the actual number of tons placed at the facilities.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unconditional purchase commitments have varying expiration dates, with some extending through the remaining life of the respective landfill. Future minimum payments under unconditional purchase commitments consist primarily of (1) disposal related agreements, which include fixed or minimum royalty payments, host agreements and take-or-pay and put-or-pay agreements and (2) other obligations including committed capital expenditures and consulting service agreements. As of December 31, 2025, such purchase commitments, which do not qualify for recognition on our Consolidated Balance Sheets, amount to $944 million, of which $196 million was short-term.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pPr>
      <w:r>
        <w:rPr>
          <w:rFonts w:ascii="Times New Roman;serif" w:hAnsi="Times New Roman;serif"/>
          <w:b w:val="false"/>
          <w:color w:val="000000"/>
          <w:sz w:val="20"/>
        </w:rPr>
        <w:t xml:space="preserve">For additional detail regarding our debt and known contractual and other obligations, see Note 9,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and Note 18,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of the notes to our audited consolidated financial statements in Part II, Item 8 of this Annual Report on Form 10-K.</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Asset Retirement Obligations and Environmental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future obligations for final capping, closure and post-closure costs with respect to the landfills we own or operate as set forth in applicable landfill permits. As of December 31, 2025, our future obligations for final capping, closure and post-closure costs totaled $2.3 billion, of which $87 million was short-term.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Additionally, we are subject to an array of laws and regulations relating to the protection of the environment, and we remediate sites in the ordinary course of our business. Our environmental remediation liabilities primarily include costs associated with remediating groundwater, surface water and soil contamination, as well as controlling and containing methane gas migration and the related legal costs. As of December 31, 2025, our environmental liabilities totaled $443 million, of which $61 million was short-term.</w:t>
      </w:r>
    </w:p>
    <w:p>
      <w:pPr>
        <w:pStyle w:val="TextBody"/>
        <w:bidi w:val="0"/>
        <w:spacing w:lineRule="auto" w:line="288" w:before="100" w:after="283"/>
        <w:jc w:val="left"/>
        <w:rPr/>
      </w:pPr>
      <w:r>
        <w:rPr>
          <w:rFonts w:ascii="Times New Roman;serif" w:hAnsi="Times New Roman;serif"/>
          <w:b w:val="false"/>
          <w:color w:val="000000"/>
          <w:sz w:val="20"/>
        </w:rPr>
        <w:t xml:space="preserve">For additional detail regarding our asset retirement obligations and environmental liabilities, see Note 8, </w:t>
      </w:r>
      <w:r>
        <w:rPr>
          <w:rFonts w:ascii="Times New Roman;serif" w:hAnsi="Times New Roman;serif"/>
          <w:b w:val="false"/>
          <w:i/>
          <w:color w:val="000000"/>
          <w:sz w:val="20"/>
        </w:rPr>
        <w:t>Landfill and Environmental Costs</w:t>
      </w:r>
      <w:r>
        <w:rPr>
          <w:rFonts w:ascii="Times New Roman;serif" w:hAnsi="Times New Roman;serif"/>
          <w:b w:val="false"/>
          <w:color w:val="000000"/>
          <w:sz w:val="20"/>
        </w:rPr>
        <w:t>, of the notes to our audited consolidated financial statements in Part II, Item 8 of this Annual Report on Form 10-K.</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October 2023, our Board of Directors approved a $3 billion share repurchase authorization effective starting January 1, 2024 and extending through December 31, 2026. Share repurchases under the current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As of December 31, 2025, the remaining authorized purchase capacity under our October 2023 repurchase program was $1.7 billion.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Summary of Cash Flow Activity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major components of changes in cash flows for 2025 and 2024 are discussed in the following paragraphs. The following table summarizes our cash flow from operating activities, investing activities and financing activities for the years ended December 31, 2025 and 2024 (in millions of dollars):</w:t>
      </w:r>
    </w:p>
    <w:tbl>
      <w:tblPr>
        <w:tblW w:w="5859" w:type="dxa"/>
        <w:jc w:val="left"/>
        <w:tblInd w:w="0" w:type="dxa"/>
        <w:tblLayout w:type="fixed"/>
        <w:tblCellMar>
          <w:top w:w="28" w:type="dxa"/>
          <w:left w:w="28" w:type="dxa"/>
          <w:bottom w:w="28" w:type="dxa"/>
          <w:right w:w="28" w:type="dxa"/>
        </w:tblCellMar>
      </w:tblPr>
      <w:tblGrid>
        <w:gridCol w:w="1254"/>
        <w:gridCol w:w="1104"/>
        <w:gridCol w:w="1107"/>
        <w:gridCol w:w="211"/>
        <w:gridCol w:w="691"/>
        <w:gridCol w:w="109"/>
        <w:gridCol w:w="109"/>
        <w:gridCol w:w="109"/>
        <w:gridCol w:w="109"/>
        <w:gridCol w:w="211"/>
        <w:gridCol w:w="69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Flows Provided by Operating Activities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most significant items affecting the comparison of our operating cash flows for 2025 and 2024 are summarized below.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from business acquisitions and divestitures, decreased our cash flow from operations by $359 million in 2025, compared to a decrease of $378 million during the same period in 2024, primarily as a result of the following:</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Our accounts receivable, exclusive of the change in allowance for doubtful accounts and customer credits, increased $87 million during 2025, due to the timing of billings net of collections, compared to a $76 million increase in the same period in 2024. As of December 31, 2025, our days sales outstanding were 41.8, or 30.8 days net of deferred revenue, compared to 40.9, or 30.0 days net of deferred revenue, as of December 31, 2024.</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Our prepaid expenses and other assets increased $174 million in 2025 compared to a $171 million increase in 2024. The increase in prepaid expenses and other assets during 2025 is primarily driven by an increase in costs associated with cloud-based hosting arrangements and prepaid insurance premiums.</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Our accounts payable decreased $14 million during 2025 compared to a $27 million decrease during 2024, due to the timing of payments.</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Cash paid for capping, closure and post-closure obligations was $70 million during 2025 compared to $56 million for 2024. The increase in cash paid for capping, closure and post-closure obligations is primarily due to the timing of capping and post-closure payments at certain of our landfill sites.</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Cash paid for remediation obligations was $8 million lower during 2025 compared to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other liabilities increased $40 million during 2025 compared to a $14 million increase during 2024, primarily due to the timing of payments for accrued legal settlements and an increase in insurance reserves, partially offset by a decrease in management incentive compensation.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cash paid for interest was $500 million and $487 million, excluding net swap settlements for our fixed to floating interest rate swaps, for 2025 and 2024, respectively. Cash paid for income taxes was $206 million and $313 million for 2025 and 2024, respectively.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use cash flows from operations to fund capital expenditures, acquisitions, dividend payments, debt repayments and share repurchases.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Flows Used in Investing Activities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most significant items affecting the comparison of our cash flows used in investing activities for 2025 and 2024 are summarized below:</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Capital expenditures during both 2025 and 2024 were $1.9 billion.</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During 2025 and 2024, we used $1.4 billion and $753 million, respectively, for acquisitions and investments, net of cash acquired.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intend to finance capital expenditures and acquisitions through cash on hand, restricted cash held for capital expenditures, cash flows from operations, our revolving credit facilities and tax-exempt bonds and other financings. We expect to primarily use cash and borrowings under our revolving credit facilities to pay for future acquisitions.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Flows Used in Financing Activities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most significant items affecting the comparison of our cash flows used in financing activities for 2025 and 2024 are summarized below:</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 xml:space="preserve">During 2025, we issued $1,200 million of senior notes for cash proceeds, net of discounts and fees, of $1,183 million. During 2024, we issued $900 million of senior notes for cash proceeds, net of discounts and fees, of $889 million. Net payments of notes payable and long-term debt were $491 million during 2025, compared to net payments of $1,089 million in 2024. For a more detailed discussion, see the </w:t>
      </w:r>
      <w:r>
        <w:rPr>
          <w:rFonts w:ascii="Times New Roman;serif" w:hAnsi="Times New Roman;serif"/>
          <w:b w:val="false"/>
          <w:i/>
          <w:color w:val="000000"/>
          <w:sz w:val="20"/>
        </w:rPr>
        <w:t>Financial Condition</w:t>
      </w:r>
      <w:r>
        <w:rPr>
          <w:color w:val="000000"/>
        </w:rPr>
        <w:t xml:space="preserve"> </w:t>
      </w:r>
      <w:r>
        <w:rPr>
          <w:rFonts w:ascii="Times New Roman;serif" w:hAnsi="Times New Roman;serif"/>
          <w:b w:val="false"/>
          <w:color w:val="000000"/>
          <w:sz w:val="20"/>
        </w:rPr>
        <w:t>section of this Management’s Discussion and Analysis of Financial Condition and Results of Operations.</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 xml:space="preserve">During 2025, we repurchased 3.8 million shares of our common stock for $864 million, which included the cash paid for excise tax on share repurchases, compared to repurchases of 2.5 million shares for $480 million during 2024. </w:t>
      </w:r>
    </w:p>
    <w:p>
      <w:pPr>
        <w:pStyle w:val="TextBody"/>
        <w:bidi w:val="0"/>
        <w:spacing w:lineRule="auto" w:line="288" w:before="100" w:after="283"/>
        <w:ind w:left="0" w:right="0" w:hanging="360"/>
        <w:jc w:val="left"/>
        <w:rPr/>
      </w:pPr>
      <w:r>
        <w:rPr>
          <w:color w:val="000000"/>
          <w:shd w:fill="FFFFFF" w:val="clear"/>
        </w:rPr>
        <w:t>•</w:t>
      </w:r>
      <w:r>
        <w:rPr>
          <w:rFonts w:ascii="Times New Roman;serif" w:hAnsi="Times New Roman;serif"/>
          <w:b w:val="false"/>
          <w:color w:val="000000"/>
          <w:sz w:val="20"/>
        </w:rPr>
        <w:t>In July 2025, our Board of Directors approved an increase in our quarterly dividend to $0.625 per share. Dividends paid were $738 million and $687 million in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Debt Obligations</w:t>
      </w:r>
    </w:p>
    <w:p>
      <w:pPr>
        <w:pStyle w:val="TextBody"/>
        <w:bidi w:val="0"/>
        <w:spacing w:lineRule="auto" w:line="288" w:before="100" w:after="283"/>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we had $596 million of principal debt maturing within the next 12 months, which includes certain finance lease obligations. All of our tax-exempt financings are remarketed either quarterly or semiannually by remarketing agents to effectively maintain a variable yield, with the exception of three tax-exempt financings with initial remarketing periods of 10 years. The holders of the bonds can put them back to the remarketing agents at the end of each interest period. If the remarketing agent is unable to remarket our bonds, the remarketing agent can put the bonds to us. In the event of a failed remarketing, 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we had availability under our Credit Facility (defined below) to fund these bonds until they are remarketed successfully. In the event of a failed re-borrowing under our commercial paper program, as of </w:t>
      </w:r>
      <w:r>
        <w:rPr>
          <w:rFonts w:ascii="Times New Roman;serif" w:hAnsi="Times New Roman;serif"/>
          <w:b w:val="false"/>
          <w:color w:val="000000"/>
          <w:sz w:val="20"/>
          <w:shd w:fill="FFFFFF" w:val="clear"/>
        </w:rPr>
        <w:t xml:space="preserve">December 31, 2025, </w:t>
      </w:r>
      <w:r>
        <w:rPr>
          <w:rFonts w:ascii="Times New Roman;serif" w:hAnsi="Times New Roman;serif"/>
          <w:b w:val="false"/>
          <w:color w:val="000000"/>
          <w:sz w:val="20"/>
        </w:rPr>
        <w:t xml:space="preserve">we had availability under our Credit Facility to fund the amounts borrowed under the commercial paper program until it is re-borrowed successfully. Accordingly, we have classified these tax-exempt financings and commercial paper program borrowings as long-term in our consolidated balance sheet 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w:t>
      </w:r>
    </w:p>
    <w:p>
      <w:pPr>
        <w:pStyle w:val="TextBody"/>
        <w:bidi w:val="0"/>
        <w:spacing w:lineRule="auto" w:line="288" w:before="100" w:after="283"/>
        <w:jc w:val="left"/>
        <w:rPr/>
      </w:pPr>
      <w:r>
        <w:rPr>
          <w:rFonts w:ascii="Times New Roman;serif" w:hAnsi="Times New Roman;serif"/>
          <w:b w:val="false"/>
          <w:color w:val="000000"/>
          <w:sz w:val="20"/>
        </w:rPr>
        <w:t xml:space="preserve">For further discussion of the components of our overall debt, see Note 9, </w:t>
      </w:r>
      <w:r>
        <w:rPr>
          <w:rFonts w:ascii="Times New Roman;serif" w:hAnsi="Times New Roman;serif"/>
          <w:b w:val="false"/>
          <w:i/>
          <w:color w:val="000000"/>
          <w:sz w:val="20"/>
        </w:rPr>
        <w:t>Debt</w:t>
      </w:r>
      <w:r>
        <w:rPr>
          <w:rFonts w:ascii="Times New Roman;serif" w:hAnsi="Times New Roman;serif"/>
          <w:b w:val="false"/>
          <w:color w:val="000000"/>
          <w:sz w:val="20"/>
        </w:rPr>
        <w:t xml:space="preserve">, of the notes to our audited consolidated financial statements in Part II, Item 8 of this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Uncommitted Credit Facility</w:t>
      </w:r>
    </w:p>
    <w:p>
      <w:pPr>
        <w:pStyle w:val="TextBody"/>
        <w:bidi w:val="0"/>
        <w:spacing w:lineRule="auto" w:line="288" w:before="100" w:after="283"/>
        <w:jc w:val="left"/>
        <w:rPr/>
      </w:pPr>
      <w:r>
        <w:rPr>
          <w:rFonts w:ascii="Times New Roman;serif" w:hAnsi="Times New Roman;serif"/>
          <w:b w:val="false"/>
          <w:color w:val="000000"/>
          <w:sz w:val="20"/>
        </w:rPr>
        <w:t xml:space="preserve">In January 2022, we entered into a $200 million unsecured uncommitted revolving credit facility (the Uncommitted Credit Facility). The Uncommitted Credit Facility bears interest at an annual percentage rate to be agreed upon by both parties. Borrowings under the Uncommitted Credit Facility can be used for working capital, letters of credit and other general corporate purposes. The agreement governing our Uncommitted Credit Facility requires us to comply with certain covenants. The Uncommitted Credit Facility may be terminated by either party at any time.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 xml:space="preserve">December 31, 2025 and 2024, </w:t>
      </w:r>
      <w:r>
        <w:rPr>
          <w:rFonts w:ascii="Times New Roman;serif" w:hAnsi="Times New Roman;serif"/>
          <w:b w:val="false"/>
          <w:color w:val="000000"/>
          <w:sz w:val="20"/>
          <w:shd w:fill="FFFFFF" w:val="clear"/>
        </w:rPr>
        <w:t xml:space="preserve">we had no borrowings outstanding under our Uncommitted Credit Facility. </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The Credit Facility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July 2024, we and our subsidiary, USE Canada Holdings, Inc. (the Canadian Borrower) entered into the Second Amended and Restated Credit Agreement (the Credit Facility) which amended and restated the unsecured revolving credit facility we entered into in August 2021. The total outstanding principal amount that we may borrow under the Credit Facility may not exceed the current aggregate lenders' commitments of $3.5 billion, and borrowings under the Credit Facility mature in July 2029. As permitted by the Credit Facility, we have the right to request two one-year extensions of the maturity date, but none of the lenders are committed to participate in such extensions. The Credit Facility also includes a feature that allows us to increase availability, at our option, by an aggregate amount of up to $1.0 billion through increased commitments from existing lenders or the addition of new lenders.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All loans to the Canadian Borrower and all loans denominated in Canadian dollars cannot exceed $1.0 billion (the Canadian Sublimit). The Canadian Sublimit is part of, and not in addition to, the aggregate commitments under the Credit Facility.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Credit Facility in United States dollars bear interest at a Base Rate, a daily floating SOFR or a term SOFR plus a current applicable margin of 0.805% based on our Debt Ratings (all as defined in the Credit Facility agreement). The Canadian dollar-denominated loans bear interest based on the Canadian Prime Rate or the Canadian Dollar Offered Rate plus a current applicable margin of 0.805% based on our Debt Ratings. As of December 31, 2025 and 2024, C$204 million and C$232 million, respectively, were outstanding against the Canadian Sublimit.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Credit Facility is subject to facility fees based on applicable rates defined in the Credit Facility agreement and the aggregate commitment, regardless of usage. The Credit Facility can be used for working capital, capital expenditures, acquisitions, letters of credit and other general corporate purposes. The Credit Facility agreement requires us to comply with financial and other covenants. We may pay dividends and repurchase common stock if we are in compliance with these covenants.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had $425 million and $514 million outstanding under the Credit Facility as of December 31, 2025 and 2024, respectively. We had $319 million and $317 million of letters of credit outstanding under the Credit Facility as of December 31, 2025 and 2024, respectively. We also had $1.0 billion and $477 million of principal borrowings outstanding under our commercial paper program as of December 31, 2025 and 2024, respectively. As a result, availability under the Credit Facility was $1.8 billion and $2.2 billion as of December 31, 2025 and 2024, respectively.</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Credit Facility Financial and Other Covenants</w:t>
      </w:r>
    </w:p>
    <w:p>
      <w:pPr>
        <w:pStyle w:val="TextBody"/>
        <w:bidi w:val="0"/>
        <w:spacing w:lineRule="auto" w:line="288" w:before="100" w:after="283"/>
        <w:jc w:val="left"/>
        <w:rPr/>
      </w:pPr>
      <w:r>
        <w:rPr>
          <w:rFonts w:ascii="Times New Roman;serif" w:hAnsi="Times New Roman;serif"/>
          <w:b w:val="false"/>
          <w:color w:val="000000"/>
          <w:sz w:val="20"/>
        </w:rPr>
        <w:t>The Credit Facility requires us to comply with financial and other covenants. To the extent we are not in compliance with these covenants, we cannot pay dividends or repurchase common stock. Compliance with covenants also is a condition for any incremental borrowings under the Credit Facility, and failure to meet these covenants would enable the lenders to require repayment of any outstanding loans (which would adversely affect our liquidity). Additionally, if we are not in compliance with these covenants, we could not use the availability under our Credit Facility to fund borrowings we currently make under our commercial paper program, if there is a failed reborrowing under that program. The Credit Facility provides that our total debt to EBITDA ratio may not exceed 3.75 to 1.00 as of the last day of any fiscal quarter. In the case of an "elevated ratio period", which may be elected by us if one or more acquisitions during a fiscal quarter involve aggregate consideration in excess of $200.0 million (the Trigger Quarter), the total debt to EBITDA ratio may not exceed 4.25 to 1.00 during the Trigger Quarter and for the three fiscal quarters thereafter. The Credit Facility also provides that there may not be more than two elevated ratio periods during the term of the Credit Facility agreement. As of December 31, 2025, our total debt to EBITDA ratio was approximately 2.6 compared to the 3.75 maximum allowed. As of December 31, 2025, we were in compliance with all other covenants unde</w:t>
      </w:r>
      <w:r>
        <w:rPr>
          <w:rFonts w:ascii="Times New Roman;serif" w:hAnsi="Times New Roman;serif"/>
          <w:b w:val="false"/>
          <w:color w:val="000000"/>
          <w:sz w:val="20"/>
          <w:shd w:fill="FFFFFF" w:val="clear"/>
        </w:rPr>
        <w:t>r our Credit Facility</w:t>
      </w:r>
      <w:r>
        <w:rPr>
          <w:rFonts w:ascii="Times New Roman;serif" w:hAnsi="Times New Roman;serif"/>
          <w:b w:val="false"/>
          <w:color w:val="000000"/>
          <w:sz w:val="20"/>
        </w:rPr>
        <w: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EBITDA, which is a non-U.S. GAAP measure, is calculated as defined in our Credit Facility agreement. In this context, EBITDA is used solely to provide information regarding the extent to which we are in compliance with debt covenants and is not comparable to EBITDA used by other companies or used by us for other purposes.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comply with the financial and other covenants under the Credit Facility, as well as the occurrence of certain material adverse events, would constitute defaults and would allow the lenders under the Credit Facility to accelerate the maturity of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indebtedness under the Credit Facility. This could have an adverse effect on the availability of financial assurances. In addition, maturity acceleration on the Credit Facility constitutes an event of default under certain of our other debt and derivative instruments. If such acceleration were to occur, we would not have sufficient liquidity available to repay the indebtedness. We would likely have to seek an amendment under the Credit Facility for relief from the financial covenant or repay the debt with proceeds from the issuance of new debt or equity, or asset sales, if necessary. We may be unable to amend the Credit Facility or raise sufficient capital to repay such obligations in the event the maturity is accelerated.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Commercial Paper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May 2022, we entered into a commercial paper program for the issuance and sale of unsecured commercial paper in an aggregate principal amount not to exceed $500 million outstanding at any one time (the Commercial Paper Cap). In August 2022, the Commercial Paper Cap was increased to $1.0 billion, and in October 2023, was increased to $1.5 billion. The weighted average interest rate for borrowings outstanding as of December 31, 2025 was 4.044%. The weighted average interest rate for borrowings outstanding as of December 31, 2024 was 4.646%.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had $1.0 billion and $477 million principal value of commercial paper issued and outstanding under the program as of December 31, 2025 and 2024, respectively. In the event of a failed re-borrowing, we currently have availability under our Credit Facility to fund amounts currently borrowed under the commercial paper program until they are re-borrowed successfully. Accordingly, we have classified these borrowings as long-term in our consolidated balance sheet as of December 31, 2025 and 2024, respectively.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Senior Notes and Debentures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June 2024, we issued $400 million of 5.000% senior notes due 2029 and $500 million of 5.200% senior notes due 2034. We used the proceeds from the June 2024 notes issuance for general corporate purposes, including the repayment of a portion of amounts outstanding under the Commercial Paper Program and the Credit Facility; and repayment of all amounts then outstanding under the Uncommitted Credit Facility and certain other debt obligations.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March 2025, we issued $500 million of 4.750% senior notes due 2030 and $700 million of 5.150% senior notes due 2035. We used the proceeds from the March 2025 notes issuance for general corporate purposes, including the repayment of a portion of amounts outstanding on our Credit Facility and a portion of outstanding borrowings under the Commercial Paper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senior notes and debentures are general unsecured and unsubordinated obligations and rank equally with our other unsecured obligations.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Tax-Exempt Financings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both December 31, 2025 and December 31, 2024 we had $1.4 billion of tax-exempt financings outstanding with maturities ranging from 2026 to 2054 for both periods.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June 2024, the Mission Economic Development Corporation issued, for our benefit, $50 million in principal amount of Solid Waste Disposal Revenue Bonds. The proceeds from the issuance, after deferred issuance costs, were used to fund the acquisition, construction, improvement, installation, and/or equipping of certain solid waste disposal facilities located within Texas.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 March 2024, the California Municipal Finance Authority issued, for our benefit, $100 million in principal amount of Solid Waste Disposal Revenue Bonds. The proceeds from the issuance, after deferred issuance costs, were used to fund the acquisition, construction, improvement, installation, and/or equipping of certain solid waste disposal facilities located within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$250 million of tax-exempt financings that have an initial remarketing period of 10 years. Our remaining tax-exempt financings are remarketed either quarterly or semiannually by remarketing agents to effectively maintain a variable yield. The holders of the bonds can put them back to the remarketing agents at the end of each interest period. If the remarketing agents are unable to remarket our bonds, the remarketing agents can put the bonds to us. In the event of a failed remarketing, we currently have availability under our Credit Facility to fund these bonds until they are remarketed successfully. Accordingly, we classified these borrowings as long-term in our consolidated balance sheets as of December 31, 2025 and December 31, 2024.</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Finance Leases and Other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finance lease liabilities and other debt obligations of $441 million with maturities ranging from 2026 to 2063. As of December 31, 2024, we had finance lease liabilities and other debt obligations of $315 million with maturities ranging from 2025 to 2063.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our consolidated balance sheet as of December 31, 2025, finance leases and other included $148 million related to construction costs for our corporate office building located in Phoenix, Arizona, which has been accounted for as a financing obligation. The amount is recorded within long-term debt, net of current maturities.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Credit Ratings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continued access to the debt capital markets and to new financing facilities, as well as our borrowing costs, depend on multiple factors, including market conditions, our operating performance and maintaining strong credit ratings. As of December 31, 2025, our credit ratings were A- by Standard &amp; Poor’s Ratings Services, A- by Fitch Ratings, Inc. and A3 by Moody’s Investors Service, Inc. If our credit ratings were downgraded, especially any downgrade to below investment grade, our ability to access the debt markets with the same flexibility that we have experienced historically, our cost of funds and other terms for new debt issuances could be adversely impacted.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no off-balance sheet debt or similar obligations, other than short-term operating leases and financial assurances, which are not classified as debt. We have no transactions or obligations with related parties that are not disclosed, consolidated into or reflected in our reported financial position or results of operations. We have not guaranteed any third-party debt.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Seasonality and Severe Weather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can be adversely affected by periods of inclement or severe weather, which could increase the volume of waste collected under our existing contracts (without corresponding compensation), delay the collection and disposal of waste, reduce the volume of waste delivered to our disposal sites, or delay the construction or expansion of our landfills and other facilities. Our operations also can be favorably affected by severe weather, which could increase the volume of waste in situations where we are able to charge for our additional services.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Contingencies</w:t>
      </w:r>
    </w:p>
    <w:p>
      <w:pPr>
        <w:pStyle w:val="TextBody"/>
        <w:bidi w:val="0"/>
        <w:spacing w:lineRule="auto" w:line="288" w:before="100" w:after="283"/>
        <w:jc w:val="left"/>
        <w:rPr/>
      </w:pPr>
      <w:r>
        <w:rPr>
          <w:rFonts w:ascii="Times New Roman;serif" w:hAnsi="Times New Roman;serif"/>
          <w:b w:val="false"/>
          <w:color w:val="000000"/>
          <w:sz w:val="20"/>
        </w:rPr>
        <w:t xml:space="preserve">For a description of our commitments and contingencies, see Note 8, </w:t>
      </w:r>
      <w:r>
        <w:rPr>
          <w:rFonts w:ascii="Times New Roman;serif" w:hAnsi="Times New Roman;serif"/>
          <w:b w:val="false"/>
          <w:i/>
          <w:color w:val="000000"/>
          <w:sz w:val="20"/>
        </w:rPr>
        <w:t>Landfill and Environmental Costs</w:t>
      </w:r>
      <w:r>
        <w:rPr>
          <w:rFonts w:ascii="Times New Roman;serif" w:hAnsi="Times New Roman;serif"/>
          <w:b w:val="false"/>
          <w:color w:val="000000"/>
          <w:sz w:val="20"/>
        </w:rPr>
        <w:t xml:space="preserve">, Note 11,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and Note 18,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our audited consolidated financial statements included in Part II,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Financial Assurance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must provide financial assurance to governmental agencies and a variety of other entities under applicable environmental regulations relating to our landfill operations for capping, closure and post-closure costs, and related to our performance under certain collection, landfill and transfer station contracts. We satisfy these financial assurance requirements by providing surety bonds, letters of credit, or insurance policies (Financial Assurance Instruments), or trust deposits, which are included in restricted cash and marketable securities and other assets in our consolidated balance sheets. The amount of the financial assurance requirements for capping, closure and post-closure costs is determined by applicable state environmental regulations. The financial assurance requirements for capping, closure and post-closure costs may be associated with a portion of the landfill or the entire landfill. Generally, states require a third-party engineering specialist to determine the estimated capping, closure and post-closure costs that are used to determine the required amount of financial assurance for a landfill. The amount of financial assurance required can, and generally will, differ from the obligation determined and recorded under U.S. GAAP. The amount of the financial assurance requirements related to contract performance varies by contract. Additionally, we must provide financial assurance for our insurance program and collateral for certain performance obligations. We do not expect a material increase in financial assurance requirements during 2026, although the mix of Financial Assurance Instruments may change.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These Financial Assurance Instruments are issued in the normal course of business and are not classified as indebtedness. Because we currently have no liability for the Financial Assurance Instruments, they are not reflected in our consolidated balance sheets; however, we record capping, closure and post-closure liabilities and insurance liabilities as they are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Judgments and Estimates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consolidated financial statements have been prepared in accordance with U.S. GAAP and necessarily include certain estimates and judgments made by management. The following is a list of accounting policies that we believe are the most critical in understanding our consolidated financial position, results of operations and cash flows and that may require management to make subjective or complex judgments about matters that are inherently uncertain. Our critical accounting estimates are those estimates that involve a significant level of uncertainty at the time the estimate was made, and changes in them have had or are reasonably likely to have a material effect on our financial condition or results of operations. Accordingly, actual results could differ materially from our estimates. We base our estimates on past experience and other assumptions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are reasonable under the circumstances, and we evaluate these estimates on an ongoing basis. Such critical accounting policies, estimates and judgments are applicable to all of our operating segments.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noted examples of the estimates that are subject to uncertainty in the accounting for these areas below.</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Landfill Development Asset Depletion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Landfill depletion expense for the years ended December 31, 2025 and 2024 was $433 million and $408 million,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 match the expense related to the landfill asset with the revenue generated by the landfill operations, we amortize the landfill development asset over its operating life on a per-ton basis as waste is accepted at the landfill. The landfill asset is fully depleted at the end of a landfill’s operating life. The per-ton rate is calculated by dividing the sum of the landfill development asset net book value plus estimated future development costs for the landfill, by the landfill’s estimated remaining permitted and probable disposal capacity. The expected future development costs are not inflated or discounted, but rather expressed in nominal dollars. This rate is applied to each ton accepted at the landfill to arrive at depletion expense for the period.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calculation of depletion expense includes certain estimates and assumptions around future landfill development costs and remaining permitted and probable landfill disposal capacity. Changes in these estimates are subject to uncertainty attributable to the following factors: (i) actual future costs of construction materials and third-party labor could differ from the costs we have estimated because of the level of demand and the availability of the required materials and labor, and (ii) technical designs could be altered due to unexpected operating conditions, regulatory changes or legislative changes.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at least an annual basis, we update the estimates of future development costs and remaining disposal capacity for each landfill. These costs and disposal capacity estimates are reviewed and approved by senior operations management annually. Changes in cost estimates and disposal capacity are reflected prospectively in the landfill depletion rates that are updated annually.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Landfill Asset Retirement Obligations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two types of retirement obligations related to landfills: (1) capping and (2) closure and post-closure. As of December 31, 2025 and 2024, our asset retirement obligations related to capping, closure and post-closure were $2.3 billion and $2.1 billion, respectively. Changes in these estimates may be sensitive to the following factors: (i) changes to environmental laws and regulations and/or circumstances affecting our operations could result in a significant change to our estimates, which could have a significant impact on our result of operations, (ii) we do not expect to incur most of these costs for a number of years, which requires us to estimate the timing of projected cash flows and make assumptions regarding inflation rates, and (iii) actual future costs of materials and third-party labor could differ from the costs we have estimated because of the level of demand and the availability of the required materials and labor.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Obligations associated with final capping activities that occur during the operating life of the landfill are recognized on a units-of-consumption basis as airspace is consumed within each discrete capping event. Obligations related to closure and post-closure activities that occur after the landfill has ceased operations are recognized on a units-of-consumption basis as airspace is consumed throughout the entire life of the landfill. Landfill retirement obligations are capitalized as the related liabilities are recognized and amortized using the units-of-consumption method over the airspace consumed within the capping event or the airspace consumed within the entire landfill, depending on the nature of the obligation. Landfill amortization expense for the years ended December 31, 2025 and 2024 was $114 million and $106 million, respectively. All obligations are initially measured at estimated fair value. Fair value is calculated on a present value basis using an inflation rate and our credit-adjusted, risk-free rate in effect at the time the liabilities were incurred. Future costs for final capping, closure and post-closure are developed at least annually by engineers, and are inflated to future value using estimated future payment dates and inflation rate projections.</w:t>
      </w:r>
    </w:p>
    <w:p>
      <w:pPr>
        <w:pStyle w:val="TextBody"/>
        <w:bidi w:val="0"/>
        <w:spacing w:lineRule="auto" w:line="288" w:before="100" w:after="283"/>
        <w:jc w:val="left"/>
        <w:rPr/>
      </w:pPr>
      <w:r>
        <w:rPr>
          <w:rFonts w:ascii="Times New Roman;serif" w:hAnsi="Times New Roman;serif"/>
          <w:b w:val="false"/>
          <w:i/>
          <w:color w:val="000000"/>
          <w:sz w:val="20"/>
        </w:rPr>
        <w:t>Landfill capping.</w:t>
      </w:r>
      <w:r>
        <w:rPr>
          <w:color w:val="000000"/>
        </w:rPr>
        <w:t> </w:t>
      </w:r>
      <w:r>
        <w:rPr>
          <w:rFonts w:ascii="Times New Roman;serif" w:hAnsi="Times New Roman;serif"/>
          <w:b w:val="false"/>
          <w:color w:val="000000"/>
          <w:sz w:val="20"/>
        </w:rPr>
        <w:t xml:space="preserve">As individual areas within each landfill reach capacity, we must cap and close the areas in accordance with the landfill site permit. These requirements are detailed in each landfill's technical design, which is reviewed and approved by the regulatory agency issuing the landfill site permit. </w:t>
      </w:r>
    </w:p>
    <w:p>
      <w:pPr>
        <w:pStyle w:val="TextBody"/>
        <w:bidi w:val="0"/>
        <w:spacing w:lineRule="auto" w:line="288" w:before="100" w:after="283"/>
        <w:jc w:val="left"/>
        <w:rPr/>
      </w:pPr>
      <w:r>
        <w:rPr>
          <w:rFonts w:ascii="Times New Roman;serif" w:hAnsi="Times New Roman;serif"/>
          <w:b w:val="false"/>
          <w:i/>
          <w:color w:val="000000"/>
          <w:sz w:val="20"/>
        </w:rPr>
        <w:t>Closure and post-closure.</w:t>
      </w:r>
      <w:r>
        <w:rPr>
          <w:color w:val="000000"/>
        </w:rPr>
        <w:t> </w:t>
      </w:r>
      <w:r>
        <w:rPr>
          <w:rFonts w:ascii="Times New Roman;serif" w:hAnsi="Times New Roman;serif"/>
          <w:b w:val="false"/>
          <w:color w:val="000000"/>
          <w:sz w:val="20"/>
        </w:rPr>
        <w:t>Closure costs are costs incurred after a landfill stops receiving waste, but prior to being certified as closed. After the entire landfill has reached capacity and is certified closed, we must continue to maintain and monitor the site for a post-closure period, which generally extends for 30 years. Costs associated with closure and post-closure requirements generally include maintenance of the site, the monitoring of methane gas collection systems and groundwater systems and other activities that occur after the site has ceased accepting waste. Costs associated with post-closure monitoring generally include groundwater sampling, analysis and statistical reports, third-party labor associated with gas system operations and maintenance and transportation and disposal of leachate.</w:t>
      </w:r>
    </w:p>
    <w:p>
      <w:pPr>
        <w:pStyle w:val="TextBody"/>
        <w:bidi w:val="0"/>
        <w:spacing w:lineRule="auto" w:line="288" w:before="100" w:after="283"/>
        <w:jc w:val="left"/>
        <w:rPr/>
      </w:pPr>
      <w:r>
        <w:rPr>
          <w:rFonts w:ascii="Times New Roman;serif" w:hAnsi="Times New Roman;serif"/>
          <w:b w:val="false"/>
          <w:i/>
          <w:color w:val="000000"/>
          <w:sz w:val="20"/>
        </w:rPr>
        <w:t>Landfill retirement obligation liabilities and assets.</w:t>
      </w:r>
      <w:r>
        <w:rPr>
          <w:color w:val="000000"/>
        </w:rPr>
        <w:t> </w:t>
      </w:r>
      <w:r>
        <w:rPr>
          <w:rFonts w:ascii="Times New Roman;serif" w:hAnsi="Times New Roman;serif"/>
          <w:b w:val="false"/>
          <w:color w:val="000000"/>
          <w:sz w:val="20"/>
        </w:rPr>
        <w:t xml:space="preserve">Estimates of the total future costs required to cap, close and monitor each landfill as specified by the landfill permit are updated annually. The estimates include inflation, the specific timing of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cash outflows and the anticipated waste flow into the capping events. Our cost estimates are inflated to the period of performance using an estimated inflation rate, which is updated annually. For the years ended December 31, 2025 and 2024, our estimated inflation rate of 2.0% was based on the twenty year average core consumer price index.</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present value of the remaining capping costs for specific capping events and the remaining closure and post-closure costs for each landfill are recorded as incurred on a per-ton basis. These liabilities are incurred as disposal capacity is consumed at the landfill.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Retirement obligations are increased each year to reflect the passage of time by accreting the balance at the weighted average credit-adjusted risk-free rate that was used to calculate each layer of the recorded liabilities. This accretion is charged to operating expenses. Actual cash expenditures reduce the asset retirement obligation liabilities as they are made.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Corresponding retirement obligation assets are recorded for the same value as the additions to the capping, closure and post-closure liabilities. The retirement obligation assets are amortized to expense on a per-ton basis as disposal capacity is consumed. The per-ton rate is calculated by dividing the sum of each of the recorded retirement obligation asset’s net book value and expected future additions to the retirement obligation asset by the remaining disposal capacity. A per-ton rate is determined for each separate capping event based on the disposal capacity relating to that event. Closure and post-closure per-ton rates are based on the total disposal capacity of the landfill.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these estimates may be sensitive to the following factors: (i) changes to environmental laws and regulations and/or circumstances affecting our operations could result in a significant change to our estimates, which could have a significant impact on our result of operations, (ii) we do not expect to incur most of these costs for a number of years, which requires us to estimate the timing of projected cash flows and make assumptions regarding inflation rates, and (iii) actual future costs of materials and third-party labor could differ from the costs we have estimated because of the level of demand and the availability of the required materials and labor.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an annual basis, we update our estimates of future capping, closure and post-closure costs and of future disposal capacity for each landfill. Revisions in estimates of our costs or timing of expenditures are recognized immediately as increases or decreases to the capping, closure and post-closure liabilities and the corresponding retirement obligation assets. Changes in the assets result in changes to the amortization rates which are applied prospectively, except for fully incurred capping events and closed landfills, where the changes are recorded immediately in results of operations since the associated disposal capacity has already been consumed. </w:t>
      </w:r>
    </w:p>
    <w:p>
      <w:pPr>
        <w:pStyle w:val="TextBody"/>
        <w:bidi w:val="0"/>
        <w:spacing w:lineRule="auto" w:line="288" w:before="100" w:after="283"/>
        <w:jc w:val="left"/>
        <w:rPr/>
      </w:pPr>
      <w:r>
        <w:rPr>
          <w:rFonts w:ascii="Times New Roman;serif" w:hAnsi="Times New Roman;serif"/>
          <w:b w:val="false"/>
          <w:color w:val="000000"/>
          <w:sz w:val="20"/>
        </w:rPr>
        <w:t xml:space="preserve">Total landfill depletion and amortization expense for the years ended December 31, 2025 and 2024 was $547 million and $514 million, respectively. See our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 xml:space="preserve">section in this Management's Discussion and Analysis of Financial Condition and Results of Operations for discussion on changes to our landfill depletion and amortization.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Environmental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an array of laws and regulations relating to the protection of the environment, and we remediate sites in the ordinary course of our business. Under current laws and regulations, we may be responsible for environmental remediation at sites that we either own or operate, including sites that we have acquired, or sites where we have (or a company that we have acquired has) delivered waste. Our environmental remediation liabilities primarily include costs associated with remediating groundwater, surface water and soil contamination, as well as controlling and containing methane gas migration. To estimate our ultimate liability at these sites, we evaluate several factors, including the nature and extent of contamination at each identified site, the required remediation methods, timing of expenditures, the apportionment of responsibility among the potentially responsible parties and the financial viability of those parties. </w:t>
      </w:r>
    </w:p>
    <w:p>
      <w:pPr>
        <w:pStyle w:val="TextBody"/>
        <w:bidi w:val="0"/>
        <w:spacing w:lineRule="auto" w:line="288" w:before="100" w:after="283"/>
        <w:jc w:val="left"/>
        <w:rPr/>
      </w:pPr>
      <w:r>
        <w:rPr>
          <w:rFonts w:ascii="Times New Roman;serif" w:hAnsi="Times New Roman;serif"/>
          <w:b w:val="false"/>
          <w:color w:val="000000"/>
          <w:sz w:val="20"/>
        </w:rPr>
        <w:t xml:space="preserve">We accrue for costs associated with environmental remediation obligations when such costs are probable and reasonably estimable in accordance with accounting for loss contingencies. We periodically review the status of all environmental matters and update our estimates of the likelihood of and future expenditures for remediation as necessary. Changes in the liabilities resulting from these reviews are recognized currently in earnings in the period in which the adjustment is known. Adjustments to estimates are reasonably possible in the near term and may result in changes to recorded amounts. With the exception of those obligations assumed in certain business combinations, environmental obligations are recorded on an undiscounted basis. Environmental obligations assumed in certain business combinations are initially estimated on a discounted basis, and accreted to full value over time through charges to interest expense. Adjustments arising from changes in amounts and timing of estimated costs and settlements may result in increases or decreases in these obligations and are calculated on a discounted basis as they were initially estimated on a discounted basis. These adjustments are charged to operating income when they are known. We perform a comprehensive review of our environmental obligations annually and also review changes in facts and circumstances associated with these obligations at least quarterly. See our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 xml:space="preserve">section in this Management's Discussion and Analysis of Financial Condition and Results of Operations for discussion on our remediation adjustments. We have not reduced the liabilities we have recorded for recoveries from other potentially responsible parties or insurance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we had $443 million and $447 million of environmental liabilities, respectively. Changes in these estimates may be sensitive to changes in cost estimates, timing of estimated costs and settlements, inflation and applicable regulations. Our estimates of these liabilities require assumptions about uncertain future events, which may change the ultimate amounts of our environmental remediation liabilities. Thus, our estimates could change substantially as additional information becomes available regarding the nature or extent of contamination, the required remediation methods, timing of expenditures, the final apportionment of responsibility among the potentially responsible parties identified, the financial viability of those parties and the actions of governmental agencies or private parties with interests in the matter. The actual environmental costs may exceed our current and future accruals for these costs, and any adjustments could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New Accounting Standards</w:t>
      </w:r>
    </w:p>
    <w:p>
      <w:pPr>
        <w:pStyle w:val="TextBody"/>
        <w:bidi w:val="0"/>
        <w:spacing w:lineRule="auto" w:line="288" w:before="100" w:after="283"/>
        <w:jc w:val="left"/>
        <w:rPr/>
      </w:pPr>
      <w:r>
        <w:rPr>
          <w:rFonts w:ascii="Times New Roman;serif" w:hAnsi="Times New Roman;serif"/>
          <w:b w:val="false"/>
          <w:color w:val="000000"/>
          <w:sz w:val="20"/>
        </w:rPr>
        <w:t xml:space="preserve">For a description of new accounting standards that may affect us, see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of the notes to our audited consolidated financial statements in Part II,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pPr>
      <w:r>
        <w:rPr>
          <w:rFonts w:ascii="Times New Roman;serif" w:hAnsi="Times New Roman;serif"/>
          <w:b/>
          <w:color w:val="000000"/>
          <w:sz w:val="20"/>
        </w:rPr>
        <w:t>ITEM 7A.</w:t>
      </w:r>
      <w:r>
        <w:rPr>
          <w:color w:val="000000"/>
        </w:rPr>
        <w:t xml:space="preserve"> </w:t>
      </w:r>
      <w:r>
        <w:rPr>
          <w:rFonts w:ascii="Times New Roman;serif" w:hAnsi="Times New Roman;serif"/>
          <w:b/>
          <w:color w:val="000000"/>
          <w:sz w:val="20"/>
        </w:rPr>
        <w:t>QUANTITATIVE AND QUALITATIVE DISCLOSURES ABOUT MARKET RISK</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major market risk exposure of our financial instruments is changing interest rates in the United States and fluctuations in SOFR. We seek to manage interest rate risk through the use of a combination of fixed and variable rate debt. The carrying value of our variable rate debt approximates fair value because interest rates are variable and, accordingly, approximates current market rates for instruments with similar risk and maturities. The fair value of our debt is determined as of the balance sheet date and is subject to change. In the past, we have entered into swap agreements designated as cash flow hedges to help manage exposure to fluctuations in interest rates on our variable rate debt.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provides information about certain of our market-sensitive financial instruments and constitutes a forward-looking statement.</w:t>
      </w:r>
    </w:p>
    <w:tbl>
      <w:tblPr>
        <w:tblW w:w="10678" w:type="dxa"/>
        <w:jc w:val="left"/>
        <w:tblInd w:w="0" w:type="dxa"/>
        <w:tblLayout w:type="fixed"/>
        <w:tblCellMar>
          <w:top w:w="28" w:type="dxa"/>
          <w:left w:w="28" w:type="dxa"/>
          <w:bottom w:w="28" w:type="dxa"/>
          <w:right w:w="28" w:type="dxa"/>
        </w:tblCellMar>
      </w:tblPr>
      <w:tblGrid>
        <w:gridCol w:w="505"/>
        <w:gridCol w:w="403"/>
        <w:gridCol w:w="188"/>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Expected 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Fair Value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as of</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rate debt:</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outstanding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rate debt: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outstanding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fixed and variable rate debt amounts above exclude the remaining non-cash discounts, premiums and adjustments to fair value totaling $129 million. </w:t>
      </w:r>
    </w:p>
    <w:p>
      <w:pPr>
        <w:pStyle w:val="TextBody"/>
        <w:bidi w:val="0"/>
        <w:spacing w:lineRule="auto" w:line="288" w:before="100" w:after="283"/>
        <w:jc w:val="left"/>
        <w:rPr/>
      </w:pPr>
      <w:r>
        <w:rPr>
          <w:rFonts w:ascii="Times New Roman;serif" w:hAnsi="Times New Roman;serif"/>
          <w:b w:val="false"/>
          <w:color w:val="000000"/>
          <w:sz w:val="20"/>
        </w:rPr>
        <w:t xml:space="preserve">As of December 31, 2025, we had $2.6 billion of principal variable rate debt. If interest rates increased or decreased by 100 basis points on our variable rate debt, annualized interest expense and net cash payments for interest would increase or decrease by approximately $26 million. This analysis does not reflect the effect that interest rates would have on other items, such as new borrowings and the impact on the economy. See Note 9,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of the notes to our audited consolidated financial statements in Part II, Item 8 of this Form 10-K for further information regarding how we manage interest rate risk.</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Fuel Price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Fuel costs represent a significant operating expense. When economically practical, we may enter into new fuel hedges, renew contracts, or engage in other strategies to mitigate market risk. As of December 31, 2025, we had no fuel hedges in place. While we charge fuel recovery fees to a majority of our customers, we are unable to charge such fees to all customers.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current consumption levels, we believe a twenty-cent per gallon change in the price of diesel fuel would change our fuel costs by approximately $26 million per year. Changes in fuel expense would be offset by changes in our fuel recovery fee charged to our customers. At current participation rates, we believe a twenty-cent per gallon change in the price of diesel fuel would change our fuel recovery fee by approximately $42 million per year.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also require the use of certain petrochemical-based products (such as liners at our landfills) the cost of which may vary with the price of petrochemicals. An increase in the price of petrochemicals could increase the cost of those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which would increase our operating and capital costs. We also are susceptible to increases in fuel recovery fees from our vendors.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fuel costs were $466 million during 2025, or 2.8% of revenue, compared to $470 million, or 2.9% of revenue, during 2024.</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Commodities Price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market recovered materials such as old corrugated containers and old newsprint from our recycling centers. Changes in market supply and demand for recycled commodities causes volatility in commodity prices. In prior periods, we have entered into derivative instruments such as swaps and costless collars designated as cash flow hedges to manage our exposure to changes in prices of these commodities. As of December 31, 2025, we had no recycling commodity hedges in place.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current volumes and mix of materials, we believe a $10 per ton change in the price of recycled commodities would change both annual revenue and operating income by approximately $13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Revenue from recycling processing and commodity sales during the years ended December 31, 2025 and 2024 was $433 million and $409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240" w:after="283"/>
        <w:jc w:val="left"/>
        <w:rPr/>
      </w:pPr>
      <w:r>
        <w:rPr>
          <w:rFonts w:ascii="Times New Roman;serif" w:hAnsi="Times New Roman;serif"/>
          <w:b/>
          <w:color w:val="000000"/>
          <w:sz w:val="20"/>
        </w:rPr>
        <w:t>ITEM 8.</w:t>
      </w:r>
      <w:r>
        <w:rPr>
          <w:rFonts w:ascii="Times New Roman;serif" w:hAnsi="Times New Roman;serif"/>
          <w:b/>
          <w:color w:val="000000"/>
          <w:sz w:val="20"/>
        </w:rPr>
        <w:t>FINANCIAL STATEMENTS AND SUPPLEMENTARY DATA</w:t>
      </w:r>
    </w:p>
    <w:tbl>
      <w:tblPr>
        <w:tblW w:w="10205" w:type="dxa"/>
        <w:jc w:val="left"/>
        <w:tblInd w:w="0" w:type="dxa"/>
        <w:tblLayout w:type="fixed"/>
        <w:tblCellMar>
          <w:top w:w="28" w:type="dxa"/>
          <w:left w:w="28" w:type="dxa"/>
          <w:bottom w:w="28" w:type="dxa"/>
          <w:right w:w="28" w:type="dxa"/>
        </w:tblCellMar>
      </w:tblPr>
      <w:tblGrid>
        <w:gridCol w:w="3561"/>
        <w:gridCol w:w="3127"/>
        <w:gridCol w:w="3144"/>
        <w:gridCol w:w="109"/>
        <w:gridCol w:w="109"/>
        <w:gridCol w:w="155"/>
      </w:tblGrid>
      <w:tr>
        <w:trPr/>
        <w:tc>
          <w:tcPr>
            <w:tcW w:w="3561"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3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Report of Independent Registered Public Accounting Firm (PCAOB ID: 42)</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88">
              <w:r>
                <w:rPr>
                  <w:rStyle w:val="InternetLink"/>
                  <w:rFonts w:ascii="Times New Roman;serif" w:hAnsi="Times New Roman;serif"/>
                  <w:b w:val="false"/>
                  <w:color w:val="0000FF"/>
                  <w:sz w:val="19"/>
                  <w:u w:val="single"/>
                </w:rPr>
                <w:t>60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88">
              <w:r>
                <w:rPr>
                  <w:rStyle w:val="InternetLink"/>
                  <w:rFonts w:ascii="Times New Roman;serif" w:hAnsi="Times New Roman;serif"/>
                  <w:b w:val="false"/>
                  <w:strike w:val="false"/>
                  <w:dstrike w:val="false"/>
                  <w:color w:val="000000"/>
                  <w:sz w:val="19"/>
                  <w:u w:val="none"/>
                  <w:effect w:val="none"/>
                </w:rPr>
                <w:t>Report of Independent Registered Public Accounting Firm on Internal Control Over Financial Reporting</w:t>
              </w:r>
            </w:hyperlink>
            <w:r>
              <w:rPr>
                <w:rFonts w:ascii="Times New Roman;serif" w:hAnsi="Times New Roman;serif"/>
                <w:b w:val="false"/>
                <w:color w:val="000000"/>
                <w:sz w:val="19"/>
              </w:rPr>
              <w:t xml:space="preserve"> (PCAOB ID: 42)</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2171">
              <w:r>
                <w:rPr>
                  <w:rStyle w:val="InternetLink"/>
                  <w:rFonts w:ascii="Times New Roman;serif" w:hAnsi="Times New Roman;serif"/>
                  <w:b w:val="false"/>
                  <w:color w:val="0000FF"/>
                  <w:sz w:val="19"/>
                  <w:u w:val="single"/>
                </w:rPr>
                <w:t>62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Consolidated Balance Sheets as of December 31, 2025 and 2024</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91">
              <w:r>
                <w:rPr>
                  <w:rStyle w:val="InternetLink"/>
                  <w:rFonts w:ascii="Times New Roman;serif" w:hAnsi="Times New Roman;serif"/>
                  <w:b w:val="false"/>
                  <w:color w:val="0000FF"/>
                  <w:sz w:val="19"/>
                  <w:u w:val="single"/>
                </w:rPr>
                <w:t>63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94">
              <w:r>
                <w:rPr>
                  <w:rStyle w:val="InternetLink"/>
                  <w:rFonts w:ascii="Times New Roman;serif" w:hAnsi="Times New Roman;serif"/>
                  <w:b w:val="false"/>
                  <w:strike w:val="false"/>
                  <w:dstrike w:val="false"/>
                  <w:color w:val="000000"/>
                  <w:sz w:val="19"/>
                  <w:u w:val="none"/>
                  <w:effect w:val="none"/>
                </w:rPr>
                <w:t>Consolidated Statement</w:t>
              </w:r>
            </w:hyperlink>
            <w:hyperlink w:anchor="ia741dac77d4a44c98e59804b33ecc307_94">
              <w:r>
                <w:rPr>
                  <w:rStyle w:val="InternetLink"/>
                  <w:rFonts w:ascii="Times New Roman;serif" w:hAnsi="Times New Roman;serif"/>
                  <w:b w:val="false"/>
                  <w:strike w:val="false"/>
                  <w:dstrike w:val="false"/>
                  <w:color w:val="000000"/>
                  <w:sz w:val="20"/>
                  <w:u w:val="none"/>
                  <w:effect w:val="none"/>
                </w:rPr>
                <w:t>s of</w:t>
              </w:r>
            </w:hyperlink>
            <w:hyperlink w:anchor="ia741dac77d4a44c98e59804b33ecc307_94">
              <w:r>
                <w:rPr>
                  <w:rStyle w:val="InternetLink"/>
                  <w:strike w:val="false"/>
                  <w:dstrike w:val="false"/>
                  <w:color w:val="000000"/>
                  <w:u w:val="none"/>
                  <w:effect w:val="none"/>
                </w:rPr>
                <w:t xml:space="preserve"> </w:t>
              </w:r>
            </w:hyperlink>
            <w:hyperlink w:anchor="ia741dac77d4a44c98e59804b33ecc307_94">
              <w:r>
                <w:rPr>
                  <w:rStyle w:val="InternetLink"/>
                  <w:rFonts w:ascii="Times New Roman;serif" w:hAnsi="Times New Roman;serif"/>
                  <w:b w:val="false"/>
                  <w:strike w:val="false"/>
                  <w:dstrike w:val="false"/>
                  <w:color w:val="000000"/>
                  <w:sz w:val="19"/>
                  <w:u w:val="none"/>
                  <w:effect w:val="none"/>
                </w:rPr>
                <w:t xml:space="preserve">Income for Each of the Three Years in the Period Ended </w:t>
              </w:r>
            </w:hyperlink>
            <w:r>
              <w:rPr>
                <w:rFonts w:ascii="Times New Roman;serif" w:hAnsi="Times New Roman;serif"/>
                <w:b w:val="false"/>
                <w:color w:val="000000"/>
                <w:sz w:val="19"/>
              </w:rPr>
              <w:t>December 31, 2025</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94">
              <w:r>
                <w:rPr>
                  <w:rStyle w:val="InternetLink"/>
                  <w:rFonts w:ascii="Times New Roman;serif" w:hAnsi="Times New Roman;serif"/>
                  <w:b w:val="false"/>
                  <w:color w:val="0000FF"/>
                  <w:sz w:val="19"/>
                  <w:u w:val="single"/>
                </w:rPr>
                <w:t>64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Consolidated Statements of Comprehensive Income for Each of the Three Years in the Period Ended December 31, 2025</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97">
              <w:r>
                <w:rPr>
                  <w:rStyle w:val="InternetLink"/>
                  <w:rFonts w:ascii="Times New Roman;serif" w:hAnsi="Times New Roman;serif"/>
                  <w:b w:val="false"/>
                  <w:color w:val="0000FF"/>
                  <w:sz w:val="19"/>
                  <w:u w:val="single"/>
                </w:rPr>
                <w:t>65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Consolidated Statements of Stockholders' Equity for Each of the Three Years in the Period Ended December 31, 2025</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00">
              <w:r>
                <w:rPr>
                  <w:rStyle w:val="InternetLink"/>
                  <w:rFonts w:ascii="Times New Roman;serif" w:hAnsi="Times New Roman;serif"/>
                  <w:b w:val="false"/>
                  <w:color w:val="0000FF"/>
                  <w:sz w:val="19"/>
                  <w:u w:val="single"/>
                </w:rPr>
                <w:t>66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Consolidated Statements of Cash Flows for Each of the Three Years in the Period Ended December 31, 2025</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06">
              <w:r>
                <w:rPr>
                  <w:rStyle w:val="InternetLink"/>
                  <w:rFonts w:ascii="Times New Roman;serif" w:hAnsi="Times New Roman;serif"/>
                  <w:b w:val="false"/>
                  <w:color w:val="0000FF"/>
                  <w:sz w:val="19"/>
                  <w:u w:val="single"/>
                </w:rPr>
                <w:t>67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09">
              <w:r>
                <w:rPr>
                  <w:rStyle w:val="InternetLink"/>
                  <w:rFonts w:ascii="Times New Roman;serif" w:hAnsi="Times New Roman;serif"/>
                  <w:b w:val="false"/>
                  <w:strike w:val="false"/>
                  <w:dstrike w:val="false"/>
                  <w:color w:val="000080"/>
                  <w:sz w:val="19"/>
                  <w:u w:val="single"/>
                  <w:effect w:val="none"/>
                </w:rPr>
                <w:t xml:space="preserve">Notes to </w:t>
              </w:r>
            </w:hyperlink>
            <w:hyperlink w:anchor="ia741dac77d4a44c98e59804b33ecc307_109">
              <w:r>
                <w:rPr>
                  <w:rStyle w:val="InternetLink"/>
                  <w:rFonts w:ascii="Times New Roman;serif" w:hAnsi="Times New Roman;serif"/>
                  <w:b w:val="false"/>
                  <w:strike w:val="false"/>
                  <w:dstrike w:val="false"/>
                  <w:color w:val="000080"/>
                  <w:sz w:val="19"/>
                  <w:u w:val="single"/>
                  <w:effect w:val="none"/>
                </w:rPr>
                <w:t>Consolidated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09">
              <w:r>
                <w:rPr>
                  <w:rStyle w:val="InternetLink"/>
                  <w:rFonts w:ascii="Times New Roman;serif" w:hAnsi="Times New Roman;serif"/>
                  <w:b w:val="false"/>
                  <w:color w:val="0000FF"/>
                  <w:sz w:val="19"/>
                  <w:u w:val="single"/>
                </w:rPr>
                <w:t>68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Republic Services, Inc.</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Republic Services, Inc. (the Company) as of December 31, 2025 and 2024, the related consolidated statements of income, comprehensive income,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17, 2026, expressed an unqualified opinion thereon.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 </w:t>
      </w:r>
    </w:p>
    <w:tbl>
      <w:tblPr>
        <w:tblW w:w="10205" w:type="dxa"/>
        <w:jc w:val="left"/>
        <w:tblInd w:w="0" w:type="dxa"/>
        <w:tblLayout w:type="fixed"/>
        <w:tblCellMar>
          <w:top w:w="28" w:type="dxa"/>
          <w:left w:w="28" w:type="dxa"/>
          <w:bottom w:w="28" w:type="dxa"/>
          <w:right w:w="28" w:type="dxa"/>
        </w:tblCellMar>
      </w:tblPr>
      <w:tblGrid>
        <w:gridCol w:w="468"/>
        <w:gridCol w:w="412"/>
        <w:gridCol w:w="414"/>
        <w:gridCol w:w="109"/>
        <w:gridCol w:w="109"/>
        <w:gridCol w:w="109"/>
        <w:gridCol w:w="2543"/>
        <w:gridCol w:w="2494"/>
        <w:gridCol w:w="3547"/>
      </w:tblGrid>
      <w:tr>
        <w:trPr/>
        <w:tc>
          <w:tcPr>
            <w:tcW w:w="46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Landfill Development Asset Depletion</w:t>
            </w:r>
          </w:p>
        </w:tc>
      </w:tr>
      <w:tr>
        <w:trPr/>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Landfill development asset depletion expense for the year ended December 31, 2025 was $433 million. As discussed in Note 2, management updates the assumptions used to estimate the landfill development asset depletion expense at least annually, or more often if there is a significant change in facts and circumstances related to a landfill. Significant assumptions used in the calculation of the expense include estimated future development costs and available disposal capacity.</w:t>
            </w:r>
          </w:p>
        </w:tc>
      </w:tr>
      <w:tr>
        <w:trPr/>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Auditing landfill development asset depletion expense is complex due to the highly judgmental nature of the significant assumptions, as discussed above, used in the calculation of the expense.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tbl>
      <w:tblPr>
        <w:tblW w:w="10205" w:type="dxa"/>
        <w:jc w:val="left"/>
        <w:tblInd w:w="0" w:type="dxa"/>
        <w:tblLayout w:type="fixed"/>
        <w:tblCellMar>
          <w:top w:w="28" w:type="dxa"/>
          <w:left w:w="28" w:type="dxa"/>
          <w:bottom w:w="28" w:type="dxa"/>
          <w:right w:w="28" w:type="dxa"/>
        </w:tblCellMar>
      </w:tblPr>
      <w:tblGrid>
        <w:gridCol w:w="536"/>
        <w:gridCol w:w="374"/>
        <w:gridCol w:w="375"/>
        <w:gridCol w:w="109"/>
        <w:gridCol w:w="109"/>
        <w:gridCol w:w="109"/>
        <w:gridCol w:w="2546"/>
        <w:gridCol w:w="2505"/>
        <w:gridCol w:w="3542"/>
      </w:tblGrid>
      <w:tr>
        <w:trPr/>
        <w:tc>
          <w:tcPr>
            <w:tcW w:w="53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3542" w:type="dxa"/>
            <w:tcBorders/>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obtained an understanding of, evaluated the design, and tested the operating effectiveness of the Company’s controls over landfill development asset depletion expense. Our audit procedures included, among others, testing controls over the Company’s process for evaluating and updating the significant assumptions used in the calculation of landfill development asset depletion expense and the accuracy of depletion expense recorded. </w:t>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 test the landfill development asset depletion expense, our audit procedures included, among others, assessing methodologies and testing the significant assumptions discussed above. To test the future development costs, we compared the estimated costs used by management to comparable landfills accepting the same type of waste. We also tested the completeness and accuracy of the data utilized in the development of depletion expense. Regarding disposal capacity, we evaluated the Company’s annual utilization and estimation of the landfill disposal capacity through a comparison of airspace to historical estimates and annual aerial surveys. In addition, we considered the professional qualifications and objectivity of management’s specialist responsible for performing the aerial surveys with involvement from EY engineering specialists.</w:t>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Landfill Final Capping, Closure and Post-Closure Costs</w:t>
            </w:r>
          </w:p>
        </w:tc>
      </w:tr>
      <w:tr>
        <w:trPr/>
        <w:tc>
          <w:tcPr>
            <w:tcW w:w="12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carrying value of the Company’s landfill final capping, closure and post-closure costs totaled $2,313 million. As discussed in Notes 2 and 8 of the consolidated financial statements, management updates the assumptions used to estimate the asset retirement obligations at least annually, or more often if there is a significant change in facts and circumstances related to a landfill. These assumptions include estimated future costs associated with the final capping, closure and post-closure activities at each landfill, projected timing of future cash outflows, and estimated inflation rate. </w:t>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Auditing the landfill asset retirement obligations is complex due to the highly judgmental nature of the significant assumptions, as discussed above, used in the calculation of the asset retirement obligations.</w:t>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 obtained an understanding of, evaluated the design, and tested the operating effectiveness of the Company’s controls over the calculation of asset retirement obligations. Our procedures included, among others, testing controls over the Company’s process for evaluating and updating the significant assumptions used in the calculation of the landfill asset retirement obligations and the accuracy of the asset retirement obligations recorded.</w:t>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 test the landfill asset retirement obligations, our audit procedures included, among others, assessing methodologies used by the Company, testing the completeness of activities included in the estimate and testing the significant assumptions discussed above. To test the estimated future costs, we compared the estimated future costs used by management to comparable landfills accepting the same type of waste. We also tested the completeness and accuracy of the data utilized in preparing the cost estimate. Regarding the projected timing of future cash outflows assumption, we evaluated the Company’s annual utilization and estimation of the landfill disposal capacity through a comparison of airspace to historical estimates and annual aerial surveys. We also performed a sensitivity analysis of the inflation rate assumption. In addition, we considered the professional qualifications and objectivity of management’s specialist responsible for performing the aerial surveys. We involved EY engineering specialists to assist us with evaluating assumptions used in estimated costs for the capping, closure and post-closure activities.</w:t>
            </w:r>
          </w:p>
        </w:tc>
      </w:tr>
    </w:tbl>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2002.</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Phoenix, Arizona</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February 17,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Republic Services, Inc.</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audited Republic Services, Inc.’s internal control over financial reporting as of December 31, 2025, based on criteria established in Internal Control – Integrated Framework issued by the Committee of Sponsoring Organizations of the Treadway Commission (2013 framework) (the COSO criteria). In our opinion, Republic Services, Inc. (the Company) maintained, in all material respects, effective internal control over financial reporting as of December 31, 2025, based on the COSO criteria.</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income, comprehensive income, stockholders’ equity and cash flows for each of the three years in the period ended December 31, 2025, and the related notes and our report dated February 17, 2026, expressed an unqualified opinion thereon.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Report of Management on Republic Services, Inc.’s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Phoenix, Arizona</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February 17,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except per share data) </w:t>
      </w:r>
    </w:p>
    <w:tbl>
      <w:tblPr>
        <w:tblW w:w="10205" w:type="dxa"/>
        <w:jc w:val="center"/>
        <w:tblInd w:w="0" w:type="dxa"/>
        <w:tblLayout w:type="fixed"/>
        <w:tblCellMar>
          <w:top w:w="28" w:type="dxa"/>
          <w:left w:w="28" w:type="dxa"/>
          <w:bottom w:w="28" w:type="dxa"/>
          <w:right w:w="28" w:type="dxa"/>
        </w:tblCellMar>
      </w:tblPr>
      <w:tblGrid>
        <w:gridCol w:w="2661"/>
        <w:gridCol w:w="2183"/>
        <w:gridCol w:w="2147"/>
        <w:gridCol w:w="287"/>
        <w:gridCol w:w="984"/>
        <w:gridCol w:w="148"/>
        <w:gridCol w:w="109"/>
        <w:gridCol w:w="109"/>
        <w:gridCol w:w="109"/>
        <w:gridCol w:w="284"/>
        <w:gridCol w:w="972"/>
        <w:gridCol w:w="212"/>
      </w:tblGrid>
      <w:tr>
        <w:trPr/>
        <w:tc>
          <w:tcPr>
            <w:tcW w:w="266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 for doubtful accounts and other of $66 and $74, respectively</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marketable securities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34,366 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32,402 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and current maturities of long-term debt</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landfill and environmental costs, current portion</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maturities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landfill and environmental costs, net of current portion</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other long-term tax liabilities, net</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reserves, net of current portion</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$0.01 per share; 50 shares authorized; none issued</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 750 shares authorized; 313 and 313 issued including shares held in treasury, respectively</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5 and 1 shares, respectively</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net of tax</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Republic Services, Inc. stockholders’ equity</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consolidated subsidiary</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34,366 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32,402 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2308"/>
        <w:gridCol w:w="2025"/>
        <w:gridCol w:w="2048"/>
        <w:gridCol w:w="211"/>
        <w:gridCol w:w="721"/>
        <w:gridCol w:w="109"/>
        <w:gridCol w:w="109"/>
        <w:gridCol w:w="109"/>
        <w:gridCol w:w="109"/>
        <w:gridCol w:w="211"/>
        <w:gridCol w:w="721"/>
        <w:gridCol w:w="109"/>
        <w:gridCol w:w="109"/>
        <w:gridCol w:w="109"/>
        <w:gridCol w:w="109"/>
        <w:gridCol w:w="211"/>
        <w:gridCol w:w="721"/>
        <w:gridCol w:w="156"/>
      </w:tblGrid>
      <w:tr>
        <w:trPr/>
        <w:tc>
          <w:tcPr>
            <w:tcW w:w="2308"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December 31,</w:t>
            </w:r>
          </w:p>
        </w:tc>
      </w:tr>
      <w:tr>
        <w:trPr/>
        <w:tc>
          <w:tcPr>
            <w:tcW w:w="6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 to withdrawal liability for multiemployer pension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business divestitures and impairments,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unconsolidated equity method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in consolidated subsidiary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Republic Services,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attributable to Republic Services, Inc. stockholders: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attributable to Republic Services, Inc. stockholders: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and common equivalent shares outstanding</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per common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color w:val="000000"/>
        </w:rPr>
      </w:pPr>
      <w:r>
        <w:rPr>
          <w:color w:val="000000"/>
        </w:rPr>
        <w:t> </w:t>
      </w:r>
    </w:p>
    <w:tbl>
      <w:tblPr>
        <w:tblW w:w="8802" w:type="dxa"/>
        <w:jc w:val="center"/>
        <w:tblInd w:w="0" w:type="dxa"/>
        <w:tblLayout w:type="fixed"/>
        <w:tblCellMar>
          <w:top w:w="28" w:type="dxa"/>
          <w:left w:w="28" w:type="dxa"/>
          <w:bottom w:w="28" w:type="dxa"/>
          <w:right w:w="28" w:type="dxa"/>
        </w:tblCellMar>
      </w:tblPr>
      <w:tblGrid>
        <w:gridCol w:w="1916"/>
        <w:gridCol w:w="1681"/>
        <w:gridCol w:w="1698"/>
        <w:gridCol w:w="211"/>
        <w:gridCol w:w="616"/>
        <w:gridCol w:w="109"/>
        <w:gridCol w:w="109"/>
        <w:gridCol w:w="109"/>
        <w:gridCol w:w="109"/>
        <w:gridCol w:w="211"/>
        <w:gridCol w:w="616"/>
        <w:gridCol w:w="109"/>
        <w:gridCol w:w="109"/>
        <w:gridCol w:w="109"/>
        <w:gridCol w:w="109"/>
        <w:gridCol w:w="211"/>
        <w:gridCol w:w="616"/>
        <w:gridCol w:w="154"/>
      </w:tblGrid>
      <w:tr>
        <w:trPr/>
        <w:tc>
          <w:tcPr>
            <w:tcW w:w="191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Years Ended December 31,</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Republic Services,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808" w:type="dxa"/>
        <w:jc w:val="center"/>
        <w:tblInd w:w="0" w:type="dxa"/>
        <w:tblLayout w:type="fixed"/>
        <w:tblCellMar>
          <w:top w:w="28" w:type="dxa"/>
          <w:left w:w="28" w:type="dxa"/>
          <w:bottom w:w="28" w:type="dxa"/>
          <w:right w:w="28" w:type="dxa"/>
        </w:tblCellMar>
      </w:tblPr>
      <w:tblGrid>
        <w:gridCol w:w="555"/>
        <w:gridCol w:w="225"/>
        <w:gridCol w:w="226"/>
        <w:gridCol w:w="203"/>
        <w:gridCol w:w="203"/>
        <w:gridCol w:w="166"/>
        <w:gridCol w:w="109"/>
        <w:gridCol w:w="109"/>
        <w:gridCol w:w="109"/>
        <w:gridCol w:w="210"/>
        <w:gridCol w:w="263"/>
        <w:gridCol w:w="128"/>
        <w:gridCol w:w="109"/>
        <w:gridCol w:w="109"/>
        <w:gridCol w:w="109"/>
        <w:gridCol w:w="181"/>
        <w:gridCol w:w="496"/>
        <w:gridCol w:w="109"/>
        <w:gridCol w:w="109"/>
        <w:gridCol w:w="109"/>
        <w:gridCol w:w="109"/>
        <w:gridCol w:w="181"/>
        <w:gridCol w:w="571"/>
        <w:gridCol w:w="109"/>
        <w:gridCol w:w="109"/>
        <w:gridCol w:w="109"/>
        <w:gridCol w:w="109"/>
        <w:gridCol w:w="203"/>
        <w:gridCol w:w="203"/>
        <w:gridCol w:w="166"/>
        <w:gridCol w:w="109"/>
        <w:gridCol w:w="109"/>
        <w:gridCol w:w="109"/>
        <w:gridCol w:w="181"/>
        <w:gridCol w:w="496"/>
        <w:gridCol w:w="109"/>
        <w:gridCol w:w="109"/>
        <w:gridCol w:w="109"/>
        <w:gridCol w:w="109"/>
        <w:gridCol w:w="317"/>
        <w:gridCol w:w="527"/>
        <w:gridCol w:w="192"/>
        <w:gridCol w:w="109"/>
        <w:gridCol w:w="109"/>
        <w:gridCol w:w="109"/>
        <w:gridCol w:w="373"/>
        <w:gridCol w:w="466"/>
        <w:gridCol w:w="227"/>
        <w:gridCol w:w="109"/>
        <w:gridCol w:w="109"/>
        <w:gridCol w:w="109"/>
        <w:gridCol w:w="181"/>
        <w:gridCol w:w="571"/>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7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Republic Services,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Additional</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Accumulated Other Comprehensive Loss,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Non-controlling Interests In Consolidated Subsidiary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Total</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2022</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dividends declared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Issuances of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5"/>
              </w:rPr>
            </w:pPr>
            <w:r>
              <w:rPr>
                <w:rFonts w:ascii="Times New Roman;serif" w:hAnsi="Times New Roman;serif"/>
                <w:b w:val="false"/>
                <w:color w:val="000000"/>
                <w:sz w:val="15"/>
              </w:rPr>
              <w:t>Purchase of common stock for treasury</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Distributions paid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2023</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dividends declared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Issuances of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5"/>
              </w:rPr>
            </w:pPr>
            <w:r>
              <w:rPr>
                <w:rFonts w:ascii="Times New Roman;serif" w:hAnsi="Times New Roman;serif"/>
                <w:b w:val="false"/>
                <w:color w:val="000000"/>
                <w:sz w:val="15"/>
              </w:rPr>
              <w:t>Purchase of common stock for treasury</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Shares returned to unissued status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Distributions paid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2024</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11,407 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dividends declared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Issuances of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5"/>
              </w:rPr>
            </w:pPr>
            <w:r>
              <w:rPr>
                <w:rFonts w:ascii="Times New Roman;serif" w:hAnsi="Times New Roman;serif"/>
                <w:b w:val="false"/>
                <w:color w:val="000000"/>
                <w:sz w:val="15"/>
              </w:rPr>
              <w:t>Purchase of common stock for treasury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Shares returned to unissued status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5"/>
              </w:rPr>
            </w:pPr>
            <w:r>
              <w:rPr>
                <w:rFonts w:ascii="Times New Roman;serif" w:hAnsi="Times New Roman;serif"/>
                <w:b w:val="false"/>
                <w:color w:val="000000"/>
                <w:sz w:val="15"/>
              </w:rPr>
              <w:t>Distributions paid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2025</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9672" w:type="dxa"/>
        <w:jc w:val="center"/>
        <w:tblInd w:w="0" w:type="dxa"/>
        <w:tblLayout w:type="fixed"/>
        <w:tblCellMar>
          <w:top w:w="28" w:type="dxa"/>
          <w:left w:w="28" w:type="dxa"/>
          <w:bottom w:w="28" w:type="dxa"/>
          <w:right w:w="28" w:type="dxa"/>
        </w:tblCellMar>
      </w:tblPr>
      <w:tblGrid>
        <w:gridCol w:w="2317"/>
        <w:gridCol w:w="2027"/>
        <w:gridCol w:w="2046"/>
        <w:gridCol w:w="196"/>
        <w:gridCol w:w="556"/>
        <w:gridCol w:w="109"/>
        <w:gridCol w:w="109"/>
        <w:gridCol w:w="109"/>
        <w:gridCol w:w="109"/>
        <w:gridCol w:w="196"/>
        <w:gridCol w:w="556"/>
        <w:gridCol w:w="109"/>
        <w:gridCol w:w="109"/>
        <w:gridCol w:w="109"/>
        <w:gridCol w:w="109"/>
        <w:gridCol w:w="196"/>
        <w:gridCol w:w="556"/>
        <w:gridCol w:w="154"/>
      </w:tblGrid>
      <w:tr>
        <w:trPr/>
        <w:tc>
          <w:tcPr>
            <w:tcW w:w="231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Years Ended December 31,</w:t>
            </w:r>
          </w:p>
        </w:tc>
      </w:tr>
      <w:tr>
        <w:trPr/>
        <w:tc>
          <w:tcPr>
            <w:tcW w:w="6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provided by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depletion, amortization and accretion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provision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unconsolidated equity method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items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Change in assets and liabilities, net of effects from business acquisitions and divestitures: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Capping, closure and post-closure expenditures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Remediation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from retirement of certain hedging relationships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provided by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in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property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in acquisitions and investments, net of cash and restricted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received from business divestitures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in) provided by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credit facilities and notes payable, net of fees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senior notes, net of discount and fees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credit facilities and notes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common stock,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common stock for treasury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paid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paid to non-controlling interests in consolidated subsidiary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consideration payments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in) provided by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 changes on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cash, cash equivalents, restricted cash and restricted cash equivalents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restricted cash and restricted cash equivalents at beginning of year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restricted cash and restricted cash equivalents at end of year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Pr>
          <w:t>T</w:t>
        </w:r>
      </w:hyperlink>
      <w:hyperlink w:anchor="ia741dac77d4a44c98e59804b33ecc307_7">
        <w:r>
          <w:rPr>
            <w:rStyle w:val="InternetLink"/>
          </w:rPr>
          <w:t>a</w:t>
        </w:r>
      </w:hyperlink>
      <w:hyperlink w:anchor="ia741dac77d4a44c98e59804b33ecc307_7">
        <w:r>
          <w:rPr>
            <w:rStyle w:val="InternetLink"/>
          </w:rPr>
          <w:t>b</w:t>
        </w:r>
      </w:hyperlink>
      <w:hyperlink w:anchor="ia741dac77d4a44c98e59804b33ecc307_7">
        <w:r>
          <w:rPr>
            <w:rStyle w:val="InternetLink"/>
          </w:rPr>
          <w:t>l</w:t>
        </w:r>
      </w:hyperlink>
      <w:hyperlink w:anchor="ia741dac77d4a44c98e59804b33ecc307_7">
        <w:r>
          <w:rPr>
            <w:rStyle w:val="InternetLink"/>
          </w:rPr>
          <w:t>e</w:t>
        </w:r>
      </w:hyperlink>
      <w:hyperlink w:anchor="ia741dac77d4a44c98e59804b33ecc307_7">
        <w:r>
          <w:rPr>
            <w:rStyle w:val="InternetLink"/>
          </w:rPr>
          <w:t xml:space="preserve"> </w:t>
        </w:r>
      </w:hyperlink>
      <w:hyperlink w:anchor="ia741dac77d4a44c98e59804b33ecc307_7">
        <w:r>
          <w:rPr>
            <w:rStyle w:val="InternetLink"/>
          </w:rPr>
          <w:t>o</w:t>
        </w:r>
      </w:hyperlink>
      <w:hyperlink w:anchor="ia741dac77d4a44c98e59804b33ecc307_7">
        <w:r>
          <w:rPr>
            <w:rStyle w:val="InternetLink"/>
          </w:rPr>
          <w:t>f</w:t>
        </w:r>
      </w:hyperlink>
      <w:hyperlink w:anchor="ia741dac77d4a44c98e59804b33ecc307_7">
        <w:r>
          <w:rPr>
            <w:rStyle w:val="InternetLink"/>
          </w:rPr>
          <w:t xml:space="preserve"> </w:t>
        </w:r>
      </w:hyperlink>
      <w:hyperlink w:anchor="ia741dac77d4a44c98e59804b33ecc307_7">
        <w:r>
          <w:rPr>
            <w:rStyle w:val="InternetLink"/>
          </w:rPr>
          <w:t>C</w:t>
        </w:r>
      </w:hyperlink>
      <w:hyperlink w:anchor="ia741dac77d4a44c98e59804b33ecc307_7">
        <w:r>
          <w:rPr>
            <w:rStyle w:val="InternetLink"/>
          </w:rPr>
          <w:t>o</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e</w:t>
        </w:r>
      </w:hyperlink>
      <w:hyperlink w:anchor="ia741dac77d4a44c98e59804b33ecc307_7">
        <w:r>
          <w:rPr>
            <w:rStyle w:val="InternetLink"/>
          </w:rPr>
          <w:t>n</w:t>
        </w:r>
      </w:hyperlink>
      <w:hyperlink w:anchor="ia741dac77d4a44c98e59804b33ecc307_7">
        <w:r>
          <w:rPr>
            <w:rStyle w:val="InternetLink"/>
          </w:rPr>
          <w:t>t</w:t>
        </w:r>
      </w:hyperlink>
      <w:hyperlink w:anchor="ia741dac77d4a44c98e59804b33ecc307_7">
        <w:r>
          <w:rPr>
            <w:rStyle w:val="InternetLink"/>
          </w:rPr>
          <w: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1.BASIS OF PRESENTATION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Republic Services, Inc., a Delaware corporation, and its consolidated subsidiaries (also referred to collectively as Republic, the Company, we, us, or our), is one of the largest providers of environmental services in the United States, as measured by revenue. Our senior management evaluates, oversees and manages the financial performance of our operations through three field groups, referred to as Group 1, Group 2 and Group 3. Group 1 is our recycling and waste business operating primarily in geographic areas located in the western United States. Group 2 is our recycling and waste business operating primarily in geographic areas located in the southeastern and mid-western United States, the eastern seaboard of the United States, and Canada. Group 3 is our environmental solutions business operating primarily in geographic areas located across the United States and Canada. These groups represent our reportable segments, which provide integrated environmental services, including but not limited to collection, transfer, recycling, and disposal.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Republic Services, Inc. and its wholly owned and majority-owned subsidiaries in accordance with accounting principles generally accepted in the United States of America (U.S. GAAP). We account for investments in entities in which we do not have a controlling financial interest under the equity method of accounting or, for investments that do not meet the criteria to be accounted for under the equity method, we reflect these investments at their fair value when it is readily determinable. If fair value is not readily determinable, we use an alternative measurement approach. All material intercompany accounts and transactions have been eliminated in consolidation.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comparative purposes, certain prior year amounts have been reclassified to conform to the current year presentation and are not material to our consolidated financial statements. All dollar amounts in tabular presentations are in millions, except per share amounts and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2.SUMMARY OF SIGNIFICANT ACCOUNTING POLICIES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Management’s Estimates and Assumptions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preparing our financial statements, we make numerous estimates and assumptions that affect the amounts reported in these financial statements and accompanying notes. We must make these estimates and assumptions because certain information we use is dependent on future events, cannot be calculated with a high degree of precision from data available or simply cannot be readily calculated based on generally accepted methodologies. In preparing our financial statements, the more significant and subjective areas that deal with the greatest amount of uncertainty relate to our accounting for our long-lived assets, including recoverability, landfill development costs and final capping, closure and post-closure costs; our liabilities for potential litigation, claims and assessments; our liabilities for environmental remediation, deferred taxes, uncertain tax positions and insurance reserves; and our estimates of the fair values of assets acquired and liabilities assumed in acquisitions. Each of these items is discussed in more detail elsewhere in these Notes to Consolidated Financial Statements. Our actual results may differ significantly from our estimates.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consider liquid investments with a maturity at the date of acquisition of three months or less to be cash equivalents.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may have net book credit balances in our primary disbursement accounts at the end of a reporting period. We classify such credit balances as accounts payable in our consolidated balance sheets as checks presented for payment to these accounts are not payable by our banks under overdraft arrangements, and, therefore, do not represent short-term borrowings. As of December 31, 2025 and 2024, there were net book credit balances of $119 million and $121 million, respectively, in our primary disbursement accounts that were classified as accounts payable on our consolidated balance sheets.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us to concentrations of credit risk consist of cash and cash equivalents, trade accounts receivable and derivative instruments. We place our cash and cash equivalents with high quality financial institutions. Such balances may be in excess of FDIC insured limits. To manage the related credit exposure, we continually monitor the credit worthiness of the financial institutions where we have deposits. Concentrations of credit risk with respect to trade accounts receivable are limited due to the wide variety of customers and markets in which we provide services, as well as the dispersion of our operations across many geographic areas. We provide services to small-container, large-container, municipal and residential and environmental solutions customers primarily in the United States and Canada. We perform ongoing credit evaluations of our customers, but generally do not require collateral to support customer receivables. We establish an allowance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doubtful accounts based on various factors including the credit risk of specific customers, age of receivables outstanding, historical trends, economic conditions and other information.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Accounts Receivable, Net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represents receivables from customers for environmental services, including collection and processing of recyclable materials, collection, transfer and disposal of solid waste and environmental solutions. Our receivables are recorded when billed or when the related revenue is earned and represent claims against third parties that will be settled in cash. The carrying value of our receivables, net of the allowance for doubtful accounts and customer credits, represents the estimated net realizable value.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establish an allowance for doubtful accounts based on various factors including the age of receivables outstanding, historical trends, economic conditions and other information. We also review outstanding balances on an account-specific basis based on the credit risk of the customer. We determined that all of our accounts receivable share similar risk characteristics. We monitor our credit exposure on an ongoing basis and assess whether assets in the pool continue to display similar risk characteristics.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activity in our allowance for doubtful accounts for the years ended December 31:</w:t>
      </w:r>
    </w:p>
    <w:tbl>
      <w:tblPr>
        <w:tblW w:w="5277" w:type="dxa"/>
        <w:jc w:val="left"/>
        <w:tblInd w:w="0" w:type="dxa"/>
        <w:tblLayout w:type="fixed"/>
        <w:tblCellMar>
          <w:top w:w="28" w:type="dxa"/>
          <w:left w:w="28" w:type="dxa"/>
          <w:bottom w:w="28" w:type="dxa"/>
          <w:right w:w="28" w:type="dxa"/>
        </w:tblCellMar>
      </w:tblPr>
      <w:tblGrid>
        <w:gridCol w:w="918"/>
        <w:gridCol w:w="807"/>
        <w:gridCol w:w="810"/>
        <w:gridCol w:w="211"/>
        <w:gridCol w:w="361"/>
        <w:gridCol w:w="109"/>
        <w:gridCol w:w="109"/>
        <w:gridCol w:w="109"/>
        <w:gridCol w:w="109"/>
        <w:gridCol w:w="211"/>
        <w:gridCol w:w="361"/>
        <w:gridCol w:w="109"/>
        <w:gridCol w:w="109"/>
        <w:gridCol w:w="109"/>
        <w:gridCol w:w="109"/>
        <w:gridCol w:w="211"/>
        <w:gridCol w:w="361"/>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charged to expense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written-off</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Restricted Cash and Marketable Securities</w:t>
      </w:r>
    </w:p>
    <w:p>
      <w:pPr>
        <w:pStyle w:val="TextBody"/>
        <w:bidi w:val="0"/>
        <w:spacing w:lineRule="auto" w:line="288" w:before="100" w:after="283"/>
        <w:jc w:val="left"/>
        <w:rPr/>
      </w:pPr>
      <w:r>
        <w:rPr>
          <w:rFonts w:ascii="Times New Roman;serif" w:hAnsi="Times New Roman;serif"/>
          <w:b w:val="false"/>
          <w:color w:val="000000"/>
          <w:sz w:val="20"/>
        </w:rPr>
        <w:t xml:space="preserve">As of December 31, 2025 and 2024, we </w:t>
      </w:r>
      <w:r>
        <w:rPr>
          <w:rFonts w:ascii="Times New Roman;serif" w:hAnsi="Times New Roman;serif"/>
          <w:b w:val="false"/>
          <w:color w:val="000000"/>
          <w:sz w:val="20"/>
          <w:shd w:fill="FFFFFF" w:val="clear"/>
        </w:rPr>
        <w:t>had $259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$208 million, respectively, </w:t>
      </w:r>
      <w:r>
        <w:rPr>
          <w:rFonts w:ascii="Times New Roman;serif" w:hAnsi="Times New Roman;serif"/>
          <w:b w:val="false"/>
          <w:color w:val="000000"/>
          <w:sz w:val="20"/>
        </w:rPr>
        <w:t xml:space="preserve">of restricted cash and marketable securities, of which </w:t>
      </w:r>
      <w:r>
        <w:rPr>
          <w:rFonts w:ascii="Times New Roman;serif" w:hAnsi="Times New Roman;serif"/>
          <w:b w:val="false"/>
          <w:color w:val="000000"/>
          <w:sz w:val="20"/>
          <w:shd w:fill="FFFFFF" w:val="clear"/>
        </w:rPr>
        <w:t>$192 million and $149 million, respectively,</w:t>
      </w:r>
      <w:r>
        <w:rPr>
          <w:color w:val="000000"/>
        </w:rPr>
        <w:t xml:space="preserve"> </w:t>
      </w:r>
      <w:r>
        <w:rPr>
          <w:rFonts w:ascii="Times New Roman;serif" w:hAnsi="Times New Roman;serif"/>
          <w:b w:val="false"/>
          <w:color w:val="000000"/>
          <w:sz w:val="20"/>
        </w:rPr>
        <w:t>supports our insurance programs for workers' compensation, commercial general liability and commercial auto liability. Additionally, we obtain funds through the issuance of tax-exempt bonds for the purpose of financing qualifying expenditures at our landfills, transfer stations, collection and recycling centers. The funds are deposited directly into trust accounts by the bonding authorities at the time of issuance. As the use of these funds is contractually restricted, and we do not have the ability to use these funds for general operating purposes, they are classified as restricted cash and marketable securities in our consolidated balance sheets.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may be required to provide financial assurance to governmental agencies and a variety of other entities in connection with, among other things, municipal residential collection contracts, closure or post-closure of landfills, environmental remediation, environmental permits and business licenses and permits as a financial guarantee of our performance. At several of our landfills, we satisfy financial assurance requirements by depositing cash into restricted trust funds or escrow accounts.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Property and Equipment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record property and equipment at cost. Expenditures for major additions and improvements to facilities are capitalized, while maintenance and repairs are expensed as incurred. When property is retired or otherwise disposed, the related cost and accumulated depreciation are removed from the accounts and any resulting gain or loss is reflected in the consolidated statements of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revise the estimated useful lives of property and equipment acquired through business acquisitions to conform with our policies. We depreciate property and equipment over their estimated useful lives using the straight-line method. We assume no salvage value for our depreciable property and equipment. The estimated useful lives of our property and equipment are as follows:</w:t>
      </w:r>
    </w:p>
    <w:tbl>
      <w:tblPr>
        <w:tblW w:w="3554" w:type="dxa"/>
        <w:jc w:val="left"/>
        <w:tblInd w:w="0" w:type="dxa"/>
        <w:tblLayout w:type="fixed"/>
        <w:tblCellMar>
          <w:top w:w="28" w:type="dxa"/>
          <w:left w:w="28" w:type="dxa"/>
          <w:bottom w:w="28" w:type="dxa"/>
          <w:right w:w="28" w:type="dxa"/>
        </w:tblCellMar>
      </w:tblPr>
      <w:tblGrid>
        <w:gridCol w:w="896"/>
        <w:gridCol w:w="787"/>
        <w:gridCol w:w="791"/>
        <w:gridCol w:w="316"/>
        <w:gridCol w:w="316"/>
        <w:gridCol w:w="448"/>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5 - 30 years</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5 - 20 years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equipment</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5 - 7 years</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equipment</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3 - 25 years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3 - 10 years</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Landfill development costs also are included in property and equipment. Landfill development costs include direct costs incurred to obtain landfill permits and direct costs incurred to acquire, construct and develop sites, as well as final capping,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80" w:after="283"/>
        <w:jc w:val="left"/>
        <w:rPr/>
      </w:pPr>
      <w:r>
        <w:rPr>
          <w:rFonts w:ascii="Times New Roman;serif" w:hAnsi="Times New Roman;serif"/>
          <w:b w:val="false"/>
          <w:color w:val="000000"/>
          <w:sz w:val="20"/>
        </w:rPr>
        <w:t xml:space="preserve">closure and post-closure assets. These costs are depleted or amortized based on consumed airspace. All indirect landfill development costs are expensed as incurred. For additional information, see Note 8, </w:t>
      </w:r>
      <w:r>
        <w:rPr>
          <w:rFonts w:ascii="Times New Roman;serif" w:hAnsi="Times New Roman;serif"/>
          <w:b w:val="false"/>
          <w:i/>
          <w:color w:val="000000"/>
          <w:sz w:val="20"/>
        </w:rPr>
        <w:t>Landfill and Environmental Costs</w:t>
      </w:r>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Capitalized Interest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capitalize interest on all landfill cell construction and other construction or development projects. Interest is capitalized on qualified assets while they undergo activities to ready them for their intended use. Capitalization of interest ceases once an asset is placed into service or if construction activity is suspended for more than a brief period of time. Our interest capitalization rate is based on our weighted average cost of indebtedness. Capitalized interest is immaterial to the Company’s consolidated financial statements.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financial instruments include cash and cash equivalents, restricted cash and marketable securities, derivatives, long-term debt, and contingent consideration arrangements.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Level 1 – inputs are based upon unadjusted quoted prices for identical instruments traded in active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pStyle w:val="TextBody"/>
        <w:bidi w:val="0"/>
        <w:spacing w:lineRule="auto" w:line="288" w:before="180" w:after="283"/>
        <w:jc w:val="left"/>
        <w:rPr/>
      </w:pPr>
      <w:r>
        <w:rPr>
          <w:rFonts w:ascii="Times New Roman;serif" w:hAnsi="Times New Roman;serif"/>
          <w:b w:val="false"/>
          <w:color w:val="000000"/>
          <w:sz w:val="20"/>
        </w:rPr>
        <w:t xml:space="preserve">See Note 17, </w:t>
      </w:r>
      <w:r>
        <w:rPr>
          <w:rFonts w:ascii="Times New Roman;serif" w:hAnsi="Times New Roman;serif"/>
          <w:b w:val="false"/>
          <w:i/>
          <w:color w:val="000000"/>
          <w:sz w:val="20"/>
        </w:rPr>
        <w:t>Financial Instruments,</w:t>
      </w:r>
      <w:r>
        <w:rPr>
          <w:color w:val="000000"/>
        </w:rPr>
        <w:t xml:space="preserve"> </w:t>
      </w:r>
      <w:r>
        <w:rPr>
          <w:rFonts w:ascii="Times New Roman;serif" w:hAnsi="Times New Roman;serif"/>
          <w:b w:val="false"/>
          <w:color w:val="000000"/>
          <w:sz w:val="20"/>
        </w:rPr>
        <w:t>for fair value disclosures related to our financial instruments.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Investments Other Than Derivatives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Investments other than derivatives primarily include money market funds, mutual funds, and municipal and corporate bonds. In general, and where applicable, we use quoted prices in active markets for identical assets or liabilities to determine fair value. This pricing methodology applies to our Level 1 investments, such as money market funds and certain mutual funds. If quoted prices in active markets for identical assets or liabilities are not available to determine fair value, then we use quoted prices for similar assets and liabilities or inputs other than the quoted prices that are observable either directly or indirectly. These investments are included in Level 2 and consist primarily of corporate bonds.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Landfill and Environmental Costs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Life Cycle Accounting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use life-cycle accounting and the units-of-consumption method to recognize certain landfill costs over the life of the site. In life cycle accounting, all current and future capitalized costs to acquire and construct a site are calculated, and charged to expense based on the consumption of cubic yards of available airspace.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Costs and airspace estimates are developed at least annually by engineers. We use these estimates to adjust the rates we use to deplete capitalized costs. Changes in these estimates primarily relate to changes in cost estimates, available airspace, inflation and applicable regulations. Changes in available airspace include, but are not limited to, changes due to the addition of airspace attributable to probable expansion areas, airspace consumed and changes in engineering estimates.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Probable Expansion Airspace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classify landfill disposal capacity as either permitted (having received the final permit from the applicable regulatory agency) or as probable expansion airspace. Before airspace included in an expansion area is determined to be probable expansion airspace and, therefore, is included in our calculation of total available disposal capacity, all of the following criteria must be met: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own the land associated with the expansion airspace or control it pursuant to an agreement;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committed to supporting the expansion project financially and with appropriate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There are no identified fatal flaws or impediments associated with the project, including political impediments;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Progress is being made on the project;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expansion is attainable within a reasonable time frame;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believe it is probable the expansion permit will be received.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Upon meeting our expansion criteria, the rates used at each applicable landfill to expense costs to acquire, construct, cap, close and maintain a site during the post-closure period are adjusted to include both the probable expansion airspace and the additional costs to be capitalized or accrued associated with that expansion airspace.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identified three steps that landfills generally follow to obtain expansion permits. These steps are as follows: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approval from local authorities;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Submitting a permit application to state authorities;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permit approval from state authorities.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continually monitor our progress toward obtaining permits for each of our sites with probable airspace. If we determine that a landfill expansion area no longer meets our criteria, the probable expansion airspace is removed from the landfill’s total available disposal capacity and the rates used at the landfill to deplete costs to acquire, construct, cap, close and maintain a site during the post-closure period are adjusted accordingly. In addition, any amounts capitalized for the probable expansion airspace are charged to expense in the period in which it is determined that the criteria are no longer met.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Capitalized Landfill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Capitalized landfill costs include expenditures for land, permitting, cell construction and environmental structures. Capitalized permitting and cell construction costs are limited to direct costs relating to these activities, including legal, engineering and construction costs associated with excavation, natural and synthetic liners, construction of leachate collection systems, installation of methane gas collection and monitoring systems, installation of groundwater monitoring wells and other costs associated with the development of the site. Interest is capitalized on landfill construction projects while the assets are undergoing activities to ready them for their intended use. Capitalized landfill costs also include final capping, closure and post-closure assets and are depleted as airspace is consumed using the units-of-consumption method.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Costs related to acquiring land, excluding the estimated residual value of unpermitted, non-buffer land, and costs related to permitting and cell construction are depleted as airspace is consumed using the units-of-consumption method.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Capitalized landfill costs also may include an allocation of purchase price paid for landfills. For landfills purchased as part of a group of assets, the purchase price assigned to the landfill is determined based on the estimated fair value of the landfill. If the landfill meets our expansion criteria, the purchase price is further allocated between permitted airspace and expansion airspace based on the respective ratios to total available airspace. Landfill purchase price is depleted using the units-of-consumption method over the total available airspace, including probable expansion airspace, where appropriate.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Final Capping, Closure and Post-Closure Costs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Final capping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future obligations for final capping, closure and post-closure costs with respect to the landfills we own or operate as set forth in applicable landfill permits. The permit requirements are based on the Subtitle C and Subtitle D regulations of the Resource Conservation and Recovery Act, as implemented and applied on a state-by-state basis. We define final capping as activities required to permanently cover a portion of a landfill that has been completely filled with waste. Final capping typically includes installing flexible membrane and geosynthetic clay liners, drainage and compact soil layers and topsoil and is constructed over an area of the landfill where total available disposal capacity has been consumed and waste disposal operations have ceased. These final capping activities occur in phases as needed throughout the operating life of a landfill as specific areas are filled to capacity and the final elevation for that specific area is reached in accordance with the provisions of the operating permit. We consider final capping events to be discrete activities that are recognized as asset retirement obligations separately from other closure and post-closure obligations. As a result, we use a separate rate per ton for recognizing the principal amount of the liability and related asset associated with each capping event. We amortize the asset recorded pursuant to this approach as waste volume related to the capacity covered by the capping event is placed into the landfill based on the consumption of cubic yards of available airspace.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Closure and post-closure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Closure and post-closure activities occur after the entire landfill ceases to accept waste and closes. These activities involve methane gas control, leachate management and groundwater monitoring, surface water monitoring and control and other operational and maintenance activities that occur after the site ceases to accept waste. Obligations associated with monitoring and controlling methane gas migration and emissions are set forth in applicable landfill permits and these requirements are based on the provisions of the Clean Air Act. The post-closure period generally runs for 30 years after final site closure for municipal solid waste landfills and a shorter period for construction and demolition landfills and inert landfills. We recognize asset retirement obligations and the related amortization expense for closure and post-closure (excluding obligations for final capping) using the units-of-consumption method over the total remaining disposal capacity of the landfill, including probable expansion airspace, where appropriate.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Estimated future expenditures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Estimates of future expenditures for final capping, closure and post-closure are developed at least annually by engineers. Management reviews these estimates and our operating and accounting personnel use them to adjust the rates used to capitalize and amortize these costs. These estimates involve projections of costs that will be incurred during the remaining life of the landfill for final capping activities, after the landfill ceases operations and during the legally required post-closure monitoring period. As of December 31, 2025, we had 124 closed landfills.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general, we engage third parties to perform most of our final capping, closure and post-closure activities. Accordingly, the fair value of these activities is based on quoted and actual prices paid for similar work. We also perform some of our final capping, closure and post-closure activities using internal resources. Where we expect internal resources to be used to fulfill an asset retirement obligation, we add a profit margin to the estimated cost of such services to better reflect their fair value. If we perform these services internally, the added profit margin is recognized as a component of operating income in the period the obligation is settled.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estimates of costs to discharge asset retirement obligations for landfills are developed in today’s dollars. These costs are inflated each year to reflect a normal escalation of prices up to the year they are expected to be paid. Our inflation rate was 2.0% for the years ended December 31, 2025 and 2024, which was primarily based on the twenty-year historical moving average increase of the United States Core Consumer Price Index. Our inflation rate was 2.0% for the year ended December 31, 2023, which was primarily based on the ten-year historical moving average increase of the United States Consumer Price Index. These estimated costs are then discounted to their present values using a credit-adjusted, risk-free interest rate.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Changes in assets retirement obligations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liability for an asset retirement obligation is recognized in the period in which it is incurred and is initially measured at fair value. The offset to the liability is capitalized as part of the carrying amount of the related long-lived asset. Changes in the liabilities due to revisions to estimated future cash flows are recognized by increasing or decreasing the liabilities with the offsets adjusting the carrying amounts of the related long-lived assets, and may also require immediate adjustments to amortization expense in the consolidated statements of income. Upward revisions in the amount of undiscounted estimated cash flows used to record a liability are discounted using the credit-adjusted, risk-free interest rate in effect at the time of the change. Downward revisions in the amount of undiscounted estimated cash flows used to record a liability are discounted using the credit-adjusted, risk-free rate that existed when the original liability was recognized.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Changes in asset retirement obligations due to the passage of time are measured by recognizing accretion expense in a manner that results in a constant effective interest rate being applied to the average carrying amount of the liability. The effective interest rate used to calculate accretion expense is our credit-adjusted, risk-free interest rate in effect at the time the liabilities were recorded.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review our calculations with respect to landfill asset retirement obligations at least annually. If there is a significant change in the facts and circumstances related to a landfill during the year, we will review our calculations for the landfill as soon as practical after the change has occurred.</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Landfill operating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Costs associated with daily maintenance activities and environmental compliance during the operating life of the landfill are expensed as incurred. These costs include, among other things, leachate treatment and disposal, methane gas and groundwater monitoring and systems maintenance, interim cap maintenance, costs associated with the application of daily cover materials and the legal and administrative costs of ongoing environmental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Environmental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subject to an array of laws and regulations relating to the protection of the environment, and we remediate sites in the ordinary course of our business. Under current laws and regulations, we may be responsible for environmental remediation at sites that we either own or operate, including sites that we have acquired, or sites where we have (or a company that we have acquired has) delivered waste. Our environmental remediation liabilities primarily include costs associated with remediating groundwater, surface water and soil contamination, as well as controlling and containing methane gas migration and the legal costs related to these remediation efforts. To estimate our ultimate liability at these sites, we evaluate several factors, including the nature and extent of contamination at each identified site, the required remediation methods, timing of expenditures, the apportionment of responsibility among the potentially responsible parties and the financial viability of those parties. We accrue for costs associated with environmental remediation obligations when such costs are probable and reasonably estimable in accordance with accounting for loss contingencies. Changes in our liabilities are recognized currently in earnings in the period in which the adjustment is known. Adjustments to estimates are reasonably possible in the near term and may result in changes to recorded amounts. With the exception of those obligations assumed in certain business combinations, environmental obligations are recorded on an undiscounted basis. Adjustments arising from changes in amounts and timing of estimated costs and settlements may result in increases or decreases in these obligations and are calculated on a discounted basis as they were initially estimated on a discounted basis. These adjustments are charged to operating income when they are known. We perform a comprehensive review of our environmental obligations annually and also review changes in facts and circumstances associated with these obligations at least quarterly and update our estimates of the likelihood of and future expenditures for remediation as necessary. We have not reduced the liabilities we have recorded for recoveries from other potentially responsible parties or insurance companies.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acquire businesses in the environmental services industry as part of our growth strategy. Businesses are included in the consolidated financial statements from the date of acquisition.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recognize, separately from goodwill, the identifiable assets acquired and liabilities assumed at their estimated acquisition-date fair values. We measure and recognize goodwill as of the acquisition date as the excess of: (1) the aggregate of the fair value of consideration transferred, the fair value of any non-controlling interest in the acquiree (if any) and the acquisition date fair value of our previously held equity interest in the acquiree (if any), over (2) the fair value of assets acquired and liabilities assumed. If information about facts and circumstances existing as of the acquisition date is incomplete by the end of the reporting period in which a business combination occurs, we report provisional amounts for the items for which the accounting is incomplete. The measurement or allocation period ends once we receive the information we are seeking; however, this period will generally not exceed one year from the acquisition date. Any material adjustments recognized during the measurement period will be reflected in the consolidated financial statements of the subsequent period. We recognize third-party transaction-related costs as expense in the period in which they are incurred.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Goodwill and Other Intangible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evaluate goodwill for impairment annually as of October 1st, or when an indicator of impairment exists, at the reporting unit level. Our reporting units are our three field groups: Group 1, Group 2 and Group 3.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use both qualitative and quantitative approaches when testing goodwill for impairment. If, after assessing qualitative factors, we determine it is more likely than not that a reporting unit's goodwill is impaired, then we perform a quantitative test for that reporting unit. The quantitative impairment test for goodwill encompasses calculating a fair value of goodwill and comparing the fair value to its carrying value. If the carrying value exceeds the fair value, impairment is recognized for the difference.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October 1, 2025, we performed a qualitative assessment to evaluate circumstances and events impacting our reporting units to determine the likelihood of goodwill impairment. Examples of such events or circumstances include: (1) a significant adverse change in legal factors or in the business climate; (2) an adverse action or assessment by a regulator; (3) a more likely than not expectation that a reporting unit or a significant portion thereof will be sold; (4) continued or sustained losses at a reporting unit; (5) a significant decline in our market capitalization as compared to our book value; or (6) we conclude that we may not recover a significant asset group within the reporting unit. We determined it was more likely than not that the fair values of our reporting units exceeded their carrying amounts. No impairment losses were recorded for goodwill during the years ended December 31, 2025, 2024 or 2023.</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Other intangible assets include values assigned to customer relationships, which are amortized on a straight-line basis over periods ranging from 1 to 15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Asset Impairments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continually consider whether events or changes in circumstances have occurred that may warrant revision of the estimated useful lives of our long-lived assets (other than goodwill) or whether the remaining balances of those assets should be evaluated for possible impairment. Long-lived assets include, for example, capitalized landfill costs, other property and equipment and identifiable intangible assets. </w:t>
      </w:r>
    </w:p>
    <w:p>
      <w:pPr>
        <w:pStyle w:val="TextBody"/>
        <w:bidi w:val="0"/>
        <w:spacing w:lineRule="auto" w:line="288" w:before="100" w:after="283"/>
        <w:jc w:val="left"/>
        <w:rPr/>
      </w:pPr>
      <w:r>
        <w:rPr>
          <w:rFonts w:ascii="Times New Roman;serif" w:hAnsi="Times New Roman;serif"/>
          <w:b w:val="false"/>
          <w:color w:val="000000"/>
          <w:sz w:val="20"/>
        </w:rPr>
        <w:t>Events or changes in circumstances that may indicate that an asset may be impaired include the following:</w:t>
      </w:r>
      <w:r>
        <w:rPr>
          <w:color w:val="000000"/>
        </w:rPr>
        <w: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significant decrease in the market price of an asset or asset group;</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significant adverse change in the extent or manner in which an asset or asset group is being used or in its physical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significant adverse change in legal factors or in the business climate that could affect the value of an asset or asset group, including an adverse action or assessment by a regulator;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 accumulation of costs significantly in excess of the amount originally expected for the acquisition or construction of a long-lived asset;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current period operating or cash flow loss combined with a history of operating or cash flow losses or a projection or forecast that demonstrates continuing losses associated with the use of a long-lived asset or asset group;</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current expectation that, more likely than not, a long-lived asset or asset group will be sold or otherwise disposed of significantly before the end of its previously estimated useful life;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 impairment of goodwill at a reporting unit.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There are certain indicators listed above that require judgment and understanding of the environmental services industry when applied to landfill development or expansion. For 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environmental services industry.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If indicators of impairment exist, the asset or asset group is reviewed to determine whether its recoverability is impaired. We assess the recoverability of the asset or asset group by comparing its carrying value to an estimate (or estimates) of its undiscounted future cash flows over its remaining life. If the estimated undiscounted cash flows are not sufficient to recover the carrying value of the asset or asset group, we measure an impairment loss as the amount by which the carrying amount of the asset exceeds its fair value. The loss is recorded in the consolidated statements of income in the period in which such impairment is identified. Estimating future cash flows requires significant judgment, and our projections of future cash flows and remaining useful lives may vary materially from actual results. No impairment losses were recorded for long-lived assets during the years ended December 31, 2025, 2024 or 2023.</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Insurance Reserves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insurance programs for workers' compensation, commercial general and auto liability, environmental and remediation liability and employee-related health care benefits are subject to high deductible insurance policies. Accruals for insurance reserves are based on claims filed and estimates of claims incurred but not reported. We consider our past claims experience, including both frequency and settlement amount of claims, in determining these estimates. It is possible that recorded reserves may not be adequate to fund the future payment of claims. Adjustments, if any, to estimates recorded resulting from ultimate claim payments will be reflected in the consolidated statements of income in the periods in which such adjustments are known. In general, our insurance reserves are recorded on an undiscounted basis; however, the insurance liabilities we assumed in business combinations are recorded at estimated fair value, and therefore have been discounted to present value based on our estimate of the timing of the related cash flows.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Contingent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legal proceedings, claims and regulatory matters, the outcomes of which are subject to significant uncertainty. In general, we determine whether to disclose or accrue for loss contingencies based on an assessment of whether the risk of loss is remote, reasonably possible or probable, and whether it can be reasonably estimated. We assess our potential liability relating to litigation and regulatory matters based on information available to us. Management develops its assessment based on an analysis of possible outcomes under various strategies. We accrue for loss contingencies when such amounts are probable and reasonably estimable. If a contingent liability is only reasonably possible, we disclose the potential range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loss, if estimable. Contingent liabilities recorded in purchase accounting are recorded at their fair values. These fair values may be different from the values we would have otherwise recorded, had the contingent liability not been assumed as part of an acquisition of a business.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Accumulated Other Comprehensive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is a component of stockholders’ equity and includes the amortization of our settled interest rate locks and foreign currency translation adjustments.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generally provide services under contracts with municipalities or individual customers. Municipal and small-container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contracts are generally long-term and often have renewal options. Revenue may be billed in advance of the service being performed, such as the treatment or disposal of the waste. Advance billings are recorded as deferred revenue, and revenue is recognized over the period services are provided.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recognize revenue, net of tax, when control is transferred to the customer, generally at the time we provide a service. Revenue is measured as the amount of consideration we expect to receive in exchange for providing a service. We make payments to certain of our customers, including payments to our municipal customers or commodity rebates to customers in our recycling business, which reduce the amount of revenue we recognize.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account for income taxes under the asset and liability method, which requires the recognition of deferred tax assets and liabilities for the expected future tax consequences of events that have been included in the financial statements. Under this method, we record deferred income taxes to reflect the effects of temporary differences between the carrying amounts of assets and liabilities and their tax bases using enacted tax rates that we expect to be in effect when the taxes are actually paid or recovered. The effect of a change in tax rates on deferred tax assets and liabilities is recognized in income in the period that includes the enactment date.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record net deferred tax assets to the extent we believe these assets will more likely than not be realized. In making these determinations, we consider all available positive and negative evidence, including scheduled reversals of deferred tax liabilities, tax planning strategies, projected future taxable income and recent financial operating results. The weight given to the positive and negative evidence is commensurate with the extent such evidence can be objectively verified. If we determine that we would be able to realize a deferred income tax asset in the future in excess of its net recorded amount, we would make an adjustment to the valuation allowance, which would reduce the provision for income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record uncertain tax positions in accordance with ASC 740. A tax benefit from an uncertain tax position may be recognized when it is more likely than not that the position will be sustained upon examination, including resolution of any related appeals or litigation processes, based on the technical merits. Income tax positions must meet a more-likely-than-not recognition threshold at the effective date to be recognized.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recognize interest and penalties related to uncertain tax positions in the provision for income taxes in the accompanying consolidated statements of income. Accrued interest and penalties are included in other accrued liabilities, deferred income taxes and other long-term tax liabilities in the consolidated balance sheets.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use the flow-through method to account for investment tax credits earned on eligible development expenditures. Under this method, the investment tax credits are recognized as a reduction to income tax expense in the year they are earned.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 repurchases under our share repurchase authorization may be made through open market purchases or privately negotiated transactions at the current market prices. From time-to-time, we return treasury shares acquired through share repurchases to the status of authorized but unissued. Our accounting policy is to deduct the par value from common stock and to reflect any excess of cost over par value as a deduction from additional paid-in capital.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lease property and equipment in the ordinary course of business under various lease agreements. The most significant lease obligations are for real property and equipment specific to our industry, including property operated as a landfill or transfer station and operating equipment. Our leases have varying terms. Some may include renewal or purchase options, escalation clauses, restrictions, penalties or other obligations that we consider in determining minimum lease payments. Our lease terms include options to renew the lease when it is reasonably certain that we will exercise the option.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leases require payments that are variable in nature based on volume measurements, e.g. a fixed rate per ton at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landfills. In addition, certain rental payments are adjusted annually based on changes in an underlying base index such as a consumer price index. Variable lease payments are recognized in our consolidated statements of income in the period incurred. Our lease agreements do not contain any material residual value guarantees or material restrictive covenants. We generally account for lease components separately from non-lease components.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Leases are classified as either operating leases or finance leases, as appropriate. Leases with an initial term of 12 months or less are not recorded on our consolidated balance sheet.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leases are operating leases. Operating lease classification generally can be attributed to either (1) relatively low fixed minimum lease payments (including, for example, real property lease payments that are not fixed and vary based on the volume of material we receive or process), or (2) minimum lease terms that are shorter than the asset's economic useful life. We expect that, in the ordinary course of business, our operating leases will be renewed, replaced by other leases, or replaced with capital expenditures. We recognize rent expense for these leases on a straight-line basis over the lease term.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a right-of-use liability and right-of-use asset for leases classified as operating leases in our consolidated balance sheet upon lease commencement. The right-of-use liability represents the present value of the remaining lease payments. An implicit rate is often not readily available for these leases. As such, we use our incremental borrowing rate at the commencement date to determine the present value of the lease payments. Our incremental borrowing rate represents the rate of interest that we would have to pay to borrow on a collateralized basis over a similar term in a similar economic environment. In addition, we recognize a corresponding right-of-use asset, which represents our right to use an underlying asset for the lease term. The right-of-use asset is adjusted for certain favorable or unfavorable leases recognized through acquisition, prepaid or accrued rent, asset impairments and lease incentives, including but not limited to cash incentives, rent abatement or leasehold improvements paid by the lessor.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Finance Leases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capitalize assets acquired under finance leases at lease commencement and amortize them to depreciation expense over the lesser of the useful life of the asset or the lease term on either a straight-line or a units-of-consumption basis, depending on the asset leased. We record the present value of the related lease payments as a debt obligation. Our finance lease liabilities relate primarily to real property, including certain long-term landfill operating agreements that require minimum lease payments with offsetting finance lease assets recorded as part of the landfill development costs.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It is our policy that transactions with related parties must be on terms that, on the whole, are no less favorable than those that would be available from unaffiliated parties.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Accounting Standards Adopted</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Improvements to Income Tax Disclosures</w:t>
      </w:r>
    </w:p>
    <w:p>
      <w:pPr>
        <w:pStyle w:val="TextBody"/>
        <w:bidi w:val="0"/>
        <w:spacing w:lineRule="auto" w:line="288" w:before="100" w:after="283"/>
        <w:jc w:val="left"/>
        <w:rPr/>
      </w:pPr>
      <w:r>
        <w:rPr>
          <w:rFonts w:ascii="Times New Roman;serif" w:hAnsi="Times New Roman;serif"/>
          <w:b w:val="false"/>
          <w:color w:val="000000"/>
          <w:sz w:val="20"/>
        </w:rPr>
        <w:t xml:space="preserve">In December 2023, the FASB issued ASU 2023-09, Income Taxes (Topic 740): Improvements to Income Tax Disclosures (ASU 2023-09). ASU 2023-09 requires entities to provide additional information in the rate reconciliation and additional disclosures about income taxes paid. The amendments in this update are effective for fiscal years beginning after December 15, 2024. The Company adopted ASU 2023-09 on a retrospective basis in this Annual Report on Form 10-K. The adoption of this ASU did not have a material impact on our consolidated financial statements. The required additional information can be found in </w:t>
      </w:r>
      <w:r>
        <w:rPr>
          <w:rFonts w:ascii="Times New Roman;serif" w:hAnsi="Times New Roman;serif"/>
          <w:b w:val="false"/>
          <w:color w:val="000000"/>
          <w:sz w:val="20"/>
          <w:shd w:fill="FFFFFF" w:val="clear"/>
        </w:rPr>
        <w:t xml:space="preserve">Note 11, </w:t>
      </w:r>
      <w:r>
        <w:rPr>
          <w:rFonts w:ascii="Times New Roman;serif" w:hAnsi="Times New Roman;serif"/>
          <w:b w:val="false"/>
          <w:i/>
          <w:color w:val="000000"/>
          <w:sz w:val="20"/>
          <w:shd w:fill="FFFFFF" w:val="clear"/>
        </w:rPr>
        <w:t xml:space="preserve">Income Taxes, </w:t>
      </w:r>
      <w:r>
        <w:rPr>
          <w:rFonts w:ascii="Times New Roman;serif" w:hAnsi="Times New Roman;serif"/>
          <w:b w:val="false"/>
          <w:color w:val="000000"/>
          <w:sz w:val="20"/>
          <w:shd w:fill="FFFFFF" w:val="clear"/>
        </w:rPr>
        <w:t>in Part II, Item 8 of this Annual Report on Form 10-K for the year ended December 31, 2025.</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Accounting Standards Updates Issued but not yet Adopted as of December 31, 2025</w:t>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Accounting Standards Update Codification Improvements</w:t>
      </w:r>
    </w:p>
    <w:p>
      <w:pPr>
        <w:pStyle w:val="TextBody"/>
        <w:bidi w:val="0"/>
        <w:spacing w:lineRule="auto" w:line="288" w:before="100" w:after="100"/>
        <w:jc w:val="left"/>
        <w:rPr/>
      </w:pPr>
      <w:r>
        <w:rPr>
          <w:rFonts w:ascii="Times New Roman;serif" w:hAnsi="Times New Roman;serif"/>
          <w:b w:val="false"/>
          <w:color w:val="000000"/>
          <w:sz w:val="20"/>
        </w:rPr>
        <w:t xml:space="preserve">In December 2025, the Financial Accounting Standards Board (FASB) issued Accounting Standards Update 2025-12, </w:t>
      </w:r>
      <w:r>
        <w:rPr>
          <w:rFonts w:ascii="Times New Roman;serif" w:hAnsi="Times New Roman;serif"/>
          <w:b w:val="false"/>
          <w:i/>
          <w:color w:val="000000"/>
          <w:sz w:val="20"/>
        </w:rPr>
        <w:t>Codification Improvements:</w:t>
      </w:r>
      <w:r>
        <w:rPr>
          <w:color w:val="000000"/>
        </w:rPr>
        <w:t xml:space="preserve"> </w:t>
      </w:r>
      <w:r>
        <w:rPr>
          <w:rFonts w:ascii="Times New Roman;serif" w:hAnsi="Times New Roman;serif"/>
          <w:b w:val="false"/>
          <w:color w:val="000000"/>
          <w:sz w:val="20"/>
        </w:rPr>
        <w:t>The amendments from this ASU address a range of various accounting topics that represent changes that clarify and make minor improvements to the existing codification. The amendments are effective for annual reporting periods beginning after December 15, 2026, and interim reporting periods within those annual reporting periods. Early adoption is permitted. We are currently assessing the effect this guidance may have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Narrow-Scope Improvements</w:t>
      </w:r>
    </w:p>
    <w:p>
      <w:pPr>
        <w:pStyle w:val="TextBody"/>
        <w:bidi w:val="0"/>
        <w:spacing w:lineRule="auto" w:line="288" w:before="100" w:after="283"/>
        <w:jc w:val="left"/>
        <w:rPr/>
      </w:pPr>
      <w:r>
        <w:rPr>
          <w:rFonts w:ascii="Times New Roman;serif" w:hAnsi="Times New Roman;serif"/>
          <w:b w:val="false"/>
          <w:color w:val="000000"/>
          <w:sz w:val="20"/>
        </w:rPr>
        <w:t xml:space="preserve">In December 2025, the FASB issued Accounting Standards Update 2025-11, </w:t>
      </w:r>
      <w:r>
        <w:rPr>
          <w:rFonts w:ascii="Times New Roman;serif" w:hAnsi="Times New Roman;serif"/>
          <w:b w:val="false"/>
          <w:i/>
          <w:color w:val="000000"/>
          <w:sz w:val="20"/>
        </w:rPr>
        <w:t xml:space="preserve">Interim Reporting </w:t>
      </w:r>
      <w:r>
        <w:rPr>
          <w:rFonts w:ascii="Times New Roman;serif" w:hAnsi="Times New Roman;serif"/>
          <w:b w:val="false"/>
          <w:color w:val="000000"/>
          <w:sz w:val="20"/>
        </w:rPr>
        <w:t>(Topic 270)</w:t>
      </w:r>
      <w:r>
        <w:rPr>
          <w:rFonts w:ascii="Times New Roman;serif" w:hAnsi="Times New Roman;serif"/>
          <w:b w:val="false"/>
          <w:i/>
          <w:color w:val="000000"/>
          <w:sz w:val="20"/>
        </w:rPr>
        <w:t xml:space="preserve">: </w:t>
      </w:r>
      <w:r>
        <w:rPr>
          <w:rFonts w:ascii="Times New Roman;serif" w:hAnsi="Times New Roman;serif"/>
          <w:b w:val="false"/>
          <w:color w:val="000000"/>
          <w:sz w:val="20"/>
        </w:rPr>
        <w:t>Narrow-Scope Improvements: This guidance clarifies interim disclosure requirements and the applicability of Topic 270 resulting in a comprehensive list of interim disclosures required by GAAP and a disclosure principal for disclosing material events since the last reporting period. The amendments are effective for interim reporting periods within annual reporting periods beginning after December 15, 2027.</w:t>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Accounting for Government Grants Received by Business Entities</w:t>
      </w:r>
    </w:p>
    <w:p>
      <w:pPr>
        <w:pStyle w:val="TextBody"/>
        <w:bidi w:val="0"/>
        <w:spacing w:lineRule="auto" w:line="288" w:before="100" w:after="283"/>
        <w:jc w:val="left"/>
        <w:rPr/>
      </w:pPr>
      <w:r>
        <w:rPr>
          <w:rFonts w:ascii="Times New Roman;serif" w:hAnsi="Times New Roman;serif"/>
          <w:b w:val="false"/>
          <w:color w:val="000000"/>
          <w:sz w:val="20"/>
        </w:rPr>
        <w:t xml:space="preserve">In December 2025, the FASB issued Accounting Standards Update 2025-10, </w:t>
      </w:r>
      <w:r>
        <w:rPr>
          <w:rFonts w:ascii="Times New Roman;serif" w:hAnsi="Times New Roman;serif"/>
          <w:b w:val="false"/>
          <w:i/>
          <w:color w:val="000000"/>
          <w:sz w:val="20"/>
        </w:rPr>
        <w:t xml:space="preserve">Government Grants </w:t>
      </w:r>
      <w:r>
        <w:rPr>
          <w:rFonts w:ascii="Times New Roman;serif" w:hAnsi="Times New Roman;serif"/>
          <w:b w:val="false"/>
          <w:color w:val="000000"/>
          <w:sz w:val="20"/>
        </w:rPr>
        <w:t>(Topic 832): Accounting for Government Grants Received by Business Entities. This ASU adds guidance to ASC 832 on the recognition, measurement, and presentation of government grants. In the absence of such guidance, many for-profit entities historically have analogized to other GAAP, including IAS 20 or ASC 958-605, when accounting for government grants. This ASU will be effective for annual and interim periods in fiscal years beginning after December 15, 2028. We are currently assessing the effect this guidance may have on our consolidated financial statements.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Targeted Improvements to the Accounting for Internal-Use Software</w:t>
      </w:r>
    </w:p>
    <w:p>
      <w:pPr>
        <w:pStyle w:val="TextBody"/>
        <w:bidi w:val="0"/>
        <w:spacing w:lineRule="auto" w:line="288" w:before="100" w:after="283"/>
        <w:jc w:val="left"/>
        <w:rPr/>
      </w:pPr>
      <w:r>
        <w:rPr>
          <w:rFonts w:ascii="Times New Roman;serif" w:hAnsi="Times New Roman;serif"/>
          <w:b w:val="false"/>
          <w:color w:val="000000"/>
          <w:sz w:val="20"/>
        </w:rPr>
        <w:t xml:space="preserve">In September 2025, the FASB issued Accounting Standards Update 2025-06, </w:t>
      </w:r>
      <w:r>
        <w:rPr>
          <w:rFonts w:ascii="Times New Roman;serif" w:hAnsi="Times New Roman;serif"/>
          <w:b w:val="false"/>
          <w:i/>
          <w:color w:val="000000"/>
          <w:sz w:val="20"/>
        </w:rPr>
        <w:t>Intangibles - Goodwill and Other - Internal-Use Software</w:t>
      </w:r>
      <w:r>
        <w:rPr>
          <w:color w:val="000000"/>
        </w:rPr>
        <w:t xml:space="preserve"> </w:t>
      </w:r>
      <w:r>
        <w:rPr>
          <w:rFonts w:ascii="Times New Roman;serif" w:hAnsi="Times New Roman;serif"/>
          <w:b w:val="false"/>
          <w:color w:val="000000"/>
          <w:sz w:val="20"/>
        </w:rPr>
        <w:t>(Subtopic 350-40): Targeted Improvements to the Accounting for Internal-Use Software. This guidance removes references to prescriptive and sequential development stages, requiring companies to capitalize internal-use software costs when management commits to funding the software project and it is probable the project will be completed. The amendments are effective for annual reporting periods beginning after December 15, 2027 and interim reporting periods within those annual reporting periods. Entities may apply the guidance using a prospective, retrospective or modified transition approach. We are currently assessing the effect this guidance may have on our consolidated financial statements.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Measurement of Credit Losses for Accounts Receivable and Contract Assets</w:t>
      </w:r>
    </w:p>
    <w:p>
      <w:pPr>
        <w:pStyle w:val="TextBody"/>
        <w:bidi w:val="0"/>
        <w:spacing w:lineRule="auto" w:line="288" w:before="100" w:after="283"/>
        <w:jc w:val="left"/>
        <w:rPr/>
      </w:pPr>
      <w:r>
        <w:rPr>
          <w:rFonts w:ascii="Times New Roman;serif" w:hAnsi="Times New Roman;serif"/>
          <w:b w:val="false"/>
          <w:color w:val="000000"/>
          <w:sz w:val="20"/>
        </w:rPr>
        <w:t>In July 2025, the FASB issued Accounting Standards Update 2025-05, Financial Instruments - Credit Losses (Topic 326):</w:t>
      </w:r>
      <w:r>
        <w:rPr>
          <w:color w:val="000000"/>
        </w:rPr>
        <w:t xml:space="preserve"> </w:t>
      </w:r>
      <w:r>
        <w:rPr>
          <w:rFonts w:ascii="Times New Roman;serif" w:hAnsi="Times New Roman;serif"/>
          <w:b w:val="false"/>
          <w:i/>
          <w:color w:val="000000"/>
          <w:sz w:val="20"/>
        </w:rPr>
        <w:t>Measurement of Credit Losses for Accounts Receivable and Contract Asset</w:t>
      </w:r>
      <w:r>
        <w:rPr>
          <w:rFonts w:ascii="Times New Roman;serif" w:hAnsi="Times New Roman;serif"/>
          <w:b w:val="false"/>
          <w:color w:val="000000"/>
          <w:sz w:val="20"/>
        </w:rPr>
        <w:t>s (ASU 2025-05), which simplifies the application of the current expected credit loss model for current accounts receivable and current contract assets under Topic 606. In developing reasonable and supportable forecasts as part of estimating expected credit losses, the amendments in this update provide entities with a practical expedient that assumes that the current conditions as of the balance sheet date do not change for the remaining life of the asset. The update is effective for fiscal years beginning after December 15, 2025 and interim reporting periods within those annual reporting periods. We are currently assessing the effect this guidance may have on our consolidated financial statements.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Determining the Accounting Acquirer in the Acquisition of a Variable Interest Entity</w:t>
      </w:r>
    </w:p>
    <w:p>
      <w:pPr>
        <w:pStyle w:val="TextBody"/>
        <w:bidi w:val="0"/>
        <w:spacing w:lineRule="auto" w:line="288" w:before="100" w:after="283"/>
        <w:jc w:val="left"/>
        <w:rPr/>
      </w:pPr>
      <w:r>
        <w:rPr>
          <w:rFonts w:ascii="Times New Roman;serif" w:hAnsi="Times New Roman;serif"/>
          <w:b w:val="false"/>
          <w:color w:val="000000"/>
          <w:sz w:val="20"/>
        </w:rPr>
        <w:t xml:space="preserve">In May 2025, the FASB issued Accounting Standards Update 2025-03, Business Combinations (Topic 805) and Consolidation (Topic 810): </w:t>
      </w:r>
      <w:r>
        <w:rPr>
          <w:rFonts w:ascii="Times New Roman;serif" w:hAnsi="Times New Roman;serif"/>
          <w:b w:val="false"/>
          <w:i/>
          <w:color w:val="000000"/>
          <w:sz w:val="20"/>
        </w:rPr>
        <w:t>Determining the Accounting Acquirer in the Acquisition of a Variable Interest Entity</w:t>
      </w:r>
      <w:r>
        <w:rPr>
          <w:color w:val="000000"/>
        </w:rPr>
        <w:t xml:space="preserve"> </w:t>
      </w:r>
      <w:r>
        <w:rPr>
          <w:rFonts w:ascii="Times New Roman;serif" w:hAnsi="Times New Roman;serif"/>
          <w:b w:val="false"/>
          <w:color w:val="000000"/>
          <w:sz w:val="20"/>
        </w:rPr>
        <w:t>(ASU 2025-03), revising guidance on identifying the accounting acquirer in business combinations involving variable interest entities (VIEs). In accordance with ASU 2025-03, when a reporting entity exchanges equity interests in a business combination, it must evaluate specific factors to determine the accounting acquirer, irrespective of the legal acquiree's classification as a VIE. This may lead to the conclusion that a VIE involves a reverse acquisition, treating the legal acquirer as the acquiree for accounting purposes. This update improves comparability with combinations including voting interest entities (VOEs) and will be effective for fiscal years starting after December 15, 2026.</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Disaggregation of Income Statement Expenses</w:t>
      </w:r>
    </w:p>
    <w:p>
      <w:pPr>
        <w:pStyle w:val="TextBody"/>
        <w:bidi w:val="0"/>
        <w:spacing w:lineRule="auto" w:line="288" w:before="100" w:after="283"/>
        <w:jc w:val="left"/>
        <w:rPr/>
      </w:pPr>
      <w:r>
        <w:rPr>
          <w:rFonts w:ascii="Times New Roman;serif" w:hAnsi="Times New Roman;serif"/>
          <w:b w:val="false"/>
          <w:color w:val="000000"/>
          <w:sz w:val="20"/>
        </w:rPr>
        <w:t xml:space="preserve">In November 2024, the FASB issued Accounting Standards Update No. 2024-03, Income Statement – Reporting Comprehensive Income – Expense Disaggregation Disclosures (Subtopic 220-40): </w:t>
      </w:r>
      <w:r>
        <w:rPr>
          <w:rFonts w:ascii="Times New Roman;serif" w:hAnsi="Times New Roman;serif"/>
          <w:b w:val="false"/>
          <w:i/>
          <w:color w:val="000000"/>
          <w:sz w:val="20"/>
        </w:rPr>
        <w:t>Disaggregation of Income Statement Expenses</w:t>
      </w:r>
      <w:r>
        <w:rPr>
          <w:color w:val="000000"/>
        </w:rPr>
        <w:t xml:space="preserve"> </w:t>
      </w:r>
      <w:r>
        <w:rPr>
          <w:rFonts w:ascii="Times New Roman;serif" w:hAnsi="Times New Roman;serif"/>
          <w:b w:val="false"/>
          <w:color w:val="000000"/>
          <w:sz w:val="20"/>
        </w:rPr>
        <w:t>(ASU 2024-03). ASU 2024-03 requires an entity to disclose the amount of purchases of inventory, employee compensation, depreciation, and intangible asset amortization included in each relevant expense caption. It also requires an entity to include certain amounts that are already required to be disclosed under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ASU 2024-03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The Company is currently evaluating the impact of ASU 2024-03 on its future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Codification Amendments in Response to the SEC's Disclosure Update and Simplification Initiative</w:t>
      </w:r>
    </w:p>
    <w:p>
      <w:pPr>
        <w:pStyle w:val="TextBody"/>
        <w:bidi w:val="0"/>
        <w:spacing w:lineRule="auto" w:line="288" w:before="100" w:after="283"/>
        <w:jc w:val="left"/>
        <w:rPr/>
      </w:pPr>
      <w:r>
        <w:rPr>
          <w:rFonts w:ascii="Times New Roman;serif" w:hAnsi="Times New Roman;serif"/>
          <w:b w:val="false"/>
          <w:color w:val="000000"/>
          <w:sz w:val="20"/>
        </w:rPr>
        <w:t xml:space="preserve">In October 2023, the FASB issued ASU 2023-06, Disclosure Improvements: </w:t>
      </w:r>
      <w:r>
        <w:rPr>
          <w:rFonts w:ascii="Times New Roman;serif" w:hAnsi="Times New Roman;serif"/>
          <w:b w:val="false"/>
          <w:i/>
          <w:color w:val="000000"/>
          <w:sz w:val="20"/>
        </w:rPr>
        <w:t>Codification Amendments in Response to the SEC’s Disclosure Update and Simplification Initiative</w:t>
      </w:r>
      <w:r>
        <w:rPr>
          <w:rFonts w:ascii="Times New Roman;serif" w:hAnsi="Times New Roman;serif"/>
          <w:b w:val="false"/>
          <w:color w:val="000000"/>
          <w:sz w:val="20"/>
        </w:rPr>
        <w:t>, to modify the disclosure or presentation requirements of a variety of topics, which will allow users to more easily compare entities subject to the SEC's existing disclosures with those entities that were not previously subject to the SEC's requirements, and to align the requirements in the FASB accounting standard codification with the SEC's regulations. The effective date for each topic's amendment is the date on which the SEC's removal of the topic's related disclosure from Regulation S-X or Regulation S-K becomes effective, with early adoption prohibited.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3.BUSINESS ACQUISITIONS, INVESTMENTS AND RESTRUCTURING CHARGES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acquired various environmental services businesses during the years ended December 31, 2025 and 2024. The purchase price paid for these business acquisitions and the allocations of the purchase price follows:</w:t>
      </w:r>
    </w:p>
    <w:tbl>
      <w:tblPr>
        <w:tblW w:w="8138" w:type="dxa"/>
        <w:jc w:val="left"/>
        <w:tblInd w:w="0" w:type="dxa"/>
        <w:tblLayout w:type="fixed"/>
        <w:tblCellMar>
          <w:top w:w="28" w:type="dxa"/>
          <w:left w:w="28" w:type="dxa"/>
          <w:bottom w:w="28" w:type="dxa"/>
          <w:right w:w="28" w:type="dxa"/>
        </w:tblCellMar>
      </w:tblPr>
      <w:tblGrid>
        <w:gridCol w:w="2185"/>
        <w:gridCol w:w="1925"/>
        <w:gridCol w:w="1934"/>
        <w:gridCol w:w="211"/>
        <w:gridCol w:w="616"/>
        <w:gridCol w:w="109"/>
        <w:gridCol w:w="109"/>
        <w:gridCol w:w="109"/>
        <w:gridCol w:w="109"/>
        <w:gridCol w:w="211"/>
        <w:gridCol w:w="466"/>
        <w:gridCol w:w="154"/>
      </w:tblGrid>
      <w:tr>
        <w:trPr/>
        <w:tc>
          <w:tcPr>
            <w:tcW w:w="218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used in acquisitions, net of cash acquired of $8 and $1,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Holdbacks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future minimum lease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as follows: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Accrued landfill and environmental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tangible assets acquired and liabilities assumed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purchase price to be allocated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purchase price allocated as follows: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allocated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Certain of the purchase price allocations are preliminary and based on information existing at the acquisition dates. Accordingly, the purchase price allocations are subject to change. For the acquisitions that closed during the year ended December 31, 2025, we expect that a majority of the goodwill and intangible assets recognized as a result of these acquisitions will not be deductible for tax purposes. </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acquisitions are not material to the Company's results of operations, individually or in the aggregate. As a result, no pro forma financial information is provided.</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February 2025, we acquired all of the issued and outstanding shares of COP Shamrock Parent, Inc. (Shamrock). Shamrock is a leading provider of environmental solutions offering industrial waste and wastewater treatment services. Shamrock’s environmental solutions operations are primarily located in the northeastern and southeastern United States and provide us with a platform to pursue additional growth in our environmental solutions line of business. The preliminary purchase price allocation for the Shamrock acquisition is reflected in the table above and remains subject to revisions as additional information is obtained about the facts and circumstances that existed at the valuation date. The preliminary allocation of purchase price, including the value of certain tangible and intangible assets acquired, such as property and equipment, other intangible assets, and environmental remediation liabilities assumed, is based on the best estimates of management and is subject to revision based on the final valuations. We expect our final valuations to be completed in 2026.</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February 2026, we acquired certain assets and assumed certain liabilities from Hamm, LLC, N.R. Hamm Quarry, LLC, N.R. Hamm Contractor, LLC, and Cornejo &amp; Sons, LLC constituting a vertically-integrated recycling and waste business located in Kansas.</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February 17, 2026, we paid approximately $400 million for acquisitions closed through that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Investments</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We invest in non-controlling equity interests in certain limited liability companies that qualify for investment tax credits under Section 48 of the Internal Revenue Code. We account for these investments under the equity method of accounting utilizing the Hypothetical Liquidation at Book Value </w:t>
      </w:r>
      <w:r>
        <w:rPr>
          <w:rFonts w:ascii="Times New Roman;serif" w:hAnsi="Times New Roman;serif"/>
          <w:b w:val="false"/>
          <w:color w:val="000000"/>
          <w:sz w:val="20"/>
        </w:rPr>
        <w:t>(“HLBV”)</w:t>
      </w:r>
      <w:r>
        <w:rPr>
          <w:color w:val="000000"/>
          <w:shd w:fill="FFFFFF" w:val="clear"/>
        </w:rPr>
        <w:t xml:space="preserve"> </w:t>
      </w:r>
      <w:r>
        <w:rPr>
          <w:rFonts w:ascii="Times New Roman;serif" w:hAnsi="Times New Roman;serif"/>
          <w:b w:val="false"/>
          <w:color w:val="000000"/>
          <w:sz w:val="20"/>
          <w:shd w:fill="FFFFFF" w:val="clear"/>
        </w:rPr>
        <w:t xml:space="preserve">method. In exchange for our non-controlling interests, we made capital contributions of approximately $227 million and $236 million, which were recorded to other assets in our December 31, 2025 and 2024 consolidated balance sheets, respectively. During 2025 and 2024, the carrying value of these investments was decreased by </w:t>
      </w:r>
      <w:r>
        <w:rPr>
          <w:rFonts w:ascii="Times New Roman;serif" w:hAnsi="Times New Roman;serif"/>
          <w:b w:val="false"/>
          <w:color w:val="000000"/>
          <w:sz w:val="20"/>
        </w:rPr>
        <w:t>$135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$254 million</w:t>
      </w:r>
      <w:r>
        <w:rPr>
          <w:rFonts w:ascii="Times New Roman;serif" w:hAnsi="Times New Roman;serif"/>
          <w:b w:val="false"/>
          <w:color w:val="000000"/>
          <w:sz w:val="20"/>
          <w:shd w:fill="FFFFFF" w:val="clear"/>
        </w:rPr>
        <w:t xml:space="preserve">, respectively, as a result of our share of income and loss pursuant to the terms of the limited liability company agreements. Additionally, our tax provisions reflect benefits of approximately </w:t>
      </w:r>
      <w:r>
        <w:rPr>
          <w:rFonts w:ascii="Times New Roman;serif" w:hAnsi="Times New Roman;serif"/>
          <w:b w:val="false"/>
          <w:color w:val="000000"/>
          <w:sz w:val="20"/>
        </w:rPr>
        <w:t>$175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$222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years ended December 31, 2025 and 2024, respectively, due to tax credits net of nondeductible items, related to these investments. </w:t>
      </w:r>
      <w:r>
        <w:rPr>
          <w:rFonts w:ascii="Times New Roman;serif" w:hAnsi="Times New Roman;serif"/>
          <w:b w:val="false"/>
          <w:color w:val="000000"/>
          <w:sz w:val="20"/>
          <w:shd w:fill="FFFFFF" w:val="clear"/>
        </w:rPr>
        <w:t xml:space="preserve">For further discussion of the income tax benefits, refer to Note 11, </w:t>
      </w:r>
      <w:r>
        <w:rPr>
          <w:rFonts w:ascii="Times New Roman;serif" w:hAnsi="Times New Roman;serif"/>
          <w:b w:val="false"/>
          <w:i/>
          <w:color w:val="000000"/>
          <w:sz w:val="20"/>
          <w:shd w:fill="FFFFFF" w:val="clear"/>
        </w:rPr>
        <w:t xml:space="preserve">Income Taxes, </w:t>
      </w:r>
      <w:r>
        <w:rPr>
          <w:rFonts w:ascii="Times New Roman;serif" w:hAnsi="Times New Roman;serif"/>
          <w:b w:val="false"/>
          <w:color w:val="000000"/>
          <w:sz w:val="20"/>
          <w:shd w:fill="FFFFFF" w:val="clear"/>
        </w:rPr>
        <w:t>in Part II, Item 8 of this Annual Report on Form 10-K for the year ended December 31, 2025.</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2022</w:t>
      </w:r>
      <w:r>
        <w:rPr>
          <w:rFonts w:ascii="Times New Roman;serif" w:hAnsi="Times New Roman;serif"/>
          <w:b w:val="false"/>
          <w:color w:val="000000"/>
          <w:sz w:val="20"/>
          <w:shd w:fill="FFFFFF" w:val="clear"/>
        </w:rPr>
        <w:t xml:space="preserve">, we acquired a non-controlling equity interest in a joint venture with a landfill gas-to-energy developer to construct renewable natural gas projects at our landfills across the United States. Certain of these investments qualified for investment tax credits under Section 48 of the Internal Revenue Code. As of December 31, 2025 and 2024, our carrying value in the joint venture was approximately $314 million and $270 million, respectively. </w:t>
      </w:r>
      <w:r>
        <w:rPr>
          <w:rFonts w:ascii="Times New Roman;serif" w:hAnsi="Times New Roman;serif"/>
          <w:b w:val="false"/>
          <w:color w:val="000000"/>
          <w:sz w:val="20"/>
        </w:rPr>
        <w:t>During the years ended December 31, 2025, 2024 and 2023,</w:t>
      </w:r>
      <w:r>
        <w:rPr>
          <w:color w:val="000000"/>
          <w:shd w:fill="FFFFFF" w:val="clear"/>
        </w:rPr>
        <w:t xml:space="preserve"> </w:t>
      </w:r>
      <w:r>
        <w:rPr>
          <w:rFonts w:ascii="Times New Roman;serif" w:hAnsi="Times New Roman;serif"/>
          <w:b w:val="false"/>
          <w:color w:val="000000"/>
          <w:sz w:val="20"/>
          <w:shd w:fill="FFFFFF" w:val="clear"/>
        </w:rPr>
        <w:t xml:space="preserve">we contributed </w:t>
      </w:r>
      <w:r>
        <w:rPr>
          <w:rFonts w:ascii="Times New Roman;serif" w:hAnsi="Times New Roman;serif"/>
          <w:b w:val="false"/>
          <w:color w:val="000000"/>
          <w:sz w:val="20"/>
        </w:rPr>
        <w:t>$61 million, $98 million and $68 million, respectively, into the joint venture. The investment is accounted for under the equity method of accounting.</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2022</w:t>
      </w:r>
      <w:r>
        <w:rPr>
          <w:rFonts w:ascii="Times New Roman;serif" w:hAnsi="Times New Roman;serif"/>
          <w:b w:val="false"/>
          <w:color w:val="000000"/>
          <w:sz w:val="20"/>
          <w:shd w:fill="FFFFFF" w:val="clear"/>
        </w:rPr>
        <w:t xml:space="preserve">, we acquired a non-controlling equity interest in Blue Polymers, LLC, a joint venture with Ravago, intended to help create vertical integration in the recycling market, and to further advance circularity by acquiring all olefins produced by the Company's Polymer Centers and produce custom blended pellets for food-grade and non-food-grade packaging. As of December 31, 2025 and 2024, our carrying value in the joint venture was </w:t>
      </w:r>
      <w:r>
        <w:rPr>
          <w:rFonts w:ascii="Times New Roman;serif" w:hAnsi="Times New Roman;serif"/>
          <w:b w:val="false"/>
          <w:color w:val="000000"/>
          <w:sz w:val="20"/>
        </w:rPr>
        <w:t>$101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$55 million, respectively. During the years ended December 31, 2025, 2024 and 2023, </w:t>
      </w:r>
      <w:r>
        <w:rPr>
          <w:rFonts w:ascii="Times New Roman;serif" w:hAnsi="Times New Roman;serif"/>
          <w:b w:val="false"/>
          <w:color w:val="000000"/>
          <w:sz w:val="20"/>
          <w:shd w:fill="FFFFFF" w:val="clear"/>
        </w:rPr>
        <w:t xml:space="preserve">we contributed </w:t>
      </w:r>
      <w:r>
        <w:rPr>
          <w:rFonts w:ascii="Times New Roman;serif" w:hAnsi="Times New Roman;serif"/>
          <w:b w:val="false"/>
          <w:color w:val="000000"/>
          <w:sz w:val="20"/>
        </w:rPr>
        <w:t>$57 million, $38 million and $9 million, respectively, into the joint venture. This investment is an unconsolidated VIE for which we do not have the power to direct the significant activities of the business, and it is accounted for under the equity method of accounting. Our risk of loss is materially consistent with our contributions to-date.</w:t>
      </w:r>
    </w:p>
    <w:p>
      <w:pPr>
        <w:pStyle w:val="TextBody"/>
        <w:bidi w:val="0"/>
        <w:spacing w:lineRule="auto" w:line="288" w:before="100" w:after="283"/>
        <w:jc w:val="left"/>
        <w:rPr/>
      </w:pPr>
      <w:r>
        <w:rPr>
          <w:rFonts w:ascii="Times New Roman;serif" w:hAnsi="Times New Roman;serif"/>
          <w:b w:val="false"/>
          <w:color w:val="000000"/>
          <w:sz w:val="20"/>
        </w:rPr>
        <w:t xml:space="preserve">These investments were recorded as other assets in our consolidated financial statements 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Restructuring Charges</w:t>
      </w:r>
    </w:p>
    <w:p>
      <w:pPr>
        <w:pStyle w:val="TextBody"/>
        <w:bidi w:val="0"/>
        <w:spacing w:lineRule="auto" w:line="288" w:before="100" w:after="283"/>
        <w:jc w:val="left"/>
        <w:rPr/>
      </w:pPr>
      <w:r>
        <w:rPr>
          <w:rFonts w:ascii="Times New Roman;serif" w:hAnsi="Times New Roman;serif"/>
          <w:b w:val="false"/>
          <w:color w:val="000000"/>
          <w:sz w:val="20"/>
        </w:rPr>
        <w:t xml:space="preserve">In 2025, 2024 and 2023 we incurred restructuring charges of $20 million, $29 million, and $33 million, respectively.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charges primarily related to the design and implementation of a new accounts receivable system. The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charges primarily related to the redesign of our asset management, and customer and order management software systems.</w:t>
      </w:r>
      <w:r>
        <w:rPr>
          <w:color w:val="000000"/>
        </w:rPr>
        <w:t xml:space="preserve"> </w:t>
      </w:r>
      <w:r>
        <w:rPr>
          <w:rFonts w:ascii="Times New Roman;serif" w:hAnsi="Times New Roman;serif"/>
          <w:b w:val="false"/>
          <w:color w:val="000000"/>
          <w:sz w:val="20"/>
        </w:rPr>
        <w:t>Of the 2023 charges, $9 million related to the early termination of certain leases and $24 million related to the redesign of our asset management, and customer and order management software systems. We paid $12 million, $25 million, and $39 million during 2025, 2024 and 2023, respectively, related to these restructuring efforts.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4.PROPERTY AND EQUIPMENT,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summary of property and equipment, net as of December 31 follows:</w:t>
      </w:r>
    </w:p>
    <w:tbl>
      <w:tblPr>
        <w:tblW w:w="7433" w:type="dxa"/>
        <w:jc w:val="left"/>
        <w:tblInd w:w="0" w:type="dxa"/>
        <w:tblLayout w:type="fixed"/>
        <w:tblCellMar>
          <w:top w:w="28" w:type="dxa"/>
          <w:left w:w="28" w:type="dxa"/>
          <w:bottom w:w="28" w:type="dxa"/>
          <w:right w:w="28" w:type="dxa"/>
        </w:tblCellMar>
      </w:tblPr>
      <w:tblGrid>
        <w:gridCol w:w="1800"/>
        <w:gridCol w:w="1584"/>
        <w:gridCol w:w="1595"/>
        <w:gridCol w:w="211"/>
        <w:gridCol w:w="721"/>
        <w:gridCol w:w="109"/>
        <w:gridCol w:w="109"/>
        <w:gridCol w:w="109"/>
        <w:gridCol w:w="109"/>
        <w:gridCol w:w="211"/>
        <w:gridCol w:w="721"/>
        <w:gridCol w:w="154"/>
      </w:tblGrid>
      <w:tr>
        <w:trPr/>
        <w:tc>
          <w:tcPr>
            <w:tcW w:w="180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Construction-in-progress – landfill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Construction-in-progress –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depletion and amortization</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development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 of property and equipment was $1.6 billion, $1.5 billion and $1.4 billion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5.GOODWILL AND OTHER INTANGIBLE ASSETS, NET</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activity and balances in goodwill accounts by reporting segment follows:</w:t>
      </w:r>
    </w:p>
    <w:tbl>
      <w:tblPr>
        <w:tblW w:w="10205" w:type="dxa"/>
        <w:jc w:val="left"/>
        <w:tblInd w:w="0" w:type="dxa"/>
        <w:tblLayout w:type="fixed"/>
        <w:tblCellMar>
          <w:top w:w="28" w:type="dxa"/>
          <w:left w:w="28" w:type="dxa"/>
          <w:bottom w:w="28" w:type="dxa"/>
          <w:right w:w="28" w:type="dxa"/>
        </w:tblCellMar>
      </w:tblPr>
      <w:tblGrid>
        <w:gridCol w:w="269"/>
        <w:gridCol w:w="236"/>
        <w:gridCol w:w="238"/>
        <w:gridCol w:w="482"/>
        <w:gridCol w:w="1649"/>
        <w:gridCol w:w="248"/>
        <w:gridCol w:w="109"/>
        <w:gridCol w:w="109"/>
        <w:gridCol w:w="109"/>
        <w:gridCol w:w="306"/>
        <w:gridCol w:w="676"/>
        <w:gridCol w:w="159"/>
        <w:gridCol w:w="109"/>
        <w:gridCol w:w="109"/>
        <w:gridCol w:w="109"/>
        <w:gridCol w:w="385"/>
        <w:gridCol w:w="495"/>
        <w:gridCol w:w="201"/>
        <w:gridCol w:w="109"/>
        <w:gridCol w:w="109"/>
        <w:gridCol w:w="109"/>
        <w:gridCol w:w="348"/>
        <w:gridCol w:w="596"/>
        <w:gridCol w:w="182"/>
        <w:gridCol w:w="109"/>
        <w:gridCol w:w="109"/>
        <w:gridCol w:w="109"/>
        <w:gridCol w:w="470"/>
        <w:gridCol w:w="1610"/>
        <w:gridCol w:w="347"/>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Adjustments</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r>
      <w:tr>
        <w:trPr/>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Group 1</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Group 2</w:t>
            </w:r>
          </w:p>
        </w:tc>
        <w:tc>
          <w:tcPr>
            <w:tcW w:w="2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Group 3</w:t>
            </w:r>
          </w:p>
        </w:tc>
        <w:tc>
          <w:tcPr>
            <w:tcW w:w="2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15,982 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16,715 </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9"/>
        <w:gridCol w:w="236"/>
        <w:gridCol w:w="238"/>
        <w:gridCol w:w="482"/>
        <w:gridCol w:w="1649"/>
        <w:gridCol w:w="248"/>
        <w:gridCol w:w="109"/>
        <w:gridCol w:w="109"/>
        <w:gridCol w:w="109"/>
        <w:gridCol w:w="306"/>
        <w:gridCol w:w="676"/>
        <w:gridCol w:w="159"/>
        <w:gridCol w:w="109"/>
        <w:gridCol w:w="109"/>
        <w:gridCol w:w="109"/>
        <w:gridCol w:w="314"/>
        <w:gridCol w:w="604"/>
        <w:gridCol w:w="163"/>
        <w:gridCol w:w="109"/>
        <w:gridCol w:w="109"/>
        <w:gridCol w:w="109"/>
        <w:gridCol w:w="341"/>
        <w:gridCol w:w="608"/>
        <w:gridCol w:w="177"/>
        <w:gridCol w:w="109"/>
        <w:gridCol w:w="109"/>
        <w:gridCol w:w="109"/>
        <w:gridCol w:w="470"/>
        <w:gridCol w:w="1610"/>
        <w:gridCol w:w="347"/>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Adjustments</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r>
      <w:tr>
        <w:trPr/>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Group 1</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Group 2</w:t>
            </w:r>
          </w:p>
        </w:tc>
        <w:tc>
          <w:tcPr>
            <w:tcW w:w="2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Group 3</w:t>
            </w:r>
          </w:p>
        </w:tc>
        <w:tc>
          <w:tcPr>
            <w:tcW w:w="2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15,834 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15,982 </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 Intangible Assets,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 are primarily comprised of values assigned to customer relationships, which are amortized over periods ranging from 1 to 15 years. A summary of the activity and balances by intangible asset type follows:</w:t>
      </w:r>
    </w:p>
    <w:tbl>
      <w:tblPr>
        <w:tblW w:w="11371" w:type="dxa"/>
        <w:jc w:val="left"/>
        <w:tblInd w:w="0" w:type="dxa"/>
        <w:tblLayout w:type="fixed"/>
        <w:tblCellMar>
          <w:top w:w="28" w:type="dxa"/>
          <w:left w:w="28" w:type="dxa"/>
          <w:bottom w:w="28" w:type="dxa"/>
          <w:right w:w="28" w:type="dxa"/>
        </w:tblCellMar>
      </w:tblPr>
      <w:tblGrid>
        <w:gridCol w:w="326"/>
        <w:gridCol w:w="287"/>
        <w:gridCol w:w="288"/>
        <w:gridCol w:w="218"/>
        <w:gridCol w:w="470"/>
        <w:gridCol w:w="123"/>
        <w:gridCol w:w="109"/>
        <w:gridCol w:w="109"/>
        <w:gridCol w:w="109"/>
        <w:gridCol w:w="259"/>
        <w:gridCol w:w="557"/>
        <w:gridCol w:w="145"/>
        <w:gridCol w:w="109"/>
        <w:gridCol w:w="109"/>
        <w:gridCol w:w="109"/>
        <w:gridCol w:w="289"/>
        <w:gridCol w:w="510"/>
        <w:gridCol w:w="162"/>
        <w:gridCol w:w="109"/>
        <w:gridCol w:w="109"/>
        <w:gridCol w:w="109"/>
        <w:gridCol w:w="218"/>
        <w:gridCol w:w="470"/>
        <w:gridCol w:w="123"/>
        <w:gridCol w:w="109"/>
        <w:gridCol w:w="109"/>
        <w:gridCol w:w="109"/>
        <w:gridCol w:w="214"/>
        <w:gridCol w:w="477"/>
        <w:gridCol w:w="120"/>
        <w:gridCol w:w="109"/>
        <w:gridCol w:w="109"/>
        <w:gridCol w:w="109"/>
        <w:gridCol w:w="262"/>
        <w:gridCol w:w="462"/>
        <w:gridCol w:w="147"/>
        <w:gridCol w:w="109"/>
        <w:gridCol w:w="109"/>
        <w:gridCol w:w="109"/>
        <w:gridCol w:w="296"/>
        <w:gridCol w:w="500"/>
        <w:gridCol w:w="165"/>
        <w:gridCol w:w="109"/>
        <w:gridCol w:w="109"/>
        <w:gridCol w:w="109"/>
        <w:gridCol w:w="214"/>
        <w:gridCol w:w="477"/>
        <w:gridCol w:w="120"/>
        <w:gridCol w:w="109"/>
        <w:gridCol w:w="109"/>
        <w:gridCol w:w="109"/>
        <w:gridCol w:w="217"/>
        <w:gridCol w:w="467"/>
        <w:gridCol w:w="172"/>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Other Intangible Assets, Net as of December 31, 2025</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Adjustments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Additions</w:t>
              <w:br/>
              <w:t>Charged</w:t>
              <w:br/>
              <w:t>to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Adjustments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 xml:space="preserve">Other intangible assets </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371" w:type="dxa"/>
        <w:jc w:val="left"/>
        <w:tblInd w:w="0" w:type="dxa"/>
        <w:tblLayout w:type="fixed"/>
        <w:tblCellMar>
          <w:top w:w="28" w:type="dxa"/>
          <w:left w:w="28" w:type="dxa"/>
          <w:bottom w:w="28" w:type="dxa"/>
          <w:right w:w="28" w:type="dxa"/>
        </w:tblCellMar>
      </w:tblPr>
      <w:tblGrid>
        <w:gridCol w:w="326"/>
        <w:gridCol w:w="287"/>
        <w:gridCol w:w="288"/>
        <w:gridCol w:w="218"/>
        <w:gridCol w:w="470"/>
        <w:gridCol w:w="123"/>
        <w:gridCol w:w="109"/>
        <w:gridCol w:w="109"/>
        <w:gridCol w:w="109"/>
        <w:gridCol w:w="296"/>
        <w:gridCol w:w="500"/>
        <w:gridCol w:w="165"/>
        <w:gridCol w:w="109"/>
        <w:gridCol w:w="109"/>
        <w:gridCol w:w="109"/>
        <w:gridCol w:w="296"/>
        <w:gridCol w:w="500"/>
        <w:gridCol w:w="165"/>
        <w:gridCol w:w="109"/>
        <w:gridCol w:w="109"/>
        <w:gridCol w:w="109"/>
        <w:gridCol w:w="218"/>
        <w:gridCol w:w="470"/>
        <w:gridCol w:w="123"/>
        <w:gridCol w:w="109"/>
        <w:gridCol w:w="109"/>
        <w:gridCol w:w="109"/>
        <w:gridCol w:w="214"/>
        <w:gridCol w:w="477"/>
        <w:gridCol w:w="120"/>
        <w:gridCol w:w="109"/>
        <w:gridCol w:w="109"/>
        <w:gridCol w:w="109"/>
        <w:gridCol w:w="262"/>
        <w:gridCol w:w="462"/>
        <w:gridCol w:w="147"/>
        <w:gridCol w:w="109"/>
        <w:gridCol w:w="109"/>
        <w:gridCol w:w="109"/>
        <w:gridCol w:w="296"/>
        <w:gridCol w:w="500"/>
        <w:gridCol w:w="165"/>
        <w:gridCol w:w="109"/>
        <w:gridCol w:w="109"/>
        <w:gridCol w:w="109"/>
        <w:gridCol w:w="214"/>
        <w:gridCol w:w="477"/>
        <w:gridCol w:w="120"/>
        <w:gridCol w:w="109"/>
        <w:gridCol w:w="109"/>
        <w:gridCol w:w="109"/>
        <w:gridCol w:w="217"/>
        <w:gridCol w:w="467"/>
        <w:gridCol w:w="172"/>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Other Intangible Assets, Net as of December 31, 2024</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Adjustments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Additions</w:t>
              <w:br/>
              <w:t>Charged</w:t>
              <w:br/>
              <w:t>to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Adjustments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 xml:space="preserve">Other intangible assets </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Based on the amortizable intangible assets recorded in the consolidated balance sheet as of December 31, 2025, amortization expense for each of the next five years is estimated as follows:</w:t>
      </w:r>
    </w:p>
    <w:tbl>
      <w:tblPr>
        <w:tblW w:w="1267" w:type="dxa"/>
        <w:jc w:val="left"/>
        <w:tblInd w:w="0" w:type="dxa"/>
        <w:tblLayout w:type="fixed"/>
        <w:tblCellMar>
          <w:top w:w="28" w:type="dxa"/>
          <w:left w:w="28" w:type="dxa"/>
          <w:bottom w:w="28" w:type="dxa"/>
          <w:right w:w="28" w:type="dxa"/>
        </w:tblCellMar>
      </w:tblPr>
      <w:tblGrid>
        <w:gridCol w:w="196"/>
        <w:gridCol w:w="172"/>
        <w:gridCol w:w="173"/>
        <w:gridCol w:w="211"/>
        <w:gridCol w:w="361"/>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6.OTHER ASSETS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Prepaid Expenses and Other Current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summary of prepaid expenses and other current assets as of December 31 follows:</w:t>
      </w:r>
    </w:p>
    <w:tbl>
      <w:tblPr>
        <w:tblW w:w="4298" w:type="dxa"/>
        <w:jc w:val="left"/>
        <w:tblInd w:w="0" w:type="dxa"/>
        <w:tblLayout w:type="fixed"/>
        <w:tblCellMar>
          <w:top w:w="28" w:type="dxa"/>
          <w:left w:w="28" w:type="dxa"/>
          <w:bottom w:w="28" w:type="dxa"/>
          <w:right w:w="28" w:type="dxa"/>
        </w:tblCellMar>
      </w:tblPr>
      <w:tblGrid>
        <w:gridCol w:w="852"/>
        <w:gridCol w:w="750"/>
        <w:gridCol w:w="752"/>
        <w:gridCol w:w="211"/>
        <w:gridCol w:w="466"/>
        <w:gridCol w:w="109"/>
        <w:gridCol w:w="109"/>
        <w:gridCol w:w="109"/>
        <w:gridCol w:w="109"/>
        <w:gridCol w:w="211"/>
        <w:gridCol w:w="46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supplies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non-trade receivables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receivable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Other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summary of other assets as of December 31 follows:</w:t>
      </w:r>
    </w:p>
    <w:tbl>
      <w:tblPr>
        <w:tblW w:w="9503" w:type="dxa"/>
        <w:jc w:val="left"/>
        <w:tblInd w:w="0" w:type="dxa"/>
        <w:tblLayout w:type="fixed"/>
        <w:tblCellMar>
          <w:top w:w="28" w:type="dxa"/>
          <w:left w:w="28" w:type="dxa"/>
          <w:bottom w:w="28" w:type="dxa"/>
          <w:right w:w="28" w:type="dxa"/>
        </w:tblCellMar>
      </w:tblPr>
      <w:tblGrid>
        <w:gridCol w:w="2629"/>
        <w:gridCol w:w="2311"/>
        <w:gridCol w:w="2319"/>
        <w:gridCol w:w="211"/>
        <w:gridCol w:w="616"/>
        <w:gridCol w:w="109"/>
        <w:gridCol w:w="109"/>
        <w:gridCol w:w="109"/>
        <w:gridCol w:w="109"/>
        <w:gridCol w:w="211"/>
        <w:gridCol w:w="616"/>
        <w:gridCol w:w="154"/>
      </w:tblGrid>
      <w:tr>
        <w:trPr/>
        <w:tc>
          <w:tcPr>
            <w:tcW w:w="262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lease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fees and capitalized implementation costs for cloud-based hosting arrangements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 and sales commissions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and hedging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7.OTHER LIABILITIES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Other Accrued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summary of other accrued liabilities as of December 31 follows:</w:t>
      </w:r>
    </w:p>
    <w:tbl>
      <w:tblPr>
        <w:tblW w:w="6804" w:type="dxa"/>
        <w:jc w:val="left"/>
        <w:tblInd w:w="0" w:type="dxa"/>
        <w:tblLayout w:type="fixed"/>
        <w:tblCellMar>
          <w:top w:w="28" w:type="dxa"/>
          <w:left w:w="28" w:type="dxa"/>
          <w:bottom w:w="28" w:type="dxa"/>
          <w:right w:w="28" w:type="dxa"/>
        </w:tblCellMar>
      </w:tblPr>
      <w:tblGrid>
        <w:gridCol w:w="1650"/>
        <w:gridCol w:w="1450"/>
        <w:gridCol w:w="1460"/>
        <w:gridCol w:w="211"/>
        <w:gridCol w:w="616"/>
        <w:gridCol w:w="109"/>
        <w:gridCol w:w="109"/>
        <w:gridCol w:w="109"/>
        <w:gridCol w:w="109"/>
        <w:gridCol w:w="211"/>
        <w:gridCol w:w="616"/>
        <w:gridCol w:w="154"/>
      </w:tblGrid>
      <w:tr>
        <w:trPr/>
        <w:tc>
          <w:tcPr>
            <w:tcW w:w="16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Insurance reserves, current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fees and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dividends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right-of-use lease liabilities, current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Ceded insurance reserves, current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 and legal settlement reserves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purchase price and acquisition holdbacks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80" w:after="283"/>
        <w:jc w:val="left"/>
        <w:rPr/>
      </w:pPr>
      <w:r>
        <w:rPr>
          <w:color w:val="000000"/>
        </w:rPr>
        <w:t> </w:t>
      </w:r>
      <w:r>
        <w:rPr>
          <w:rFonts w:ascii="Times New Roman;serif" w:hAnsi="Times New Roman;serif"/>
          <w:b/>
          <w:color w:val="000000"/>
          <w:sz w:val="20"/>
        </w:rPr>
        <w:t>Other Long-Term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summary of other long-term liabilities as of December 31 follows:</w:t>
      </w:r>
    </w:p>
    <w:tbl>
      <w:tblPr>
        <w:tblW w:w="6398" w:type="dxa"/>
        <w:jc w:val="left"/>
        <w:tblInd w:w="0" w:type="dxa"/>
        <w:tblLayout w:type="fixed"/>
        <w:tblCellMar>
          <w:top w:w="28" w:type="dxa"/>
          <w:left w:w="28" w:type="dxa"/>
          <w:bottom w:w="28" w:type="dxa"/>
          <w:right w:w="28" w:type="dxa"/>
        </w:tblCellMar>
      </w:tblPr>
      <w:tblGrid>
        <w:gridCol w:w="1613"/>
        <w:gridCol w:w="1416"/>
        <w:gridCol w:w="1425"/>
        <w:gridCol w:w="211"/>
        <w:gridCol w:w="466"/>
        <w:gridCol w:w="109"/>
        <w:gridCol w:w="109"/>
        <w:gridCol w:w="109"/>
        <w:gridCol w:w="109"/>
        <w:gridCol w:w="211"/>
        <w:gridCol w:w="466"/>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insurance reserves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purchase price and acquisition holdbacks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and hedging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Withdrawal liability - multiemployer pension funds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Insurance Reserves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liabilities for unpaid and incurred but not reported claims as of December 31, 2025 and 2024 (which include claims for workers’ compensation, commercial general and auto liability and employee-related health care benefits) were $687 million and $622 million, respectively, under our risk management program and are included in other accrued liabilities and insurance reserves, net of current portion, in our consolidated balance sheets. While the ultimate amount of claims incurred depends on future developments, we believe the recorded reserves are adequate to cover the future payment of claims; however, it is possible that these recorded reserves may not be adequate to cover the future payment of claims. Adjustments, if any, to estimates recorded resulting from ultimate claim payments will be reflected in our consolidated statements of income in the periods in which such adjustments are known.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our insurance reserves for the years ended December 31:</w:t>
      </w:r>
    </w:p>
    <w:tbl>
      <w:tblPr>
        <w:tblW w:w="6762" w:type="dxa"/>
        <w:jc w:val="left"/>
        <w:tblInd w:w="0" w:type="dxa"/>
        <w:tblLayout w:type="fixed"/>
        <w:tblCellMar>
          <w:top w:w="28" w:type="dxa"/>
          <w:left w:w="28" w:type="dxa"/>
          <w:bottom w:w="28" w:type="dxa"/>
          <w:right w:w="28" w:type="dxa"/>
        </w:tblCellMar>
      </w:tblPr>
      <w:tblGrid>
        <w:gridCol w:w="1342"/>
        <w:gridCol w:w="1179"/>
        <w:gridCol w:w="1184"/>
        <w:gridCol w:w="211"/>
        <w:gridCol w:w="466"/>
        <w:gridCol w:w="109"/>
        <w:gridCol w:w="109"/>
        <w:gridCol w:w="109"/>
        <w:gridCol w:w="109"/>
        <w:gridCol w:w="211"/>
        <w:gridCol w:w="466"/>
        <w:gridCol w:w="109"/>
        <w:gridCol w:w="109"/>
        <w:gridCol w:w="109"/>
        <w:gridCol w:w="109"/>
        <w:gridCol w:w="211"/>
        <w:gridCol w:w="466"/>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charged to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 written for third party risk assumed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8.LANDFILL AND ENVIRONMENTAL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owned or operated 207 active landfills with total available disposal capacity estimated to be 5 billion in-place cubic yards. Additionally, we have post-closure responsibility for 124 closed landfills.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Accrued Landfill and Environmental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summary of our accrued landfill asset retirement obligations and environmental liabilities as of December 31 follows:</w:t>
      </w:r>
    </w:p>
    <w:tbl>
      <w:tblPr>
        <w:tblW w:w="7028" w:type="dxa"/>
        <w:jc w:val="left"/>
        <w:tblInd w:w="0" w:type="dxa"/>
        <w:tblLayout w:type="fixed"/>
        <w:tblCellMar>
          <w:top w:w="28" w:type="dxa"/>
          <w:left w:w="28" w:type="dxa"/>
          <w:bottom w:w="28" w:type="dxa"/>
          <w:right w:w="28" w:type="dxa"/>
        </w:tblCellMar>
      </w:tblPr>
      <w:tblGrid>
        <w:gridCol w:w="1731"/>
        <w:gridCol w:w="1524"/>
        <w:gridCol w:w="1529"/>
        <w:gridCol w:w="211"/>
        <w:gridCol w:w="616"/>
        <w:gridCol w:w="109"/>
        <w:gridCol w:w="109"/>
        <w:gridCol w:w="109"/>
        <w:gridCol w:w="109"/>
        <w:gridCol w:w="211"/>
        <w:gridCol w:w="616"/>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final capping, closure and post-closure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remediation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landfill and environmental costs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Final Capping, Closure and Post-Closure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our asset retirement obligations, which includes liabilities for final capping, closure and post-closure, for the years ended December 31:</w:t>
      </w:r>
    </w:p>
    <w:tbl>
      <w:tblPr>
        <w:tblW w:w="8037" w:type="dxa"/>
        <w:jc w:val="left"/>
        <w:tblInd w:w="0" w:type="dxa"/>
        <w:tblLayout w:type="fixed"/>
        <w:tblCellMar>
          <w:top w:w="28" w:type="dxa"/>
          <w:left w:w="28" w:type="dxa"/>
          <w:bottom w:w="28" w:type="dxa"/>
          <w:right w:w="28" w:type="dxa"/>
        </w:tblCellMar>
      </w:tblPr>
      <w:tblGrid>
        <w:gridCol w:w="1641"/>
        <w:gridCol w:w="1442"/>
        <w:gridCol w:w="1447"/>
        <w:gridCol w:w="211"/>
        <w:gridCol w:w="616"/>
        <w:gridCol w:w="109"/>
        <w:gridCol w:w="109"/>
        <w:gridCol w:w="109"/>
        <w:gridCol w:w="109"/>
        <w:gridCol w:w="211"/>
        <w:gridCol w:w="616"/>
        <w:gridCol w:w="109"/>
        <w:gridCol w:w="109"/>
        <w:gridCol w:w="109"/>
        <w:gridCol w:w="109"/>
        <w:gridCol w:w="211"/>
        <w:gridCol w:w="616"/>
        <w:gridCol w:w="154"/>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divestitures and other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 end of year</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review annually, in the fourth quarter, and update as necessary, our estimates of asset retirement obligations. As a result, we increased amortization expense by $3 million, $13 million and $5 million for the years ended December 31, 2025, 2024 and 2023, respectively, primarily related to changes in estimates and assumptions concerning the anticipated waste flow, cost and timing of future final capping, closure and post-closure activities.</w:t>
      </w:r>
    </w:p>
    <w:p>
      <w:pPr>
        <w:pStyle w:val="TextBody"/>
        <w:bidi w:val="0"/>
        <w:spacing w:lineRule="auto" w:line="288" w:before="100" w:after="283"/>
        <w:jc w:val="left"/>
        <w:rPr/>
      </w:pPr>
      <w:r>
        <w:rPr>
          <w:rFonts w:ascii="Times New Roman;serif" w:hAnsi="Times New Roman;serif"/>
          <w:b w:val="false"/>
          <w:color w:val="000000"/>
          <w:sz w:val="20"/>
        </w:rPr>
        <w:t>The expected future payments for final capping, closure and post-closure as of December 31, 2025 follows:</w:t>
      </w:r>
      <w:r>
        <w:rPr>
          <w:color w:val="000000"/>
        </w:rPr>
        <w:t> </w:t>
      </w:r>
    </w:p>
    <w:tbl>
      <w:tblPr>
        <w:tblW w:w="1927" w:type="dxa"/>
        <w:jc w:val="left"/>
        <w:tblInd w:w="0" w:type="dxa"/>
        <w:tblLayout w:type="fixed"/>
        <w:tblCellMar>
          <w:top w:w="28" w:type="dxa"/>
          <w:left w:w="28" w:type="dxa"/>
          <w:bottom w:w="28" w:type="dxa"/>
          <w:right w:w="28" w:type="dxa"/>
        </w:tblCellMar>
      </w:tblPr>
      <w:tblGrid>
        <w:gridCol w:w="342"/>
        <w:gridCol w:w="300"/>
        <w:gridCol w:w="304"/>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estimated remaining final capping, closure and post-closure expenditures presented above are not inflated and not discounted and reflect the total estimated future payments for liabilities which include those incurred and recorded as of December 31, 2025 as well as liabilities yet to be incurred over the remaining life of our landfills.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Environmental Remediation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accrue for remediation costs when they become probable and can be reasonably estimated. There can sometimes be a range of reasonable estimates of the costs associated with remediation of a site. In these cases, we use the amount within the range that constitutes our best estimate. If no amount within the range appears to be a better estimate than any other, we use the amount that is at the low end of such range. It is reasonably possible that we will need to adjust the liabilities recorded for remediation to reflect the effects of new or additional information, to the extent such information impacts the costs, timing or duration of the required actions. If we used the reasonably possible high ends of our ranges, our aggregate potential remediation liability as of December 31, 2025 would be approximately $276 million higher than the amounts recorded. Future changes in our estimates of the cost, timing or duration of the required actions could have a material adverse effect on our consolidated financial position,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our environmental remediation liabilities for the years ended December 31:</w:t>
      </w:r>
    </w:p>
    <w:tbl>
      <w:tblPr>
        <w:tblW w:w="7766" w:type="dxa"/>
        <w:jc w:val="left"/>
        <w:tblInd w:w="0" w:type="dxa"/>
        <w:tblLayout w:type="fixed"/>
        <w:tblCellMar>
          <w:top w:w="28" w:type="dxa"/>
          <w:left w:w="28" w:type="dxa"/>
          <w:bottom w:w="28" w:type="dxa"/>
          <w:right w:w="28" w:type="dxa"/>
        </w:tblCellMar>
      </w:tblPr>
      <w:tblGrid>
        <w:gridCol w:w="1706"/>
        <w:gridCol w:w="1498"/>
        <w:gridCol w:w="1505"/>
        <w:gridCol w:w="211"/>
        <w:gridCol w:w="466"/>
        <w:gridCol w:w="109"/>
        <w:gridCol w:w="109"/>
        <w:gridCol w:w="109"/>
        <w:gridCol w:w="109"/>
        <w:gridCol w:w="211"/>
        <w:gridCol w:w="466"/>
        <w:gridCol w:w="109"/>
        <w:gridCol w:w="109"/>
        <w:gridCol w:w="109"/>
        <w:gridCol w:w="109"/>
        <w:gridCol w:w="211"/>
        <w:gridCol w:w="466"/>
        <w:gridCol w:w="154"/>
      </w:tblGrid>
      <w:tr>
        <w:trPr/>
        <w:tc>
          <w:tcPr>
            <w:tcW w:w="170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remediation liabilities,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additions charged to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 (non-cash interest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divestitures and other adjustments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remediation liabilities, end of year</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expected undiscounted future payments for remediation costs as of December 31, 2025 follows:</w:t>
      </w:r>
    </w:p>
    <w:tbl>
      <w:tblPr>
        <w:tblW w:w="1777" w:type="dxa"/>
        <w:jc w:val="left"/>
        <w:tblInd w:w="0" w:type="dxa"/>
        <w:tblLayout w:type="fixed"/>
        <w:tblCellMar>
          <w:top w:w="28" w:type="dxa"/>
          <w:left w:w="28" w:type="dxa"/>
          <w:bottom w:w="28" w:type="dxa"/>
          <w:right w:w="28" w:type="dxa"/>
        </w:tblCellMar>
      </w:tblPr>
      <w:tblGrid>
        <w:gridCol w:w="342"/>
        <w:gridCol w:w="300"/>
        <w:gridCol w:w="304"/>
        <w:gridCol w:w="211"/>
        <w:gridCol w:w="46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discussion of certain of our significant remediation matters:</w:t>
      </w:r>
    </w:p>
    <w:p>
      <w:pPr>
        <w:pStyle w:val="TextBody"/>
        <w:bidi w:val="0"/>
        <w:spacing w:lineRule="auto" w:line="288" w:before="100" w:after="283"/>
        <w:jc w:val="left"/>
        <w:rPr/>
      </w:pPr>
      <w:r>
        <w:rPr>
          <w:rFonts w:ascii="Times New Roman;serif" w:hAnsi="Times New Roman;serif"/>
          <w:b w:val="false"/>
          <w:i/>
          <w:color w:val="000000"/>
          <w:sz w:val="20"/>
        </w:rPr>
        <w:t>West Lake Landfill Superfund Site</w:t>
      </w:r>
      <w:r>
        <w:rPr>
          <w:rFonts w:ascii="Times New Roman;serif" w:hAnsi="Times New Roman;serif"/>
          <w:b w:val="false"/>
          <w:color w:val="000000"/>
          <w:sz w:val="22"/>
        </w:rPr>
        <w:t xml:space="preserve">. </w:t>
      </w:r>
      <w:r>
        <w:rPr>
          <w:rFonts w:ascii="Times New Roman;serif" w:hAnsi="Times New Roman;serif"/>
          <w:b w:val="false"/>
          <w:color w:val="000000"/>
          <w:sz w:val="20"/>
        </w:rPr>
        <w:t>Our subsidiary Bridgeton Landfill, LLC is one of several currently designated Potentially Responsible Parties for the West Lake Landfill Superfund site (West Lake) in Missouri. On September 27, 2018, the United States Environmental Protection Agency (EPA) issued a Record of Decision Amendment for West Lake that includes a total undiscounted cost estimate of $229 million over a four to five year design and construction timeline. On March 11, 2019, the EPA issued special notice letters under the Comprehensive Environmental Response, Compensation and Liability Act of 1980 (CERCLA) to Bridgeton Landfill, LLC and the other currently designated Potentially Responsible Parties to initiate negotiations to implement the remedy. On January 17, 2025, the EPA issued an Explanation of Significant Differences (ESD) applying the prior Record of Decision Amendment to an increased number of acres at the site found to contain radiologically-impacted material. The ESD includes a revised undiscounted cost estimate of $392 million. At this time we are neither able to predict the final design of that remedy, nor estimate how much of the future response costs of the site our subsidiary may agree or be required to pay. During any subsequent administrative proceedings or litigation, our subsidiary will vigorously contest liability for the costs of remediating radiologically-impacted materials generated on behalf of the federal government during the Manhattan Project and delivered to the site by an Atomic Energy Commission licensee and its subcontractor. However, subsequent events related to remedy design, divisibility, or allocation may require us to modify our expected remediation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9.DEBT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carrying value of our credit facilities, finance leases and long-term debt as of December 31, 2025 and 2024 is listed in the following table, and is adjusted for unamortized discounts, deferred issuance costs and the unamortized portion of adjustments to fair value recorded in purchase accounting. Original issue discounts and adjustments to fair value recorded in purchase accounting are amortized to interest expense over the term of the applicable instrument using the effective interest method.</w:t>
      </w:r>
    </w:p>
    <w:tbl>
      <w:tblPr>
        <w:tblW w:w="10222" w:type="dxa"/>
        <w:jc w:val="left"/>
        <w:tblInd w:w="0" w:type="dxa"/>
        <w:tblLayout w:type="fixed"/>
        <w:tblCellMar>
          <w:top w:w="28" w:type="dxa"/>
          <w:left w:w="28" w:type="dxa"/>
          <w:bottom w:w="28" w:type="dxa"/>
          <w:right w:w="28" w:type="dxa"/>
        </w:tblCellMar>
      </w:tblPr>
      <w:tblGrid>
        <w:gridCol w:w="482"/>
        <w:gridCol w:w="363"/>
        <w:gridCol w:w="236"/>
        <w:gridCol w:w="109"/>
        <w:gridCol w:w="109"/>
        <w:gridCol w:w="109"/>
        <w:gridCol w:w="330"/>
        <w:gridCol w:w="330"/>
        <w:gridCol w:w="331"/>
        <w:gridCol w:w="109"/>
        <w:gridCol w:w="109"/>
        <w:gridCol w:w="109"/>
        <w:gridCol w:w="196"/>
        <w:gridCol w:w="646"/>
        <w:gridCol w:w="109"/>
        <w:gridCol w:w="109"/>
        <w:gridCol w:w="109"/>
        <w:gridCol w:w="109"/>
        <w:gridCol w:w="266"/>
        <w:gridCol w:w="591"/>
        <w:gridCol w:w="149"/>
        <w:gridCol w:w="109"/>
        <w:gridCol w:w="109"/>
        <w:gridCol w:w="109"/>
        <w:gridCol w:w="196"/>
        <w:gridCol w:w="646"/>
        <w:gridCol w:w="109"/>
        <w:gridCol w:w="109"/>
        <w:gridCol w:w="109"/>
        <w:gridCol w:w="109"/>
        <w:gridCol w:w="196"/>
        <w:gridCol w:w="646"/>
        <w:gridCol w:w="109"/>
        <w:gridCol w:w="109"/>
        <w:gridCol w:w="109"/>
        <w:gridCol w:w="109"/>
        <w:gridCol w:w="266"/>
        <w:gridCol w:w="591"/>
        <w:gridCol w:w="149"/>
        <w:gridCol w:w="109"/>
        <w:gridCol w:w="109"/>
        <w:gridCol w:w="109"/>
        <w:gridCol w:w="196"/>
        <w:gridCol w:w="646"/>
        <w:gridCol w:w="154"/>
      </w:tblGrid>
      <w:tr>
        <w:trPr/>
        <w:tc>
          <w:tcPr>
            <w:tcW w:w="48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Uncommitted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2041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Debentures: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Tax-exempt: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2026 - 2054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3.000 - 4.375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Finance leases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2026 - 2063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1.726 - 9.750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Future Maturities of 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Aggregate principal maturities of notes payable, finance leases and other long-term debt as of December 31, 2025 follow: </w:t>
      </w:r>
    </w:p>
    <w:tbl>
      <w:tblPr>
        <w:tblW w:w="2032" w:type="dxa"/>
        <w:jc w:val="left"/>
        <w:tblInd w:w="0" w:type="dxa"/>
        <w:tblLayout w:type="fixed"/>
        <w:tblCellMar>
          <w:top w:w="28" w:type="dxa"/>
          <w:left w:w="28" w:type="dxa"/>
          <w:bottom w:w="28" w:type="dxa"/>
          <w:right w:w="28" w:type="dxa"/>
        </w:tblCellMar>
      </w:tblPr>
      <w:tblGrid>
        <w:gridCol w:w="342"/>
        <w:gridCol w:w="300"/>
        <w:gridCol w:w="304"/>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Credit Facilities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Uncommitted Credit Facility</w:t>
      </w:r>
    </w:p>
    <w:p>
      <w:pPr>
        <w:pStyle w:val="TextBody"/>
        <w:bidi w:val="0"/>
        <w:spacing w:lineRule="auto" w:line="288" w:before="100" w:after="283"/>
        <w:jc w:val="left"/>
        <w:rPr/>
      </w:pPr>
      <w:r>
        <w:rPr>
          <w:rFonts w:ascii="Times New Roman;serif" w:hAnsi="Times New Roman;serif"/>
          <w:b w:val="false"/>
          <w:color w:val="000000"/>
          <w:sz w:val="20"/>
        </w:rPr>
        <w:t xml:space="preserve">In January 2022, we entered into a $200 million unsecured uncommitted revolving credit facility (the Uncommitted Credit Facility). The Uncommitted Credit Facility bears interest at an annual percentage rate to be agreed upon by both parties. Borrowings under the Uncommitted Credit Facility can be used for working capital, letters of credit and other general corporate purposes. The agreement governing our Uncommitted Credit Facility requires us to comply with certain covenants. The Uncommitted Credit Facility may be terminated by either party at any time.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 and</w:t>
      </w:r>
      <w:r>
        <w:rPr>
          <w:color w:val="000000"/>
          <w:shd w:fill="FFFFFF" w:val="clear"/>
        </w:rPr>
        <w:t xml:space="preserve"> </w:t>
      </w:r>
      <w:r>
        <w:rPr>
          <w:rFonts w:ascii="Times New Roman;serif" w:hAnsi="Times New Roman;serif"/>
          <w:b w:val="false"/>
          <w:color w:val="000000"/>
          <w:sz w:val="20"/>
        </w:rPr>
        <w:t xml:space="preserve">2024, </w:t>
      </w:r>
      <w:r>
        <w:rPr>
          <w:rFonts w:ascii="Times New Roman;serif" w:hAnsi="Times New Roman;serif"/>
          <w:b w:val="false"/>
          <w:color w:val="000000"/>
          <w:sz w:val="20"/>
          <w:shd w:fill="FFFFFF" w:val="clear"/>
        </w:rPr>
        <w:t xml:space="preserve">we had no borrowings outstanding under our Uncommitted Credit Facility. </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The Credit Facility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July 2024, we and our subsidiary, USE Canada Holdings, Inc. (the Canadian Borrower) entered into the Second Amended and Restated Credit Agreement (the Credit Facility) which amended and restated the unsecured revolving credit facility we entered into in August 2021. The total outstanding principal amount that we may borrow under the Credit Facility may not exceed the current aggregate lenders' commitments of $3.5 billion, and borrowings under the Credit Facility mature in July 2029. As permitted by the Credit Facility, we have the right to request two one-year extensions of the maturity date, but none of the lenders are committed to participate in such extensions. The Credit Facility also includes a feature that allows us to increase availability, at our option, by an aggregate amount of up to $1.0 billion through increased commitments from existing lenders or the addition of new lenders.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All loans to the Canadian Borrower and all loans denominated in Canadian dollars cannot exceed $1.0 billion (the Canadian Sublimit). The Canadian Sublimit is part of, and not in addition to, the aggregate commitments under the Credit Facility.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Credit Facility in United States dollars bear interest at a Base Rate, a daily floating SOFR or a term SOFR plus a current applicable margin of 0.805% based on our Debt Ratings (all as defined in the Credit Facility agreement). The Canadian dollar-denominated loans bear interest based on the Canadian Prime Rate or the Canadian Dollar Offered Rate plus a current applicable margin of 0.805% based on our Debt Ratings. As of December 31, 2025 and 2024, C$204 million and C$232 million, respectively, were outstanding against the Canadian Sublimit.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Credit Facility is subject to facility fees based on applicable rates defined in the Credit Facility agreement and the aggregate commitment, regardless of usage. The Credit Facility can be used for working capital, capital expenditures, acquisitions, letters of credit and other general corporate purposes. The Credit Facility agreement requires us to comply with financial and other covenants. We may pay dividends and repurchase common stock if we are in compliance with these covenants.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had $425 million and $514 million outstanding under the Credit Facility as of December 31, 2025 and 2024, respectively. We had $319 million and $317 million of letters of credit outstanding under the Credit Facility as of December 31, 2025 and 2024, respectively. We also had $1.0 billion and $477 million of principal borrowings outstanding under our commercial paper program as of December 31, 2025 and 2024, respectively. As a result, availability under the Credit Facility was $1.8 billion and $2.2 billion as of December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Paper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2022, we entered into a commercial paper program for the issuance and sale of unsecured commercial paper in an aggregate principal amount not to exceed $500 million outstanding at any one time (the Commercial Paper Cap). In August 2022, the Commercial Paper Cap was increased to $1.0 billion, and in October 2023, was increased to $1.5 billion. The weighted average interest rate for borrowings outstanding as of December 31, 2025 was 4.044%. The weighted average interest rate for borrowings outstanding as of December 31, 2024 was 4.646%.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had $1.0 billion and $477 million principal value of commercial paper issued and outstanding under the program as of December 31, 2025 and 2024, respectively. In the event of a failed re-borrowing, we currently have availability under our Credit Facility to fund amounts currently borrowed under the commercial paper program until they are re-borrowed successfully. Accordingly, we have classified these borrowings as long-term in our consolidated balance sheet as of December 31, 2025 and 2024, respectively.</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Senior Notes and Debentures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June 2024, we issued $400 million of 5.000% senior notes due 2029 and $500 million of 5.200% senior notes due 2034. We used the proceeds from the June 2024 notes issuance for general corporate purposes, including the repayment of a portion of amounts outstanding under the Commercial Paper Program and the Credit Facility; and repayment of all amounts then outstanding under the Uncommitted Credit Facility and certain other debt obligations.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March 2025, we issued $500 million of 4.750% senior notes due 2030 and $700 million of 5.150% senior notes due 2035. We used the proceeds from the March 2025 notes issuance for general corporate purposes, including the repayment of a portion of amounts outstanding on our Credit Facility and a portion of outstanding borrowings under the Commercial Paper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senior notes and debentures are general unsecured and unsubordinated obligations and rank equally with our other unsecured obligations.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Tax-Exempt Financings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both December 31, 2025 and December 31, 2024 we had $1.4 billion of tax-exempt financings outstanding with maturities ranging from 2026 to 2054 for both periods.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June 2024, the Mission Economic Development Corporation issued, for our benefit, $50 million in principal amount of Solid Waste Disposal Revenue Bonds. The proceeds from the issuance, after deferred issuance costs, were used to fund the acquisition, construction, improvement, installation, and/or equipping of certain solid waste disposal facilities located within Texas.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March 2024, the California Municipal Finance Authority issued, for our benefit, $100 million in principal amount of Solid Waste Disposal Revenue Bonds. The proceeds from the issuance, after deferred issuance costs, were used to fund the acquisition, construction, improvement, installation, and/or equipping of certain solid waste disposal facilities located within California.</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$250 million of tax-exempt financings that have an initial remarketing period of 10 years. Our remaining tax-exempt financings are remarketed either quarterly or semiannually by remarketing agents to effectively maintain a variable yield. The holders of the bonds can put them back to the remarketing agents at the end of each interest period. If the remarketing agents are unable to remarket our bonds, the remarketing agents can put the bonds to us. In the event of a failed remarketing, we currently have availability under our Credit Facility to fund these bonds until they are remarketed successfully. Accordingly, we classified these borrowings as long-term in our consolidated balance sheets as of December 31, 2025 and December 31, 2024.</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Finance Leases and Other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finance lease liabilities and other debt obligations of $441 million with maturities ranging from 2026 to 2063. As of December 31, 2024, we had finance lease liabilities and other debt obligations of $315 million with maturities ranging from 2025 to 2063.</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our consolidated balance sheet as of December 31, 2025, finance leases and other included $148 million related to construction costs for our corporate office building located in Phoenix, Arizona, which has been accounted for as a financing obligation. The amount is recorded within long-term debt, net of current maturities.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Interest Paid</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Interest paid, excluding net swap settlements for interest rate swaps, was </w:t>
      </w:r>
      <w:r>
        <w:rPr>
          <w:rFonts w:ascii="Times New Roman;serif" w:hAnsi="Times New Roman;serif"/>
          <w:b w:val="false"/>
          <w:color w:val="000000"/>
          <w:sz w:val="20"/>
        </w:rPr>
        <w:t>$500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$487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$423 million</w:t>
      </w:r>
      <w:r>
        <w:rPr>
          <w:color w:val="000000"/>
          <w:shd w:fill="FFFFFF" w:val="clear"/>
        </w:rPr>
        <w:t xml:space="preserve"> </w:t>
      </w:r>
      <w:r>
        <w:rPr>
          <w:rFonts w:ascii="Times New Roman;serif" w:hAnsi="Times New Roman;serif"/>
          <w:b w:val="false"/>
          <w:color w:val="000000"/>
          <w:sz w:val="20"/>
          <w:shd w:fill="FFFFFF" w:val="clear"/>
        </w:rPr>
        <w:t xml:space="preserve">for the years ended December 31, 2025, </w:t>
      </w:r>
      <w:r>
        <w:rPr>
          <w:rFonts w:ascii="Times New Roman;serif" w:hAnsi="Times New Roman;serif"/>
          <w:b w:val="false"/>
          <w:color w:val="000000"/>
          <w:sz w:val="20"/>
        </w:rPr>
        <w:t>2024 and 2023</w:t>
      </w:r>
      <w:r>
        <w:rPr>
          <w:rFonts w:ascii="Times New Roman;serif" w:hAnsi="Times New Roman;serif"/>
          <w:b w:val="false"/>
          <w:color w:val="000000"/>
          <w:sz w:val="20"/>
          <w:shd w:fill="FFFFFF" w:val="clear"/>
        </w:rPr>
        <w:t xml:space="preserv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10.LEASES</w:t>
      </w:r>
    </w:p>
    <w:p>
      <w:pPr>
        <w:pStyle w:val="TextBody"/>
        <w:bidi w:val="0"/>
        <w:spacing w:lineRule="auto" w:line="288" w:before="100" w:after="283"/>
        <w:jc w:val="left"/>
        <w:rPr/>
      </w:pPr>
      <w:r>
        <w:rPr>
          <w:rFonts w:ascii="Times New Roman;serif" w:hAnsi="Times New Roman;serif"/>
          <w:b w:val="false"/>
          <w:color w:val="000000"/>
          <w:sz w:val="20"/>
        </w:rPr>
        <w:t xml:space="preserve">A summary of the lease classification on our consolidated balance sheet as of </w:t>
      </w:r>
      <w:r>
        <w:rPr>
          <w:rFonts w:ascii="Times New Roman;serif" w:hAnsi="Times New Roman;serif"/>
          <w:b w:val="false"/>
          <w:color w:val="000000"/>
          <w:sz w:val="20"/>
          <w:shd w:fill="FFFFFF" w:val="clear"/>
        </w:rPr>
        <w:t xml:space="preserve">December 31, 2025 and </w:t>
      </w:r>
      <w:r>
        <w:rPr>
          <w:rFonts w:ascii="Times New Roman;serif" w:hAnsi="Times New Roman;serif"/>
          <w:b w:val="false"/>
          <w:color w:val="000000"/>
          <w:sz w:val="20"/>
        </w:rPr>
        <w:t>2024 follows:</w:t>
      </w:r>
    </w:p>
    <w:tbl>
      <w:tblPr>
        <w:tblW w:w="9899" w:type="dxa"/>
        <w:jc w:val="left"/>
        <w:tblInd w:w="0" w:type="dxa"/>
        <w:tblLayout w:type="fixed"/>
        <w:tblCellMar>
          <w:top w:w="28" w:type="dxa"/>
          <w:left w:w="28" w:type="dxa"/>
          <w:bottom w:w="28" w:type="dxa"/>
          <w:right w:w="28" w:type="dxa"/>
        </w:tblCellMar>
      </w:tblPr>
      <w:tblGrid>
        <w:gridCol w:w="1040"/>
        <w:gridCol w:w="916"/>
        <w:gridCol w:w="924"/>
        <w:gridCol w:w="1507"/>
        <w:gridCol w:w="1507"/>
        <w:gridCol w:w="1516"/>
        <w:gridCol w:w="211"/>
        <w:gridCol w:w="466"/>
        <w:gridCol w:w="109"/>
        <w:gridCol w:w="109"/>
        <w:gridCol w:w="109"/>
        <w:gridCol w:w="109"/>
        <w:gridCol w:w="211"/>
        <w:gridCol w:w="466"/>
        <w:gridCol w:w="109"/>
        <w:gridCol w:w="109"/>
        <w:gridCol w:w="109"/>
        <w:gridCol w:w="109"/>
        <w:gridCol w:w="109"/>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lease assets</w:t>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leased assets</w:t>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and current maturities of long-term debt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maturities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20"/>
        </w:rPr>
        <w:t xml:space="preserve">A summary of the lease cost reflected in our consolidated statements of income for the years ended </w:t>
      </w:r>
      <w:r>
        <w:rPr>
          <w:rFonts w:ascii="Times New Roman;serif" w:hAnsi="Times New Roman;serif"/>
          <w:b w:val="false"/>
          <w:color w:val="000000"/>
          <w:sz w:val="20"/>
          <w:shd w:fill="FFFFFF" w:val="clear"/>
        </w:rPr>
        <w:t xml:space="preserve">December 31, 2025 and </w:t>
      </w:r>
      <w:r>
        <w:rPr>
          <w:rFonts w:ascii="Times New Roman;serif" w:hAnsi="Times New Roman;serif"/>
          <w:b w:val="false"/>
          <w:color w:val="000000"/>
          <w:sz w:val="20"/>
        </w:rPr>
        <w:t>2024 follows:</w:t>
      </w:r>
    </w:p>
    <w:tbl>
      <w:tblPr>
        <w:tblW w:w="7867" w:type="dxa"/>
        <w:jc w:val="left"/>
        <w:tblInd w:w="0" w:type="dxa"/>
        <w:tblLayout w:type="fixed"/>
        <w:tblCellMar>
          <w:top w:w="28" w:type="dxa"/>
          <w:left w:w="28" w:type="dxa"/>
          <w:bottom w:w="28" w:type="dxa"/>
          <w:right w:w="28" w:type="dxa"/>
        </w:tblCellMar>
      </w:tblPr>
      <w:tblGrid>
        <w:gridCol w:w="895"/>
        <w:gridCol w:w="787"/>
        <w:gridCol w:w="792"/>
        <w:gridCol w:w="1148"/>
        <w:gridCol w:w="1148"/>
        <w:gridCol w:w="1153"/>
        <w:gridCol w:w="211"/>
        <w:gridCol w:w="466"/>
        <w:gridCol w:w="109"/>
        <w:gridCol w:w="109"/>
        <w:gridCol w:w="109"/>
        <w:gridCol w:w="109"/>
        <w:gridCol w:w="211"/>
        <w:gridCol w:w="46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cost</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leased assets</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20"/>
        </w:rPr>
        <w:t xml:space="preserve">During the years ended December 31, 2025 and 2024, we recognized changes in our operating right-of-use lease liabilities and assets, resulting from the recognition of non-cash lease expense </w:t>
      </w:r>
      <w:r>
        <w:rPr>
          <w:rFonts w:ascii="Times New Roman;serif" w:hAnsi="Times New Roman;serif"/>
          <w:b w:val="false"/>
          <w:color w:val="000000"/>
          <w:sz w:val="20"/>
          <w:shd w:fill="FFFFFF" w:val="clear"/>
        </w:rPr>
        <w:t xml:space="preserve">of $47 million </w:t>
      </w:r>
      <w:r>
        <w:rPr>
          <w:rFonts w:ascii="Times New Roman;serif" w:hAnsi="Times New Roman;serif"/>
          <w:b w:val="false"/>
          <w:color w:val="000000"/>
          <w:sz w:val="20"/>
        </w:rPr>
        <w:t>and $46 million, respectively.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maturities for operating and finance lease liabilities were as follows:</w:t>
      </w:r>
    </w:p>
    <w:tbl>
      <w:tblPr>
        <w:tblW w:w="6688" w:type="dxa"/>
        <w:jc w:val="left"/>
        <w:tblInd w:w="0" w:type="dxa"/>
        <w:tblLayout w:type="fixed"/>
        <w:tblCellMar>
          <w:top w:w="28" w:type="dxa"/>
          <w:left w:w="28" w:type="dxa"/>
          <w:bottom w:w="28" w:type="dxa"/>
          <w:right w:w="28" w:type="dxa"/>
        </w:tblCellMar>
      </w:tblPr>
      <w:tblGrid>
        <w:gridCol w:w="970"/>
        <w:gridCol w:w="851"/>
        <w:gridCol w:w="863"/>
        <w:gridCol w:w="357"/>
        <w:gridCol w:w="790"/>
        <w:gridCol w:w="187"/>
        <w:gridCol w:w="109"/>
        <w:gridCol w:w="109"/>
        <w:gridCol w:w="109"/>
        <w:gridCol w:w="318"/>
        <w:gridCol w:w="703"/>
        <w:gridCol w:w="164"/>
        <w:gridCol w:w="109"/>
        <w:gridCol w:w="109"/>
        <w:gridCol w:w="109"/>
        <w:gridCol w:w="211"/>
        <w:gridCol w:w="466"/>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weighted-average remaining lease term and weighted-average discount rate as of December 31, 2025 and 2024 follows:</w:t>
      </w:r>
    </w:p>
    <w:tbl>
      <w:tblPr>
        <w:tblW w:w="6012" w:type="dxa"/>
        <w:jc w:val="left"/>
        <w:tblInd w:w="0" w:type="dxa"/>
        <w:tblLayout w:type="fixed"/>
        <w:tblCellMar>
          <w:top w:w="28" w:type="dxa"/>
          <w:left w:w="28" w:type="dxa"/>
          <w:bottom w:w="28" w:type="dxa"/>
          <w:right w:w="28" w:type="dxa"/>
        </w:tblCellMar>
      </w:tblPr>
      <w:tblGrid>
        <w:gridCol w:w="1419"/>
        <w:gridCol w:w="1246"/>
        <w:gridCol w:w="1250"/>
        <w:gridCol w:w="109"/>
        <w:gridCol w:w="109"/>
        <w:gridCol w:w="109"/>
        <w:gridCol w:w="203"/>
        <w:gridCol w:w="203"/>
        <w:gridCol w:w="292"/>
        <w:gridCol w:w="109"/>
        <w:gridCol w:w="109"/>
        <w:gridCol w:w="109"/>
        <w:gridCol w:w="203"/>
        <w:gridCol w:w="203"/>
        <w:gridCol w:w="339"/>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pPr>
      <w:r>
        <w:rPr>
          <w:rFonts w:ascii="Times New Roman;serif" w:hAnsi="Times New Roman;serif"/>
          <w:b w:val="false"/>
          <w:color w:val="000000"/>
          <w:sz w:val="20"/>
        </w:rPr>
        <w:t xml:space="preserve">Supplemental cash flow and other non-cash information for the years ended </w:t>
      </w:r>
      <w:r>
        <w:rPr>
          <w:rFonts w:ascii="Times New Roman;serif" w:hAnsi="Times New Roman;serif"/>
          <w:b w:val="false"/>
          <w:color w:val="000000"/>
          <w:sz w:val="20"/>
          <w:shd w:fill="FFFFFF" w:val="clear"/>
        </w:rPr>
        <w:t xml:space="preserve">December 31, 2025, </w:t>
      </w:r>
      <w:r>
        <w:rPr>
          <w:rFonts w:ascii="Times New Roman;serif" w:hAnsi="Times New Roman;serif"/>
          <w:b w:val="false"/>
          <w:color w:val="000000"/>
          <w:sz w:val="20"/>
        </w:rPr>
        <w:t>2024, and 2023 follow:</w:t>
      </w:r>
    </w:p>
    <w:tbl>
      <w:tblPr>
        <w:tblW w:w="9189" w:type="dxa"/>
        <w:jc w:val="left"/>
        <w:tblInd w:w="0" w:type="dxa"/>
        <w:tblLayout w:type="fixed"/>
        <w:tblCellMar>
          <w:top w:w="28" w:type="dxa"/>
          <w:left w:w="28" w:type="dxa"/>
          <w:bottom w:w="28" w:type="dxa"/>
          <w:right w:w="28" w:type="dxa"/>
        </w:tblCellMar>
      </w:tblPr>
      <w:tblGrid>
        <w:gridCol w:w="2105"/>
        <w:gridCol w:w="1845"/>
        <w:gridCol w:w="1855"/>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21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new 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11.INCOME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the provision for income taxes for the years ended December 31 follow:</w:t>
      </w:r>
    </w:p>
    <w:tbl>
      <w:tblPr>
        <w:tblW w:w="5336" w:type="dxa"/>
        <w:jc w:val="left"/>
        <w:tblInd w:w="0" w:type="dxa"/>
        <w:tblLayout w:type="fixed"/>
        <w:tblCellMar>
          <w:top w:w="28" w:type="dxa"/>
          <w:left w:w="28" w:type="dxa"/>
          <w:bottom w:w="28" w:type="dxa"/>
          <w:right w:w="28" w:type="dxa"/>
        </w:tblCellMar>
      </w:tblPr>
      <w:tblGrid>
        <w:gridCol w:w="822"/>
        <w:gridCol w:w="721"/>
        <w:gridCol w:w="736"/>
        <w:gridCol w:w="211"/>
        <w:gridCol w:w="466"/>
        <w:gridCol w:w="109"/>
        <w:gridCol w:w="109"/>
        <w:gridCol w:w="109"/>
        <w:gridCol w:w="109"/>
        <w:gridCol w:w="211"/>
        <w:gridCol w:w="466"/>
        <w:gridCol w:w="109"/>
        <w:gridCol w:w="109"/>
        <w:gridCol w:w="109"/>
        <w:gridCol w:w="109"/>
        <w:gridCol w:w="211"/>
        <w:gridCol w:w="466"/>
        <w:gridCol w:w="154"/>
      </w:tblGrid>
      <w:tr>
        <w:trPr/>
        <w:tc>
          <w:tcPr>
            <w:tcW w:w="82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1" w:name="i1416c9599c5c4e3a88128ebce736b6e8_9-1-1-"/>
            <w:bookmarkEnd w:id="1"/>
            <w:r>
              <w:rPr>
                <w:rFonts w:ascii="Times New Roman;serif" w:hAnsi="Times New Roman;serif"/>
                <w:b w:val="false"/>
                <w:color w:val="000000"/>
                <w:sz w:val="20"/>
              </w:rPr>
              <w:t>455 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4, 2025, the One Big Beautiful Bill Act (the "Act”) was signed into law. The Act, among other things, implemented changes to the tax treatment relating to bonus depreciation, research and experimental expenditures and interest expense, and included phase-outs and restrictions on several clean energy tax incentives. The Act did not have a material impact on our effective tax rate.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reconciliations of the statutory federal income tax rate to our effective tax rate for the years ended December 31 follow:</w:t>
      </w:r>
    </w:p>
    <w:tbl>
      <w:tblPr>
        <w:tblW w:w="10205" w:type="dxa"/>
        <w:jc w:val="left"/>
        <w:tblInd w:w="0" w:type="dxa"/>
        <w:tblLayout w:type="fixed"/>
        <w:tblCellMar>
          <w:top w:w="28" w:type="dxa"/>
          <w:left w:w="28" w:type="dxa"/>
          <w:bottom w:w="28" w:type="dxa"/>
          <w:right w:w="28" w:type="dxa"/>
        </w:tblCellMar>
      </w:tblPr>
      <w:tblGrid>
        <w:gridCol w:w="1785"/>
        <w:gridCol w:w="1502"/>
        <w:gridCol w:w="1513"/>
        <w:gridCol w:w="211"/>
        <w:gridCol w:w="466"/>
        <w:gridCol w:w="109"/>
        <w:gridCol w:w="255"/>
        <w:gridCol w:w="256"/>
        <w:gridCol w:w="271"/>
        <w:gridCol w:w="109"/>
        <w:gridCol w:w="109"/>
        <w:gridCol w:w="109"/>
        <w:gridCol w:w="211"/>
        <w:gridCol w:w="466"/>
        <w:gridCol w:w="109"/>
        <w:gridCol w:w="255"/>
        <w:gridCol w:w="256"/>
        <w:gridCol w:w="271"/>
        <w:gridCol w:w="109"/>
        <w:gridCol w:w="109"/>
        <w:gridCol w:w="109"/>
        <w:gridCol w:w="211"/>
        <w:gridCol w:w="466"/>
        <w:gridCol w:w="109"/>
        <w:gridCol w:w="255"/>
        <w:gridCol w:w="256"/>
        <w:gridCol w:w="318"/>
      </w:tblGrid>
      <w:tr>
        <w:trPr/>
        <w:tc>
          <w:tcPr>
            <w:tcW w:w="1785"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State and Local Income Taxes, Net of Federal Income Tax Effect</w:t>
            </w:r>
            <w:r>
              <w:rPr>
                <w:rFonts w:ascii="Times New Roman;serif" w:hAnsi="Times New Roman;serif"/>
                <w:b w:val="false"/>
                <w:color w:val="000000"/>
                <w:sz w:val="13"/>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Renewable energy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jc w:val="left"/>
        <w:rPr>
          <w:rFonts w:ascii="Times New Roman;serif" w:hAnsi="Times New Roman;serif"/>
          <w:b w:val="false"/>
          <w:color w:val="000000"/>
          <w:sz w:val="13"/>
        </w:rPr>
      </w:pPr>
      <w:r>
        <w:rPr>
          <w:rFonts w:ascii="Times New Roman;serif" w:hAnsi="Times New Roman;serif"/>
          <w:b w:val="false"/>
          <w:color w:val="000000"/>
          <w:sz w:val="13"/>
        </w:rPr>
        <w:t>(1) State taxes in California, Illinois, Massachusetts, &amp; Texas made up the majority (greater than 50 percent) of the tax effect in this category for 2025, 2024, and 2023.</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impact of foreign tax effects, effect of changes in tax laws or rates enacted in the current period, effect of cross-border tax laws, changes in valuation allowances and changes in unrecognized tax benefits were each immaterial to the periods presented.</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During </w:t>
      </w:r>
      <w:r>
        <w:rPr>
          <w:rFonts w:ascii="Times New Roman;serif" w:hAnsi="Times New Roman;serif"/>
          <w:b w:val="false"/>
          <w:color w:val="000000"/>
          <w:sz w:val="20"/>
        </w:rPr>
        <w:t>2023 through</w:t>
      </w:r>
      <w:r>
        <w:rPr>
          <w:color w:val="000000"/>
          <w:shd w:fill="FFFFFF" w:val="clear"/>
        </w:rPr>
        <w:t xml:space="preserve"> </w:t>
      </w:r>
      <w:r>
        <w:rPr>
          <w:rFonts w:ascii="Times New Roman;serif" w:hAnsi="Times New Roman;serif"/>
          <w:b w:val="false"/>
          <w:color w:val="000000"/>
          <w:sz w:val="20"/>
          <w:shd w:fill="FFFFFF" w:val="clear"/>
        </w:rPr>
        <w:t xml:space="preserve">2025, we acquired non-controlling interests in limited liability companies established to own renewable energy assets that qualified for investment tax credits under Section 48 of the Internal Revenue Code. We account for these investments under the equity method of accounting utilizing the HLBV method and recognize our share of income or loss and other reductions or increases in the value of our investment in loss from unconsolidated equity method investments within our consolidated statements of income. For further discussion regarding our equity method accounting, see Note 3, </w:t>
      </w:r>
      <w:r>
        <w:rPr>
          <w:rFonts w:ascii="Times New Roman;serif" w:hAnsi="Times New Roman;serif"/>
          <w:b w:val="false"/>
          <w:i/>
          <w:color w:val="000000"/>
          <w:sz w:val="20"/>
        </w:rPr>
        <w:t>Business Acquisitions, Investments and Restructuring Charges</w:t>
      </w:r>
      <w:r>
        <w:rPr>
          <w:color w:val="000000"/>
          <w:shd w:fill="FFFFFF" w:val="clear"/>
        </w:rPr>
        <w:t xml:space="preserve"> </w:t>
      </w:r>
      <w:r>
        <w:rPr>
          <w:rFonts w:ascii="Times New Roman;serif" w:hAnsi="Times New Roman;serif"/>
          <w:b w:val="false"/>
          <w:color w:val="000000"/>
          <w:sz w:val="20"/>
          <w:shd w:fill="FFFFFF" w:val="clear"/>
        </w:rPr>
        <w:t>of the notes to our consolidated financial statements in Part II, Item 8 of this Annual Report on Form 10-K.</w:t>
      </w:r>
    </w:p>
    <w:p>
      <w:pPr>
        <w:pStyle w:val="TextBody"/>
        <w:bidi w:val="0"/>
        <w:spacing w:lineRule="auto" w:line="288" w:before="100" w:after="283"/>
        <w:jc w:val="left"/>
        <w:rPr/>
      </w:pPr>
      <w:r>
        <w:rPr>
          <w:rFonts w:ascii="Times New Roman;serif" w:hAnsi="Times New Roman;serif"/>
          <w:b w:val="false"/>
          <w:color w:val="000000"/>
          <w:sz w:val="20"/>
          <w:shd w:fill="FFFFFF" w:val="clear"/>
        </w:rPr>
        <w:t>In addition, during</w:t>
      </w:r>
      <w:r>
        <w:rPr>
          <w:color w:val="000000"/>
        </w:rPr>
        <w:t xml:space="preserve"> </w:t>
      </w:r>
      <w:r>
        <w:rPr>
          <w:rFonts w:ascii="Times New Roman;serif" w:hAnsi="Times New Roman;serif"/>
          <w:b w:val="false"/>
          <w:color w:val="000000"/>
          <w:sz w:val="20"/>
        </w:rPr>
        <w:t>2023</w:t>
      </w:r>
      <w:r>
        <w:rPr>
          <w:color w:val="000000"/>
          <w:shd w:fill="FFFFFF" w:val="clear"/>
        </w:rPr>
        <w:t xml:space="preserve"> </w:t>
      </w:r>
      <w:r>
        <w:rPr>
          <w:rFonts w:ascii="Times New Roman;serif" w:hAnsi="Times New Roman;serif"/>
          <w:b w:val="false"/>
          <w:color w:val="000000"/>
          <w:sz w:val="20"/>
          <w:shd w:fill="FFFFFF" w:val="clear"/>
        </w:rPr>
        <w:t>we resolved IRS examinations for our 2014 to 2018 tax years, that in the aggregate, reduced our tax provision by approximately $21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the income tax payments (net of refunds received) for the period ended December 31 follow:</w:t>
      </w:r>
    </w:p>
    <w:tbl>
      <w:tblPr>
        <w:tblW w:w="6912" w:type="dxa"/>
        <w:jc w:val="left"/>
        <w:tblInd w:w="0" w:type="dxa"/>
        <w:tblLayout w:type="fixed"/>
        <w:tblCellMar>
          <w:top w:w="28" w:type="dxa"/>
          <w:left w:w="28" w:type="dxa"/>
          <w:bottom w:w="28" w:type="dxa"/>
          <w:right w:w="28" w:type="dxa"/>
        </w:tblCellMar>
      </w:tblPr>
      <w:tblGrid>
        <w:gridCol w:w="1395"/>
        <w:gridCol w:w="1224"/>
        <w:gridCol w:w="1236"/>
        <w:gridCol w:w="211"/>
        <w:gridCol w:w="466"/>
        <w:gridCol w:w="109"/>
        <w:gridCol w:w="109"/>
        <w:gridCol w:w="109"/>
        <w:gridCol w:w="109"/>
        <w:gridCol w:w="211"/>
        <w:gridCol w:w="466"/>
        <w:gridCol w:w="109"/>
        <w:gridCol w:w="109"/>
        <w:gridCol w:w="109"/>
        <w:gridCol w:w="109"/>
        <w:gridCol w:w="211"/>
        <w:gridCol w:w="466"/>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20"/>
              </w:rPr>
              <w:t>State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payments (net of refunds received)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20"/>
        </w:rPr>
        <w:t xml:space="preserve">We made income tax payments (net of refunds) of </w:t>
      </w:r>
      <w:r>
        <w:rPr>
          <w:rFonts w:ascii="Times New Roman;serif" w:hAnsi="Times New Roman;serif"/>
          <w:b w:val="false"/>
          <w:color w:val="000000"/>
          <w:sz w:val="20"/>
          <w:shd w:fill="FFFFFF" w:val="clear"/>
        </w:rPr>
        <w:t>$206 million</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$313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$343 million</w:t>
      </w:r>
      <w:r>
        <w:rPr>
          <w:color w:val="000000"/>
        </w:rPr>
        <w:t xml:space="preserve"> </w:t>
      </w:r>
      <w:r>
        <w:rPr>
          <w:rFonts w:ascii="Times New Roman;serif" w:hAnsi="Times New Roman;serif"/>
          <w:b w:val="false"/>
          <w:color w:val="000000"/>
          <w:sz w:val="20"/>
        </w:rPr>
        <w:t xml:space="preserve">for 2025, 2024, and 2023, respectively. </w:t>
      </w:r>
      <w:r>
        <w:rPr>
          <w:rFonts w:ascii="Times New Roman;serif" w:hAnsi="Times New Roman;serif"/>
          <w:b w:val="false"/>
          <w:color w:val="000000"/>
          <w:sz w:val="20"/>
          <w:shd w:fill="FFFFFF" w:val="clear"/>
        </w:rPr>
        <w:t xml:space="preserve">Income taxes paid in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reflect benefits from the Act as well as tax credits from our continuing investments in qualified renewable energy projects. Income taxes paid in</w:t>
      </w:r>
      <w:r>
        <w:rPr>
          <w:color w:val="000000"/>
        </w:rPr>
        <w:t xml:space="preserve"> </w:t>
      </w:r>
      <w:r>
        <w:rPr>
          <w:rFonts w:ascii="Times New Roman;serif" w:hAnsi="Times New Roman;serif"/>
          <w:b w:val="false"/>
          <w:color w:val="000000"/>
          <w:sz w:val="20"/>
        </w:rPr>
        <w:t>2024 and 2023 reflect benefits from tax credits from our continuing investments in qualified renewable energy projects.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the net deferred income tax asset and liability as of December 31 follow:</w:t>
      </w:r>
    </w:p>
    <w:tbl>
      <w:tblPr>
        <w:tblW w:w="7914" w:type="dxa"/>
        <w:jc w:val="left"/>
        <w:tblInd w:w="0" w:type="dxa"/>
        <w:tblLayout w:type="fixed"/>
        <w:tblCellMar>
          <w:top w:w="28" w:type="dxa"/>
          <w:left w:w="28" w:type="dxa"/>
          <w:bottom w:w="28" w:type="dxa"/>
          <w:right w:w="28" w:type="dxa"/>
        </w:tblCellMar>
      </w:tblPr>
      <w:tblGrid>
        <w:gridCol w:w="1998"/>
        <w:gridCol w:w="1758"/>
        <w:gridCol w:w="1764"/>
        <w:gridCol w:w="211"/>
        <w:gridCol w:w="691"/>
        <w:gridCol w:w="109"/>
        <w:gridCol w:w="109"/>
        <w:gridCol w:w="109"/>
        <w:gridCol w:w="109"/>
        <w:gridCol w:w="211"/>
        <w:gridCol w:w="691"/>
        <w:gridCol w:w="154"/>
      </w:tblGrid>
      <w:tr>
        <w:trPr/>
        <w:tc>
          <w:tcPr>
            <w:tcW w:w="199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relating to:</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Differences between book and tax basis of 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Difference between book and tax basis of intangible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right-of-use lease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Basis difference due to redemption of partnership interests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relating to:</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Environmental reserves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Accruals not currently deductible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Difference between book and tax basis of other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right-of-use lease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deferred tax asset</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overall deferred tax liability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Changes in the deferred tax valuation allowance for the years ended December 31 follow:</w:t>
      </w:r>
    </w:p>
    <w:tbl>
      <w:tblPr>
        <w:tblW w:w="6777" w:type="dxa"/>
        <w:jc w:val="left"/>
        <w:tblInd w:w="0" w:type="dxa"/>
        <w:tblLayout w:type="fixed"/>
        <w:tblCellMar>
          <w:top w:w="28" w:type="dxa"/>
          <w:left w:w="28" w:type="dxa"/>
          <w:bottom w:w="28" w:type="dxa"/>
          <w:right w:w="28" w:type="dxa"/>
        </w:tblCellMar>
      </w:tblPr>
      <w:tblGrid>
        <w:gridCol w:w="1462"/>
        <w:gridCol w:w="1282"/>
        <w:gridCol w:w="1291"/>
        <w:gridCol w:w="211"/>
        <w:gridCol w:w="361"/>
        <w:gridCol w:w="109"/>
        <w:gridCol w:w="109"/>
        <w:gridCol w:w="109"/>
        <w:gridCol w:w="109"/>
        <w:gridCol w:w="211"/>
        <w:gridCol w:w="361"/>
        <w:gridCol w:w="109"/>
        <w:gridCol w:w="109"/>
        <w:gridCol w:w="109"/>
        <w:gridCol w:w="109"/>
        <w:gridCol w:w="211"/>
        <w:gridCol w:w="361"/>
        <w:gridCol w:w="154"/>
      </w:tblGrid>
      <w:tr>
        <w:trPr/>
        <w:tc>
          <w:tcPr>
            <w:tcW w:w="146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charged to provision for income taxes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realized or written-off</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deferred tax assets related to state net operating loss carryforwards with an estimated tax effect of $51 million available as of December 31, 2025. These state net operating loss carryforwards expire at various times between 2026 and 2045. We believe that it is more likely than not that the benefit from some of our state net operating loss carryforwards will not be realized due to limitations on these loss carryforwards in certain states. In recognition of this risk, as of December 31, 2025, we have provided a valuation allowance of $40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income tax in the United States and Canada, as well as multiple state and provincial jurisdictions. Our compliance with income tax rules and regulations is periodically audited by taxing authorities. These authorities may challenge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positions taken in our tax filings. Thus, to provide for certain potential tax exposures, we maintain liabilities for uncertain tax positions for our estimate of the final outcome of the examinations. Our federal statute of limitations applicable to our federal tax returns is closed through 2021. In addition, we are currently under state examination or administrative review in various jurisdictions for tax years 2013 through 2024.</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our gross unrecognized tax benefits for the years ended December 31:</w:t>
      </w:r>
    </w:p>
    <w:tbl>
      <w:tblPr>
        <w:tblW w:w="8846" w:type="dxa"/>
        <w:jc w:val="left"/>
        <w:tblInd w:w="0" w:type="dxa"/>
        <w:tblLayout w:type="fixed"/>
        <w:tblCellMar>
          <w:top w:w="28" w:type="dxa"/>
          <w:left w:w="28" w:type="dxa"/>
          <w:bottom w:w="28" w:type="dxa"/>
          <w:right w:w="28" w:type="dxa"/>
        </w:tblCellMar>
      </w:tblPr>
      <w:tblGrid>
        <w:gridCol w:w="2173"/>
        <w:gridCol w:w="1910"/>
        <w:gridCol w:w="1916"/>
        <w:gridCol w:w="211"/>
        <w:gridCol w:w="361"/>
        <w:gridCol w:w="109"/>
        <w:gridCol w:w="109"/>
        <w:gridCol w:w="109"/>
        <w:gridCol w:w="109"/>
        <w:gridCol w:w="211"/>
        <w:gridCol w:w="361"/>
        <w:gridCol w:w="109"/>
        <w:gridCol w:w="109"/>
        <w:gridCol w:w="109"/>
        <w:gridCol w:w="109"/>
        <w:gridCol w:w="211"/>
        <w:gridCol w:w="466"/>
        <w:gridCol w:w="154"/>
      </w:tblGrid>
      <w:tr>
        <w:trPr/>
        <w:tc>
          <w:tcPr>
            <w:tcW w:w="2173"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of current year</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of prior years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tax positions of prior years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tax positions resulting from lapse of statute of limitations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Included in our gross unrecognized tax benefits as of December 31, 2025, 2024 and 2023 are $18 million, $22 million and $33 million, respectively, of unrecognized tax benefits (net of the federal benefit) that, if recognized, would affect our effective income tax rate in future periods.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2023, we settled our 2014-2018 tax years with the Internal Revenue Service. These settlements reduced our gross unrecognized tax benefits by $66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recognize interest and penalties as incurred within the provision for income taxes in our consolidated statements of income. Related to the unrecognized tax benefits previously noted, we recorded a reduction to interest expense of $1 million during 2025 and, in total as of December 31, 2025, have recognized a liability for penalties of $4 million and interest of $4 million. During 2024, we recorded a reduction to interest expense of $6 million and, in total as of December 31, 2024, had recognized a liability for penalties of $1 million and interest of $5 million. During 2023, we recorded interest expense of $1 million and, in total as of December 31, 2023, had recognized a liability for interest of $14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the recorded liabilities for uncertain tax positions are adequate. However, a significant assessment against us in excess of the liabilities recorded could have a material adverse effect on our consolidated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12.EMPLOYEE BENEFIT PLANS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October 2020, our Board of Directors amended and restated the Republic Services, Inc. Executive Incentive Plan (the 2021 Plan) to remove references to the performance-based compensation exception that was previously permitted but is no longer applicable under Section 162(m) of the Internal Revenue Code. The purposes of the 2021 Plan are to promote the success of the Company; to provide designated Executive Officers with an opportunity to receive incentive compensation dependent upon that success; and to attract, retain and motivate such individuals. We currently have approximately 10 million shares of common stock reserved for future grants under the 2021 Plan.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February 2007, our Board of Directors approved the 2007 Stock Incentive Plan (the 2007 Plan); in May 2007 our shareholders approved the 2007 Plan. In March 2011, our Board of Directors approved the Amended and Restated 2007 Stock Incentive Plan (the Amended and Restated 2007 SIP); in May 2011 our shareholders approved the Amended and Restated 2007 SIP. In March 2013, our Board of Directors approved the Republic Services, Inc. Amended and Restated 2007 Stock Incentive Plan (the Republic Amended and Restated 2007 SIP); in May 2013 our shareholders approved the Republic Amended and Restated 2007 SIP (the 2007 Plan, the Amended and Restated 2007 SIP and the Republic Amended and Restated 2007 SIP are collectively referred to as the Amended and Restated 2007 Stock Incentive Plan). No further awards will be made under the Amended and Restated 2007 Stock Incentive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(RSU) activity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1293"/>
        <w:gridCol w:w="1136"/>
        <w:gridCol w:w="1143"/>
        <w:gridCol w:w="409"/>
        <w:gridCol w:w="409"/>
        <w:gridCol w:w="411"/>
        <w:gridCol w:w="109"/>
        <w:gridCol w:w="109"/>
        <w:gridCol w:w="109"/>
        <w:gridCol w:w="331"/>
        <w:gridCol w:w="1133"/>
        <w:gridCol w:w="172"/>
        <w:gridCol w:w="109"/>
        <w:gridCol w:w="109"/>
        <w:gridCol w:w="109"/>
        <w:gridCol w:w="545"/>
        <w:gridCol w:w="545"/>
        <w:gridCol w:w="546"/>
        <w:gridCol w:w="109"/>
        <w:gridCol w:w="109"/>
        <w:gridCol w:w="109"/>
        <w:gridCol w:w="222"/>
        <w:gridCol w:w="763"/>
        <w:gridCol w:w="166"/>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w:t>
              <w:br/>
              <w:t>RSUs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Grant Date Fair</w:t>
              <w:br/>
              <w:t>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Remaining</w:t>
              <w:br/>
              <w:t>Contractual 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Aggregate</w:t>
              <w:br/>
              <w:t>Intrinsic</w:t>
              <w:br/>
              <w:t>Value</w:t>
              <w:br/>
              <w:t>(in millions)</w:t>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Unissued as of December 31, 2022</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issued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Unissued as of December 31, 2023</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issued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Unissued as of December 31, 2024</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issued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Unissued as of December 31, 2025</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unissued as of December 31, 2025</w:t>
            </w:r>
          </w:p>
        </w:tc>
        <w:tc>
          <w:tcPr>
            <w:tcW w:w="818"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4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76.87 </w:t>
            </w:r>
          </w:p>
        </w:tc>
        <w:tc>
          <w:tcPr>
            <w:tcW w:w="17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years ended December 31, 2025, 2024 and 2023</w:t>
      </w:r>
      <w:r>
        <w:rPr>
          <w:rFonts w:ascii="Times New Roman;serif" w:hAnsi="Times New Roman;serif"/>
          <w:b w:val="false"/>
          <w:color w:val="000000"/>
          <w:sz w:val="20"/>
          <w:shd w:fill="FFFFFF" w:val="clear"/>
        </w:rPr>
        <w:t xml:space="preserve">, we awarded our non-employee directors 13,800, 16,540 and 20,324 RSUs, respectively, which vested upon issuance. </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years ended December 31, 2025, 2024 and 2023</w:t>
      </w:r>
      <w:r>
        <w:rPr>
          <w:rFonts w:ascii="Times New Roman;serif" w:hAnsi="Times New Roman;serif"/>
          <w:b w:val="false"/>
          <w:color w:val="000000"/>
          <w:sz w:val="20"/>
          <w:shd w:fill="FFFFFF" w:val="clear"/>
        </w:rPr>
        <w:t xml:space="preserve">, we awarded 132,585, 158,789 and 216,610 RSUs, respectively, to executives and employees that vest in four equal annual installments beginning on the anniversary date of the original grant. </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years ended December 31, 2025, 2024 and 2023</w:t>
      </w:r>
      <w:r>
        <w:rPr>
          <w:rFonts w:ascii="Times New Roman;serif" w:hAnsi="Times New Roman;serif"/>
          <w:b w:val="false"/>
          <w:color w:val="000000"/>
          <w:sz w:val="20"/>
          <w:shd w:fill="FFFFFF" w:val="clear"/>
        </w:rPr>
        <w:t xml:space="preserve">, we granted an additional 6,980, 8,868 and 12,751 RSUs, respectively, as dividend equivalents. </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RSUs do not carry any voting or dividend rights, except the right to receive additional RSUs in lieu of dividends.</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Compensation Expense</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of RSUs is based on the closing market price on the date of the grant. The compensation expense related to RSUs is amortized ratably over the vesting period, or to the employee's retirement eligible date, if earlier.</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years ended December 31, 2025, 2024 and 2023</w:t>
      </w:r>
      <w:r>
        <w:rPr>
          <w:rFonts w:ascii="Times New Roman;serif" w:hAnsi="Times New Roman;serif"/>
          <w:b w:val="false"/>
          <w:color w:val="000000"/>
          <w:sz w:val="20"/>
          <w:shd w:fill="FFFFFF" w:val="clear"/>
        </w:rPr>
        <w:t>, compensation expense related to RSUs tota</w:t>
      </w:r>
      <w:r>
        <w:rPr>
          <w:rFonts w:ascii="Times New Roman;serif" w:hAnsi="Times New Roman;serif"/>
          <w:b w:val="false"/>
          <w:color w:val="000000"/>
          <w:sz w:val="20"/>
        </w:rPr>
        <w:t>led $26 million, $25 million and $24 million, respectively</w:t>
      </w:r>
      <w:r>
        <w:rPr>
          <w:rFonts w:ascii="Times New Roman;serif" w:hAnsi="Times New Roman;serif"/>
          <w:b w:val="false"/>
          <w:color w:val="000000"/>
          <w:sz w:val="20"/>
          <w:shd w:fill="FFFFFF" w:val="clear"/>
        </w:rPr>
        <w:t xml:space="preserve">.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total unrecognized compensation expense related to outstanding RSUs was $43 million, which will be recognized over a weighted average period of approximately 2.5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Performance Shares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performance stock unit (PSU) activity for the years ended December 31, 2025, 2024 and 2023:</w:t>
      </w:r>
    </w:p>
    <w:tbl>
      <w:tblPr>
        <w:tblW w:w="7751" w:type="dxa"/>
        <w:jc w:val="left"/>
        <w:tblInd w:w="0" w:type="dxa"/>
        <w:tblLayout w:type="fixed"/>
        <w:tblCellMar>
          <w:top w:w="28" w:type="dxa"/>
          <w:left w:w="28" w:type="dxa"/>
          <w:bottom w:w="28" w:type="dxa"/>
          <w:right w:w="28" w:type="dxa"/>
        </w:tblCellMar>
      </w:tblPr>
      <w:tblGrid>
        <w:gridCol w:w="1631"/>
        <w:gridCol w:w="1430"/>
        <w:gridCol w:w="1439"/>
        <w:gridCol w:w="419"/>
        <w:gridCol w:w="419"/>
        <w:gridCol w:w="421"/>
        <w:gridCol w:w="109"/>
        <w:gridCol w:w="109"/>
        <w:gridCol w:w="109"/>
        <w:gridCol w:w="323"/>
        <w:gridCol w:w="1106"/>
        <w:gridCol w:w="236"/>
      </w:tblGrid>
      <w:tr>
        <w:trPr/>
        <w:tc>
          <w:tcPr>
            <w:tcW w:w="163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w:t>
              <w:br/>
              <w:t>PSUs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w:t>
              <w:br/>
              <w:t>Grant Date Fair</w:t>
              <w:br/>
              <w:t>Value per Share</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2022</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issued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2023</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issued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issued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and Exercisable as of December 31, 2025</w:t>
            </w:r>
          </w:p>
        </w:tc>
        <w:tc>
          <w:tcPr>
            <w:tcW w:w="8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159.77 </w:t>
            </w:r>
          </w:p>
        </w:tc>
        <w:tc>
          <w:tcPr>
            <w:tcW w:w="2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 xml:space="preserve">years ended December 31, 2025, 2024 and 2023, we awarded </w:t>
      </w:r>
      <w:r>
        <w:rPr>
          <w:rFonts w:ascii="Times New Roman;serif" w:hAnsi="Times New Roman;serif"/>
          <w:b w:val="false"/>
          <w:color w:val="000000"/>
          <w:sz w:val="20"/>
          <w:shd w:fill="FFFFFF" w:val="clear"/>
        </w:rPr>
        <w:t>117,968</w:t>
      </w:r>
      <w:r>
        <w:rPr>
          <w:rFonts w:ascii="Times New Roman;serif" w:hAnsi="Times New Roman;serif"/>
          <w:b w:val="false"/>
          <w:color w:val="000000"/>
          <w:sz w:val="20"/>
        </w:rPr>
        <w:t>, 153,883 and 80,452 PSUs to our executive officers, respectively. These awards are performance-based as the number of shares ultimately earned depends on performance against pre-determined targets for return on invested capital (ROIC), cash flow value creation (CFVC) and total shareholder return relative to the S&amp;P 500 index (RTSR). The PSUs are payable 50% in shares of common stock and 50% in cash after the end o</w:t>
      </w:r>
      <w:r>
        <w:rPr>
          <w:rFonts w:ascii="Times New Roman;serif" w:hAnsi="Times New Roman;serif"/>
          <w:b w:val="false"/>
          <w:color w:val="000000"/>
          <w:sz w:val="20"/>
          <w:shd w:fill="FFFFFF" w:val="clear"/>
        </w:rPr>
        <w:t xml:space="preserve">f a three-year </w:t>
      </w:r>
      <w:r>
        <w:rPr>
          <w:rFonts w:ascii="Times New Roman;serif" w:hAnsi="Times New Roman;serif"/>
          <w:b w:val="false"/>
          <w:color w:val="000000"/>
          <w:sz w:val="20"/>
        </w:rPr>
        <w:t>performance period, when our financial performance for the entire performance period is reported, typically in February of the succeeding year. At the end of the performance period, the number of PSUs awarded can range from 0% to 220% of the targeted amount, depending on the performance against the pre-determined targets.</w:t>
      </w:r>
    </w:p>
    <w:p>
      <w:pPr>
        <w:pStyle w:val="TextBody"/>
        <w:bidi w:val="0"/>
        <w:spacing w:lineRule="auto" w:line="288" w:before="100" w:after="283"/>
        <w:jc w:val="left"/>
        <w:rPr/>
      </w:pPr>
      <w:r>
        <w:rPr>
          <w:rFonts w:ascii="Times New Roman;serif" w:hAnsi="Times New Roman;serif"/>
          <w:b w:val="false"/>
          <w:color w:val="000000"/>
          <w:sz w:val="20"/>
        </w:rPr>
        <w:t xml:space="preserve">During the years ended December 31, 2025, 2024 and 2023, we awarded 98,613, </w:t>
      </w:r>
      <w:r>
        <w:rPr>
          <w:rFonts w:ascii="Times New Roman;serif" w:hAnsi="Times New Roman;serif"/>
          <w:b w:val="false"/>
          <w:color w:val="000000"/>
          <w:sz w:val="20"/>
          <w:shd w:fill="FFFFFF" w:val="clear"/>
        </w:rPr>
        <w:t>120,433 and 108,560 PSUs to our</w:t>
      </w:r>
      <w:r>
        <w:rPr>
          <w:color w:val="000000"/>
        </w:rPr>
        <w:t xml:space="preserve"> </w:t>
      </w:r>
      <w:r>
        <w:rPr>
          <w:rFonts w:ascii="Times New Roman;serif" w:hAnsi="Times New Roman;serif"/>
          <w:b w:val="false"/>
          <w:color w:val="000000"/>
          <w:sz w:val="20"/>
        </w:rPr>
        <w:t>employees other than our executive officers, respectively. The PSUs are payable 100% in shares of common stock after the end of a three-year performance period, when our financial performance for the entire performance period is reported, typically in February of the succeeding year. At the end of the performance period, the number of PSUs awarded can range from 0% to 220% of the targeted amount, depending on the performance against the pre-determined targets.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PSUs do not carry any voting or dividend rights, except the right to accumulate additional PSUs in lieu of dividends.</w:t>
      </w:r>
    </w:p>
    <w:p>
      <w:pPr>
        <w:pStyle w:val="TextBody"/>
        <w:bidi w:val="0"/>
        <w:spacing w:lineRule="auto" w:line="288" w:before="100" w:after="283"/>
        <w:jc w:val="left"/>
        <w:rPr/>
      </w:pPr>
      <w:r>
        <w:rPr>
          <w:rFonts w:ascii="Times New Roman;serif" w:hAnsi="Times New Roman;serif"/>
          <w:b w:val="false"/>
          <w:color w:val="000000"/>
          <w:sz w:val="20"/>
        </w:rPr>
        <w:t>D</w:t>
      </w:r>
      <w:r>
        <w:rPr>
          <w:rFonts w:ascii="Times New Roman;serif" w:hAnsi="Times New Roman;serif"/>
          <w:b w:val="false"/>
          <w:color w:val="000000"/>
          <w:sz w:val="20"/>
          <w:shd w:fill="FFFFFF" w:val="clear"/>
        </w:rPr>
        <w:t xml:space="preserve">uring the </w:t>
      </w:r>
      <w:r>
        <w:rPr>
          <w:rFonts w:ascii="Times New Roman;serif" w:hAnsi="Times New Roman;serif"/>
          <w:b w:val="false"/>
          <w:color w:val="000000"/>
          <w:sz w:val="20"/>
        </w:rPr>
        <w:t>years ended December 31, 2025, 2024 and 2023, we granted an additi</w:t>
      </w:r>
      <w:r>
        <w:rPr>
          <w:rFonts w:ascii="Times New Roman;serif" w:hAnsi="Times New Roman;serif"/>
          <w:b w:val="false"/>
          <w:color w:val="000000"/>
          <w:sz w:val="20"/>
          <w:shd w:fill="FFFFFF" w:val="clear"/>
        </w:rPr>
        <w:t>onal 5,666, 6,795 and 10,511 PSU</w:t>
      </w:r>
      <w:r>
        <w:rPr>
          <w:rFonts w:ascii="Times New Roman;serif" w:hAnsi="Times New Roman;serif"/>
          <w:b w:val="false"/>
          <w:color w:val="000000"/>
          <w:sz w:val="20"/>
        </w:rPr>
        <w:t xml:space="preserve">s to our executive officers, respectively, as dividend equivalents.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Compensation Expense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stock-settled portion of the award that vests based on future ROIC and CFVC performance, compensation expense is measured using the fair value of our common stock at the grant date. For the cash-settled portion of the award that vests based on future ROIC and CFVC performance, compensation expense is recorded based on the fair value of our common stock at the end of each reporting period. Compensation expense is recognized ratably over the performance period based on our estimated achievement of the established performance criteria. Compensation expense is only recognized for the portion of the award that we expect to vest, which we estimate based on an assessment of the probability that the performance criteria will be achieved.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stock-settled portion of the award that vests based on RTSR, the grant date fair value is based on a Monte Carlo valuation and compensation expense is recognized on a straight-line basis over the vesting period. For the cash-settled portion of the award that vests based on RTSR, compensation expense also incorporates the fair value of our PSUs at the end of each reporting period. Compensation expense is recognized for the RTSR portion of the award whether or not the market conditions are achieved.</w:t>
      </w:r>
    </w:p>
    <w:p>
      <w:pPr>
        <w:pStyle w:val="TextBody"/>
        <w:bidi w:val="0"/>
        <w:spacing w:lineRule="auto" w:line="288" w:before="100" w:after="283"/>
        <w:jc w:val="left"/>
        <w:rPr/>
      </w:pPr>
      <w:r>
        <w:rPr>
          <w:rFonts w:ascii="Times New Roman;serif" w:hAnsi="Times New Roman;serif"/>
          <w:b w:val="false"/>
          <w:color w:val="000000"/>
          <w:sz w:val="20"/>
        </w:rPr>
        <w:t>D</w:t>
      </w:r>
      <w:r>
        <w:rPr>
          <w:rFonts w:ascii="Times New Roman;serif" w:hAnsi="Times New Roman;serif"/>
          <w:b w:val="false"/>
          <w:color w:val="000000"/>
          <w:sz w:val="20"/>
          <w:shd w:fill="FFFFFF" w:val="clear"/>
        </w:rPr>
        <w:t xml:space="preserve">uring the </w:t>
      </w:r>
      <w:r>
        <w:rPr>
          <w:rFonts w:ascii="Times New Roman;serif" w:hAnsi="Times New Roman;serif"/>
          <w:b w:val="false"/>
          <w:color w:val="000000"/>
          <w:sz w:val="20"/>
        </w:rPr>
        <w:t>years ended December 31, 2025, 2024 and 2023</w:t>
      </w:r>
      <w:r>
        <w:rPr>
          <w:rFonts w:ascii="Times New Roman;serif" w:hAnsi="Times New Roman;serif"/>
          <w:b w:val="false"/>
          <w:color w:val="000000"/>
          <w:sz w:val="20"/>
          <w:shd w:fill="FFFFFF" w:val="clear"/>
        </w:rPr>
        <w:t>, compensation expense related to PSUs tot</w:t>
      </w:r>
      <w:r>
        <w:rPr>
          <w:rFonts w:ascii="Times New Roman;serif" w:hAnsi="Times New Roman;serif"/>
          <w:b w:val="false"/>
          <w:color w:val="000000"/>
          <w:sz w:val="20"/>
        </w:rPr>
        <w:t>aled $27 million, $30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$29 million</w:t>
      </w:r>
      <w:r>
        <w:rPr>
          <w:rFonts w:ascii="Times New Roman;serif" w:hAnsi="Times New Roman;serif"/>
          <w:b w:val="false"/>
          <w:color w:val="000000"/>
          <w:sz w:val="20"/>
          <w:shd w:fill="FFFFFF" w:val="clear"/>
        </w:rPr>
        <w:t>, respectively. As of December 31, 2025, total unrecognized compensation expense related to outstanding PSUs was $30 million, which will be recognized over a weighted average period of approximately 1.7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Collective Bargaining Agreements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approximately 22% of our workforce was covered by collective bargaining agreements (CBAs), and approximately 8% of our workforce was covered by CBAs that will expire during 2026.</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Multiemployer Pension Plans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participate in multiemployer pension plans that generally provide retirement benefits to participants of contributing employers. We do not administer these plans. In general, these plans are managed by a board of trustees with the unions appointing certain trustees and other contributing employers of the plan appointing certain members. We generally are not represented on the board of trustees.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Based on the information available to us, we believe that some of the multiemployer plans to which we contribute are either critical or endangered as those terms are defined in the Pension Protection Act (PPA). The PPA requires underfunded pension plans to improve their funding ratios within prescribed intervals based on the level of their underfunding. Until the plan trustees develop the funding improvement plans or rehabilitation plans as required by the PPA, we cannot determine the amount of any additional contribution or other financial obligations that we may be subject to, if any. Accordingly, we cannot presently determine the effect that the PPA may have on our consolidated financial position, results of operations or cash flows.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under current law regarding multiemployer benefit plans, a plan’s termination, our voluntary withdrawal (which we consider from time to time), or the mass withdrawal from any under-funded multiemployer pension plan would require us to make payments to the plan for our proportionate share of the multiemployer plan’s unfunded vested liabilities. During the course of operating our business, we may incur withdrawal events regarding certain of the multiemployer pension plans in which we participate. We accrue for such events when losses become probable and reasonably estimable.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Republic’s participation in individually significant multiemployer pension plans for the year ended December 31, 2025 is outlined in the table below. Only with respect to multiemployer pension plans, we considered contributions in excess of $10 million in any period disclosed to be individually significant. The most recent PPA zone status available in 2025 and 2024 is for the plans’ year ended September 30, or December 31, 2024 and 2023, respectively. The status is based on information that Republic received from the plans and is certified by the plans’ actuary. Among other factors, plans in the critical red zone are generally less than 65% funded, plans in the endangered yellow zone are less than 80% funded and plans in the safe green zone are at least 80% funded. Plans in the critical and declining zone are classified as critical and projected to be insolvent in the current year or any of the 14 following plan years. The last column lists the expiration dates of the CBAs to which the plans are subject.</w:t>
      </w:r>
    </w:p>
    <w:tbl>
      <w:tblPr>
        <w:tblW w:w="10636" w:type="dxa"/>
        <w:jc w:val="left"/>
        <w:tblInd w:w="0" w:type="dxa"/>
        <w:tblLayout w:type="fixed"/>
        <w:tblCellMar>
          <w:top w:w="28" w:type="dxa"/>
          <w:left w:w="28" w:type="dxa"/>
          <w:bottom w:w="28" w:type="dxa"/>
          <w:right w:w="28" w:type="dxa"/>
        </w:tblCellMar>
      </w:tblPr>
      <w:tblGrid>
        <w:gridCol w:w="473"/>
        <w:gridCol w:w="416"/>
        <w:gridCol w:w="417"/>
        <w:gridCol w:w="244"/>
        <w:gridCol w:w="244"/>
        <w:gridCol w:w="248"/>
        <w:gridCol w:w="109"/>
        <w:gridCol w:w="109"/>
        <w:gridCol w:w="109"/>
        <w:gridCol w:w="155"/>
        <w:gridCol w:w="155"/>
        <w:gridCol w:w="156"/>
        <w:gridCol w:w="109"/>
        <w:gridCol w:w="109"/>
        <w:gridCol w:w="109"/>
        <w:gridCol w:w="155"/>
        <w:gridCol w:w="155"/>
        <w:gridCol w:w="156"/>
        <w:gridCol w:w="109"/>
        <w:gridCol w:w="109"/>
        <w:gridCol w:w="109"/>
        <w:gridCol w:w="420"/>
        <w:gridCol w:w="420"/>
        <w:gridCol w:w="421"/>
        <w:gridCol w:w="109"/>
        <w:gridCol w:w="109"/>
        <w:gridCol w:w="109"/>
        <w:gridCol w:w="196"/>
        <w:gridCol w:w="421"/>
        <w:gridCol w:w="109"/>
        <w:gridCol w:w="109"/>
        <w:gridCol w:w="109"/>
        <w:gridCol w:w="109"/>
        <w:gridCol w:w="196"/>
        <w:gridCol w:w="421"/>
        <w:gridCol w:w="109"/>
        <w:gridCol w:w="109"/>
        <w:gridCol w:w="109"/>
        <w:gridCol w:w="109"/>
        <w:gridCol w:w="196"/>
        <w:gridCol w:w="331"/>
        <w:gridCol w:w="109"/>
        <w:gridCol w:w="109"/>
        <w:gridCol w:w="109"/>
        <w:gridCol w:w="109"/>
        <w:gridCol w:w="270"/>
        <w:gridCol w:w="270"/>
        <w:gridCol w:w="271"/>
        <w:gridCol w:w="109"/>
        <w:gridCol w:w="109"/>
        <w:gridCol w:w="109"/>
        <w:gridCol w:w="259"/>
        <w:gridCol w:w="259"/>
        <w:gridCol w:w="368"/>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Pension Protection</w:t>
              <w:br/>
              <w:t>Act Zone 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Funding</w:t>
              <w:br/>
              <w:t>Improvement</w:t>
              <w:br/>
              <w:t>or Rehabilitation</w:t>
              <w:br/>
              <w:t>Plan Status</w:t>
              <w:br/>
              <w:t>Pending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Republic</w:t>
              <w:br/>
              <w:t>Contributions to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Surcharge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Expiration Dates</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Legal Plan Name</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Implemented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of CBAs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Western Conference of </w:t>
              <w:br/>
              <w:t>  Teamsters Pension Plan</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91-6145047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Safe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Safe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Various dates through 9/30/2030</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other plans</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Defined Contribution Plan</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maintain the Republic Services 401(k) Plan (the 401(k) Plan), which is a defined contribution plan covering all eligible employees. Under the 401(k) Plan, participants may direct us to defer a portion of their compensation to the 401(k) Plan, subject to Internal Revenue Code limitations. We provide for an employer matching contribution equal to 100% of the first 3% of eligible compensation and 50% of the next 2% of eligible compensation contributed by each employee, which is funded in cash. All contributions vest immediately.</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Total expense recorded for matching 401(k) contributions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2024 and 2023 was $98 million, $95 million and $82 million, respectively.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Deferred Compensation Plan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eligible Republic employees, officers and directors with the opportunity to voluntarily defer base salary, bonus payments, long-term incentive awards and other compensation, as applicable, on a pre-tax basis through the Republic Services, Inc. Deferred Compensation Plan (the DCP). The DCP is a nonqualified deferred compensation plan that conforms to Section 409A of the Internal Revenue Code. Eligible participants can defer up to 80% of base salary and up to 100% of bonus,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long-term compensation and directors’ fees. Under the DCP, some participants also are eligible for matching contributions. The matching contribution under the DCP is equal to the lesser of 2% of the participant’s compensation over established 401(k) limits or 50% of the amount the participant has deferred. The DCP participants have no ownership or security interest in any of the amounts deferred or the measurement funds under the DCP. The right of each participant in the DCP is solely that of a general, unsecured creditor of Republic with respect to his or her own interest under the DCP. Deferred amounts may be subject to forfeiture and are deemed invested among investment funds offered under the DCP, as directed by each participant. Payments of deferred amounts are payable following separation from service or at a date or dates elected by the participant when the deferral is elected. Payments of deferred amounts are made in either a lump sum or in annual installments over a period not exceeding 15 years.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Republic invested in corporate-owned life insurance policies to satisfy future obligations under the DCP. These corporate-owned life insurance policies are held in a Rabbi Trust and are recorded at the amount that can be realized under insurance contracts at the balance sheet date, which is the cash surrender value adjusted for other charges or other amounts due that are probable at settlement. The aggregate cash surrender value of these life insurance policies was $143 million and $125 million as of December 31, 2025 and 2024, respectively, and is classified in other assets in our consolidated balance sheets. The DCP liability was $125 million and $120 million as of December 31, 2025 and 2024, respectively, and is classified in other long-term liabilities in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13.SHARE REPURCHASES AND DIVIDENDS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Available Shares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currently have approximately 10 million shares of common stock reserved for future grants under the Republic Services, Inc. 2021 Stock Incentive Plan.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October 2020, our Board of Directors approved a $2.0 billion share repurchase authorization effective starting January 1, 2021, extending through December 31, 2023. In October 2023, our Board of Directors approved a $3.0 billion share repurchase authorization effective January 1, 2024 and extending through December 31, 2026. Share repurchases under the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On a quarterly basis, our Board of Directors reviews the intrinsic value of our stock and the parameters around which we repurchase our shares.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Share repurchase activity during the years ended December 31, 2025, 2024 and 2023 follows (in millions, except per share amounts):</w:t>
      </w:r>
    </w:p>
    <w:tbl>
      <w:tblPr>
        <w:tblW w:w="6551" w:type="dxa"/>
        <w:jc w:val="left"/>
        <w:tblInd w:w="0" w:type="dxa"/>
        <w:tblLayout w:type="fixed"/>
        <w:tblCellMar>
          <w:top w:w="28" w:type="dxa"/>
          <w:left w:w="28" w:type="dxa"/>
          <w:bottom w:w="28" w:type="dxa"/>
          <w:right w:w="28" w:type="dxa"/>
        </w:tblCellMar>
      </w:tblPr>
      <w:tblGrid>
        <w:gridCol w:w="989"/>
        <w:gridCol w:w="869"/>
        <w:gridCol w:w="871"/>
        <w:gridCol w:w="211"/>
        <w:gridCol w:w="721"/>
        <w:gridCol w:w="109"/>
        <w:gridCol w:w="109"/>
        <w:gridCol w:w="109"/>
        <w:gridCol w:w="109"/>
        <w:gridCol w:w="211"/>
        <w:gridCol w:w="721"/>
        <w:gridCol w:w="109"/>
        <w:gridCol w:w="109"/>
        <w:gridCol w:w="109"/>
        <w:gridCol w:w="109"/>
        <w:gridCol w:w="211"/>
        <w:gridCol w:w="721"/>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repurchased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cost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average price paid per share, total repurchase costs and approximate maximum dollar value of the shares that may yet be         purchased under the plans or programs exclude a 1% excise tax.</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there were no repurchased shares pending settlement. As of December 31, 2024, there were less than 1 million repurchased shares pending settlement, resulting in an associated $10 million of share repurchases unpaid and included within other accrued liabilities. As of December 31, 2023, there were no repurchased shares pending settlement. As of December 31, 2025, the remaining authorized purchase capacity under our October 2023 repurchase program was $1.7 billion.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December 2024, our board of directors changed the status of 8 million treasury shares to authorized and unissued. In doing so, the number of our issued shares was reduced by the stated amount. Our accounting policy is to deduct the par value from common stock and to reflect the excess of cost over par value as a deduction from additional paid-in capital. The reduction in issued shares resulted in a change of $1.2 billion in treasury stock which was reclassified as less than 1 million in common stock, and $1.2 billion in additional paid-in capital. There was no effect on our total stockholders' equity position as a result of the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100" w:after="283"/>
        <w:jc w:val="left"/>
        <w:rPr/>
      </w:pPr>
      <w:r>
        <w:rPr>
          <w:rFonts w:ascii="Times New Roman;serif" w:hAnsi="Times New Roman;serif"/>
          <w:b w:val="false"/>
          <w:color w:val="000000"/>
          <w:sz w:val="20"/>
        </w:rPr>
        <w:t>In October 2025, our Board of Directors approved a quarterly dividend of $0.625 per share. Aggregate cash dividends declared were $749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$699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$650 million</w:t>
      </w:r>
      <w:r>
        <w:rPr>
          <w:color w:val="000000"/>
          <w:shd w:fill="FFFFFF" w:val="clear"/>
        </w:rPr>
        <w:t xml:space="preserve"> </w:t>
      </w:r>
      <w:r>
        <w:rPr>
          <w:rFonts w:ascii="Times New Roman;serif" w:hAnsi="Times New Roman;serif"/>
          <w:b w:val="false"/>
          <w:color w:val="000000"/>
          <w:sz w:val="20"/>
          <w:shd w:fill="FFFFFF" w:val="clear"/>
        </w:rPr>
        <w:t xml:space="preserve">for the years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and 2023, respectively. As of December 31, 2025, we recorded a quarterly dividend payable of $193 million to shareholders of record at the close of business on January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14.EARNINGS PER SHARE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attributable to Republic Services, Inc. by the weighted average number of common shares (including vested but unissued restricted stock units and performance stock units) outstanding during the period. Diluted earnings per share is based on the combined weighted average number of common shares and common share equivalents outstanding, which include, where appropriate, the assumed exercise of employee stock options, unvested RSUs and unvested PSUs at the expected attainment levels. We use the treasury stock method in computing diluted earnings per share.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Earnings per share for the years ended 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and 2023</w:t>
      </w:r>
      <w:r>
        <w:rPr>
          <w:color w:val="000000"/>
        </w:rPr>
        <w:t xml:space="preserve"> </w:t>
      </w:r>
      <w:r>
        <w:rPr>
          <w:rFonts w:ascii="Times New Roman;serif" w:hAnsi="Times New Roman;serif"/>
          <w:b w:val="false"/>
          <w:color w:val="000000"/>
          <w:sz w:val="20"/>
        </w:rPr>
        <w:t>are calculated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2048"/>
        <w:gridCol w:w="1780"/>
        <w:gridCol w:w="1788"/>
        <w:gridCol w:w="211"/>
        <w:gridCol w:w="976"/>
        <w:gridCol w:w="109"/>
        <w:gridCol w:w="109"/>
        <w:gridCol w:w="109"/>
        <w:gridCol w:w="109"/>
        <w:gridCol w:w="211"/>
        <w:gridCol w:w="976"/>
        <w:gridCol w:w="109"/>
        <w:gridCol w:w="109"/>
        <w:gridCol w:w="109"/>
        <w:gridCol w:w="109"/>
        <w:gridCol w:w="211"/>
        <w:gridCol w:w="976"/>
        <w:gridCol w:w="156"/>
      </w:tblGrid>
      <w:tr>
        <w:trPr/>
        <w:tc>
          <w:tcPr>
            <w:tcW w:w="2048"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Republic Services,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1,730,985 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316,182 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Republic Services,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1,730,985 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316,182 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PSU awards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and common equivalent shares outstanding</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15. SEGMENT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senior management evaluates, oversees and manages the financial performance of our operations through three field groups, referred to as Group 1, Group 2 and Group 3. Group 1 is our recycling and waste business operating primarily in geographic areas located in the western United States. Group 2 is our recycling and waste business operating primarily in geographic areas located in the southeastern and mid-western United States, the eastern seaboard of the United States, and Canada. Group 3 is our environmental solutions business operating in geographic areas located across the United States and Canada. These groups are presented below as our reportable segments, which each provide integrated environmental services, including but not limited to collection, transfer, recycling and disposal.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generated $188 million, $182 million and $170 million of revenue in Canada for the years ended December 31, 2025, 2024 and 2023, respectively. As of December 31, 2025 and 2024, we had $136 million and $128 million, respectively, of long-lived assets in Canada. The remainder of our revenue and assets were related to our United States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chief operating decision maker (CODM) is Jon Vander Ark, President and Chief Executive Officer of Republic Services, Inc. Adjusted EBITDA is the single financial measure our CODM uses to evaluate segment profitability and returns, which informs resource allocation. For all segments, the CODM uses adjusted EBITDA to evaluate income generated from segment assets (return on invested capital). The CODM considers budget-to-actual variances and year-over-year growth on a monthly basis to assess the performance of each segment. Cost of operations and selling, general and administrative expenses are significant segment expenses used in the evaluation.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100" w:after="283"/>
        <w:jc w:val="center"/>
        <w:rPr/>
      </w:pPr>
      <w:r>
        <w:rPr/>
      </w:r>
    </w:p>
    <w:p>
      <w:pPr>
        <w:pStyle w:val="TextBody"/>
        <w:bidi w:val="0"/>
        <w:spacing w:lineRule="auto" w:line="288" w:before="100" w:after="283"/>
        <w:jc w:val="left"/>
        <w:rPr/>
      </w:pPr>
      <w:r>
        <w:rPr>
          <w:rFonts w:ascii="Times New Roman;serif" w:hAnsi="Times New Roman;serif"/>
          <w:b w:val="false"/>
          <w:color w:val="000000"/>
          <w:sz w:val="20"/>
        </w:rPr>
        <w:t xml:space="preserve">Summarized financial information concerning our reportable segments for the years ended December 31, 2025, 2024 and </w:t>
      </w:r>
      <w:r>
        <w:rPr>
          <w:rFonts w:ascii="Times New Roman;serif" w:hAnsi="Times New Roman;serif"/>
          <w:b w:val="false"/>
          <w:color w:val="000000"/>
          <w:sz w:val="20"/>
          <w:shd w:fill="FFFFFF" w:val="clear"/>
        </w:rPr>
        <w:t>2023</w:t>
      </w:r>
      <w:r>
        <w:rPr>
          <w:color w:val="000000"/>
        </w:rPr>
        <w:t xml:space="preserve"> </w:t>
      </w:r>
      <w:r>
        <w:rPr>
          <w:rFonts w:ascii="Times New Roman;serif" w:hAnsi="Times New Roman;serif"/>
          <w:b w:val="false"/>
          <w:color w:val="000000"/>
          <w:sz w:val="20"/>
        </w:rPr>
        <w:t>follows:</w:t>
      </w:r>
    </w:p>
    <w:tbl>
      <w:tblPr>
        <w:tblW w:w="10205" w:type="dxa"/>
        <w:jc w:val="left"/>
        <w:tblInd w:w="0" w:type="dxa"/>
        <w:tblLayout w:type="fixed"/>
        <w:tblCellMar>
          <w:top w:w="28" w:type="dxa"/>
          <w:left w:w="28" w:type="dxa"/>
          <w:bottom w:w="28" w:type="dxa"/>
          <w:right w:w="28" w:type="dxa"/>
        </w:tblCellMar>
      </w:tblPr>
      <w:tblGrid>
        <w:gridCol w:w="594"/>
        <w:gridCol w:w="512"/>
        <w:gridCol w:w="476"/>
        <w:gridCol w:w="196"/>
        <w:gridCol w:w="646"/>
        <w:gridCol w:w="109"/>
        <w:gridCol w:w="109"/>
        <w:gridCol w:w="109"/>
        <w:gridCol w:w="109"/>
        <w:gridCol w:w="196"/>
        <w:gridCol w:w="646"/>
        <w:gridCol w:w="109"/>
        <w:gridCol w:w="109"/>
        <w:gridCol w:w="109"/>
        <w:gridCol w:w="109"/>
        <w:gridCol w:w="283"/>
        <w:gridCol w:w="936"/>
        <w:gridCol w:w="157"/>
        <w:gridCol w:w="109"/>
        <w:gridCol w:w="109"/>
        <w:gridCol w:w="109"/>
        <w:gridCol w:w="331"/>
        <w:gridCol w:w="940"/>
        <w:gridCol w:w="185"/>
        <w:gridCol w:w="109"/>
        <w:gridCol w:w="109"/>
        <w:gridCol w:w="109"/>
        <w:gridCol w:w="285"/>
        <w:gridCol w:w="809"/>
        <w:gridCol w:w="158"/>
        <w:gridCol w:w="109"/>
        <w:gridCol w:w="109"/>
        <w:gridCol w:w="109"/>
        <w:gridCol w:w="196"/>
        <w:gridCol w:w="646"/>
        <w:gridCol w:w="160"/>
      </w:tblGrid>
      <w:tr>
        <w:trPr/>
        <w:tc>
          <w:tcPr>
            <w:tcW w:w="59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Recycling &amp; Waste Subtotal</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3</w:t>
              <w:br/>
              <w:t>(Environmental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 entities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
        <w:gridCol w:w="512"/>
        <w:gridCol w:w="476"/>
        <w:gridCol w:w="196"/>
        <w:gridCol w:w="646"/>
        <w:gridCol w:w="109"/>
        <w:gridCol w:w="109"/>
        <w:gridCol w:w="109"/>
        <w:gridCol w:w="109"/>
        <w:gridCol w:w="196"/>
        <w:gridCol w:w="646"/>
        <w:gridCol w:w="109"/>
        <w:gridCol w:w="109"/>
        <w:gridCol w:w="109"/>
        <w:gridCol w:w="109"/>
        <w:gridCol w:w="283"/>
        <w:gridCol w:w="936"/>
        <w:gridCol w:w="157"/>
        <w:gridCol w:w="109"/>
        <w:gridCol w:w="109"/>
        <w:gridCol w:w="109"/>
        <w:gridCol w:w="331"/>
        <w:gridCol w:w="940"/>
        <w:gridCol w:w="185"/>
        <w:gridCol w:w="109"/>
        <w:gridCol w:w="109"/>
        <w:gridCol w:w="109"/>
        <w:gridCol w:w="285"/>
        <w:gridCol w:w="809"/>
        <w:gridCol w:w="158"/>
        <w:gridCol w:w="109"/>
        <w:gridCol w:w="109"/>
        <w:gridCol w:w="109"/>
        <w:gridCol w:w="196"/>
        <w:gridCol w:w="646"/>
        <w:gridCol w:w="160"/>
      </w:tblGrid>
      <w:tr>
        <w:trPr/>
        <w:tc>
          <w:tcPr>
            <w:tcW w:w="59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Recycling &amp; Waste Subtotal</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3</w:t>
              <w:br/>
              <w:t>(Environmental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 entities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
        <w:gridCol w:w="512"/>
        <w:gridCol w:w="476"/>
        <w:gridCol w:w="196"/>
        <w:gridCol w:w="646"/>
        <w:gridCol w:w="109"/>
        <w:gridCol w:w="109"/>
        <w:gridCol w:w="109"/>
        <w:gridCol w:w="109"/>
        <w:gridCol w:w="196"/>
        <w:gridCol w:w="646"/>
        <w:gridCol w:w="109"/>
        <w:gridCol w:w="109"/>
        <w:gridCol w:w="109"/>
        <w:gridCol w:w="109"/>
        <w:gridCol w:w="283"/>
        <w:gridCol w:w="936"/>
        <w:gridCol w:w="157"/>
        <w:gridCol w:w="109"/>
        <w:gridCol w:w="109"/>
        <w:gridCol w:w="109"/>
        <w:gridCol w:w="331"/>
        <w:gridCol w:w="940"/>
        <w:gridCol w:w="185"/>
        <w:gridCol w:w="109"/>
        <w:gridCol w:w="109"/>
        <w:gridCol w:w="109"/>
        <w:gridCol w:w="285"/>
        <w:gridCol w:w="809"/>
        <w:gridCol w:w="158"/>
        <w:gridCol w:w="109"/>
        <w:gridCol w:w="109"/>
        <w:gridCol w:w="109"/>
        <w:gridCol w:w="196"/>
        <w:gridCol w:w="646"/>
        <w:gridCol w:w="160"/>
      </w:tblGrid>
      <w:tr>
        <w:trPr/>
        <w:tc>
          <w:tcPr>
            <w:tcW w:w="59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Recycling &amp; Waste Subtotal</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3</w:t>
              <w:br/>
              <w:t>(Environmental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 entities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2023</w:t>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3"/>
        </w:rPr>
      </w:pPr>
      <w:r>
        <w:rPr>
          <w:rFonts w:ascii="Times New Roman;serif" w:hAnsi="Times New Roman;serif"/>
          <w:b w:val="false"/>
          <w:color w:val="000000"/>
          <w:sz w:val="13"/>
        </w:rPr>
        <w:t>(1) The Recycling &amp; Waste Subtotal represents the combined results of our Group 1 and Group 2 reportable segments.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entities and other includes marketing, operations support, business development, legal, tax, treasury, information technology, risk management, human resources and other administrative functions. National Accounts revenue included in Corporate entities and other represents the portion of revenue generated from nationwide and regional contracts in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100" w:after="283"/>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outside our operating areas where the associated material handling is subcontracted to local operators. Revenue and overhead costs of Corporate entities and other are either specifically assigned or allocated on a rational and consistent basis among our reportable segments to calculate adjusted EBITDA.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Intercompany revenue reflects transactions within and between segments. Capital expenditures for Corporate entities and other for the year ended December 31, 2025 largely included investments in our digital platforms and our third Polymer Center. Capital expenditures for Corporate entities and other for the years ended December 31, 2024 and December 31, 2023 primarily included vehicle inventory acquired but not yet assigned to operating locations and facilities.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presented in the tables above, adjusted EBITDA reflects certain adjustments for loss from unconsolidated equity method investments, adjustments to withdrawal liability for multiemployer pension funds, restructuring charges, gain on certain divestitures and impairments, net, loss on extinguishment of debt and other related costs, and labor disruption. This presentation is consistent with how our CODM reviews our results of operations to make resource allocation decisions.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 during the year ended December 31, 2025, consist of the impact from labor disruptions that we experienced in certain isolated markets. Other segment items during the year ended December 31, 2024, consist of a gain on the sale of a transfer station facility. Other segment items during the year ended December 31, 2023, consist of US Ecology, Inc. acquisition integration and deal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reconciliation of the Company's single measure of segment profitability (segment adjusted EBITDA) to income before income taxes in the Consolidated Statements of Net Income is as follows:</w:t>
      </w:r>
    </w:p>
    <w:tbl>
      <w:tblPr>
        <w:tblW w:w="8589" w:type="dxa"/>
        <w:jc w:val="left"/>
        <w:tblInd w:w="0" w:type="dxa"/>
        <w:tblLayout w:type="fixed"/>
        <w:tblCellMar>
          <w:top w:w="28" w:type="dxa"/>
          <w:left w:w="28" w:type="dxa"/>
          <w:bottom w:w="28" w:type="dxa"/>
          <w:right w:w="28" w:type="dxa"/>
        </w:tblCellMar>
      </w:tblPr>
      <w:tblGrid>
        <w:gridCol w:w="1804"/>
        <w:gridCol w:w="1581"/>
        <w:gridCol w:w="1595"/>
        <w:gridCol w:w="196"/>
        <w:gridCol w:w="556"/>
        <w:gridCol w:w="109"/>
        <w:gridCol w:w="109"/>
        <w:gridCol w:w="109"/>
        <w:gridCol w:w="109"/>
        <w:gridCol w:w="196"/>
        <w:gridCol w:w="556"/>
        <w:gridCol w:w="109"/>
        <w:gridCol w:w="109"/>
        <w:gridCol w:w="109"/>
        <w:gridCol w:w="109"/>
        <w:gridCol w:w="196"/>
        <w:gridCol w:w="556"/>
        <w:gridCol w:w="109"/>
        <w:gridCol w:w="109"/>
        <w:gridCol w:w="109"/>
        <w:gridCol w:w="154"/>
      </w:tblGrid>
      <w:tr>
        <w:trPr/>
        <w:tc>
          <w:tcPr>
            <w:tcW w:w="1804"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Group 1 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Group 2 Adjusted EBITDA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Group 3 Adjusted EBITDA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Adjusted EBITDA</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unconsolidated equity method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withdrawal liability for multiemployer pension funds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certain divestitures and impairments,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Ecology, Inc. acquisition integration and deal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 and other related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disruption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100" w:after="283"/>
        <w:jc w:val="center"/>
        <w:rPr/>
      </w:pPr>
      <w:r>
        <w:rPr/>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16.REVENUE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operations primarily consist of providing environmental services. The following table disaggregates our revenue by service line for the years ended December 31 (in millions of dollars and as a percentage of revenue):</w:t>
      </w:r>
    </w:p>
    <w:tbl>
      <w:tblPr>
        <w:tblW w:w="10205" w:type="dxa"/>
        <w:jc w:val="left"/>
        <w:tblInd w:w="0" w:type="dxa"/>
        <w:tblLayout w:type="fixed"/>
        <w:tblCellMar>
          <w:top w:w="28" w:type="dxa"/>
          <w:left w:w="28" w:type="dxa"/>
          <w:bottom w:w="28" w:type="dxa"/>
          <w:right w:w="28" w:type="dxa"/>
        </w:tblCellMar>
      </w:tblPr>
      <w:tblGrid>
        <w:gridCol w:w="991"/>
        <w:gridCol w:w="869"/>
        <w:gridCol w:w="880"/>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317"/>
      </w:tblGrid>
      <w:tr>
        <w:trPr/>
        <w:tc>
          <w:tcPr>
            <w:tcW w:w="99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Small-container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Large-container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collection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intercompany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intercompany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solutions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intercompany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solutions,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Recycling processing and commodity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non-core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non-core revenue consists primarily of revenue from National Accounts, which represents the portion of revenue generated from nationwide or regional contracts in markets outside our operating areas where the associated material handling is subcontracted to local operators. Consequently, substantially all of this revenue is offset with related subcontract costs, which are recorded in cost of operations.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Intercompany revenue reflects transactions within and between lines of business.</w:t>
      </w:r>
    </w:p>
    <w:p>
      <w:pPr>
        <w:pStyle w:val="TextBody"/>
        <w:bidi w:val="0"/>
        <w:spacing w:lineRule="auto" w:line="288" w:before="100" w:after="283"/>
        <w:jc w:val="left"/>
        <w:rPr/>
      </w:pPr>
      <w:r>
        <w:rPr>
          <w:rFonts w:ascii="Times New Roman;serif" w:hAnsi="Times New Roman;serif"/>
          <w:b w:val="false"/>
          <w:color w:val="000000"/>
          <w:sz w:val="20"/>
        </w:rPr>
        <w:t xml:space="preserve">See Note 15, </w:t>
      </w:r>
      <w:r>
        <w:rPr>
          <w:rFonts w:ascii="Times New Roman;serif" w:hAnsi="Times New Roman;serif"/>
          <w:b w:val="false"/>
          <w:i/>
          <w:color w:val="000000"/>
          <w:sz w:val="20"/>
        </w:rPr>
        <w:t>Segment Reporting</w:t>
      </w:r>
      <w:r>
        <w:rPr>
          <w:rFonts w:ascii="Times New Roman;serif" w:hAnsi="Times New Roman;serif"/>
          <w:b w:val="false"/>
          <w:color w:val="000000"/>
          <w:sz w:val="20"/>
        </w:rPr>
        <w:t xml:space="preserve">, for additional information regarding revenue by reportable segment.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Revenue by Service Line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Collection Services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collection business involves the collection of material for transport to transfer stations, or directly to landfills or recycling centers. Our collection services business includes both recurring and temporary customer relationships. Our standard contract duration is three years, although some of our exclusive franchises are for significantly longer periods. The fees received for collection services are based primarily on the market, collection frequency, type of service, type and volume or weight of the material collected, the distance to the disposal facility and the cost of disposal.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general, small-container and residential collection fees are billed monthly or quarterly in advance. Our large-container customers are typically billed on a monthly basis based on the nature of the services provided during the period.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recognized under these collection services agreements is variable in nature based on the number of residential homes or businesses serviced during the period, the frequency of collection and the volume of material collected. In addition, certain of our contracts have annual price escalation clauses that are tied to changes in an underlying base index such as a consumer price index which are unknown at contract inception.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Transfer Services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at our transfer stations is primarily generated by charging tipping or disposal fees. The fees received for transfer services are based primarily on the market, type and volume or weight of the material accepted, the distance to the disposal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100" w:after="283"/>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facility and the cost of disposal. In general, fees are billed and revenue is recognized at the time the service is performed. Revenue recognized under these transfer services agreements is variable in nature based on the volume and nature of the material accepted at the transfer station.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Landfill Services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at our landfills is primarily generated by charging tipping fees to third parties based on the volume disposed and the nature of the waste. In general, fees are variable in nature and revenue is recognized at the time the waste is disposed at the facility.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Environmental Solutions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Environmental solutions revenue is primarily generated from the fees we charge for the collection, treatment, consolidation, disposal and recycling of hazardous and non-hazardous waste, field and industrial services, equipment rental, emergency response and standby services and in-plant services, such as transportation and logistics, including at our treatment, storage and disposal facilities (TSDF). Activity for this service line varies across markets and reflects the regulatory environment, pricing and disposal alternatives available in any given market. Revenue recognized under these environmental solutions agreements is variable in nature and primarily based on the volume and type of waste accepted or processed during the period. For certain field and industrial services contracts, we have a right to consideration from our customers in an amount that corresponds directly with the value to the customer of the Company's performance completed to date. Therefore, we have applied the practical expedient to recognize revenue in the amount to which we have the right to invoice.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Recycling Processing and Commodity Sales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recycling centers generate revenue through the processing and sale of old corrugated cardboard (OCC), old newsprint (ONP), aluminum, glass, plastic and other materials at market prices. In certain instances, we issue recycling rebates to our municipal or large-container customers, which can be based on the price we receive upon the final sale of recycled commodities, a fixed contractual rate or other measures. We also receive rebates when we dispose of recycled commodities at third-party facilities. The fees received are based primarily on the market, type and volume or weight of the materials sold. In general, fees are billed and revenue is recognized at the time title is transferred. Revenue recognized under these recycling processing and commodity sales agreements is variable in nature based on the volume and type of materials sold. In addition, the amount of revenue recognized is based on commodity prices at the time of sale, which are unknown at contract inception.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service obligations of a long-term nature, e.g., certain collection service contracts, are satisfied over time, and we recognize revenue based on the value provided to the customer during the period. The amount billed to the customer is based on variable elements such as the number of residential homes or businesses for which collection services are provided, the volume of material collected, treated, transported and disposed, and the nature of the material accepted.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Additionally, certain elements of our long-term customer contracts are unknown upon entering into the contract, including the amount that will be billed in accordance with annual price escalation clauses, our fuel recovery fee program and commodity prices. The amount to be billed is often tied to changes in an underlying base index such as a consumer price index or a fuel or commodity index, and revenue can be recognized once the index is established for the period.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Deferred Revenue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factors that impact the timing and amount of revenue recognized for each service line may vary based on the nature of the service performed. Generally, we recognize revenue at the time we perform a service. In the event that we bill for services in advance of performance, we recognize deferred revenue for the amount billed and subsequently recognize revenue at the time the service is provided. Depending on the nature of the contract, we may also generate revenue through the collection of fuel recovery fees and environmental fees which are designed to recover our internal costs of providing services to our customers.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Substantially all of the deferred revenue recognized as of December 31, 2024 was recognized as revenue during 2025 when the service was performed.</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Deferred Contract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incur certain upfront payments to acquire customer contracts which are recognized as other assets in our consolidated balance sheet, and we amortize the asset over the respective contract life. In addition, we recognize sales commissions that represent an incremental cost of the contract as other assets in our consolidated balance sheet, and we amortize the asset 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100" w:after="283"/>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average life of the customer relationship. As of December 31, 2025 and 2024, we recognized $81 million and $82 million, respectively, of deferred contract costs and capitalized sales commissions.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17. FINANCIAL INSTRUMENTS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measuring fair values of assets and liabilities, we use valuation techniques that maximize the use of observable inputs (Level 1) and minimize the use of unobservable inputs (Level 3). We also use market data or assumptions that we believe market participants would use in pricing an asset or liability, including assumptions about risk when appropriate.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carrying value for certain of our financial instruments, including cash, accounts receivable, accounts payable and certain other accrued liabilities, approximates fair value because of their short-term nature.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our assets and liabilities that are measured at fair value on a recurring basis include the following:</w:t>
      </w:r>
    </w:p>
    <w:tbl>
      <w:tblPr>
        <w:tblW w:w="10205" w:type="dxa"/>
        <w:jc w:val="left"/>
        <w:tblInd w:w="0" w:type="dxa"/>
        <w:tblLayout w:type="fixed"/>
        <w:tblCellMar>
          <w:top w:w="28" w:type="dxa"/>
          <w:left w:w="28" w:type="dxa"/>
          <w:bottom w:w="28" w:type="dxa"/>
          <w:right w:w="28" w:type="dxa"/>
        </w:tblCellMar>
      </w:tblPr>
      <w:tblGrid>
        <w:gridCol w:w="1578"/>
        <w:gridCol w:w="1327"/>
        <w:gridCol w:w="1352"/>
        <w:gridCol w:w="300"/>
        <w:gridCol w:w="646"/>
        <w:gridCol w:w="169"/>
        <w:gridCol w:w="109"/>
        <w:gridCol w:w="109"/>
        <w:gridCol w:w="109"/>
        <w:gridCol w:w="196"/>
        <w:gridCol w:w="421"/>
        <w:gridCol w:w="109"/>
        <w:gridCol w:w="109"/>
        <w:gridCol w:w="109"/>
        <w:gridCol w:w="109"/>
        <w:gridCol w:w="202"/>
        <w:gridCol w:w="421"/>
        <w:gridCol w:w="114"/>
        <w:gridCol w:w="109"/>
        <w:gridCol w:w="109"/>
        <w:gridCol w:w="109"/>
        <w:gridCol w:w="247"/>
        <w:gridCol w:w="531"/>
        <w:gridCol w:w="138"/>
        <w:gridCol w:w="109"/>
        <w:gridCol w:w="109"/>
        <w:gridCol w:w="109"/>
        <w:gridCol w:w="295"/>
        <w:gridCol w:w="612"/>
        <w:gridCol w:w="239"/>
      </w:tblGrid>
      <w:tr>
        <w:trPr/>
        <w:tc>
          <w:tcPr>
            <w:tcW w:w="157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w:t>
            </w:r>
          </w:p>
        </w:tc>
      </w:tr>
      <w:tr>
        <w:trPr/>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Quoted</w:t>
              <w:br/>
              <w:t>Prices in</w:t>
              <w:br/>
              <w:t>Active</w:t>
              <w:br/>
              <w:t>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w:t>
              <w:br/>
              <w:t>Unobservable</w:t>
              <w:br/>
              <w:t>Inputs</w:t>
              <w:br/>
              <w:t>(Level 3)</w:t>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mutual funds - restricted cash and marketable securities and other assets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Bonds and fixed income - restricted cash and marketable securities and other assets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and hedging assets - other assets, prepaid expenses and other current assets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and hedging liabilities - other accrued liabilities and other long-term liabilities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 other accrued liabilities and other long-term liabilities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100" w:after="283"/>
        <w:jc w:val="center"/>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78"/>
        <w:gridCol w:w="1327"/>
        <w:gridCol w:w="1352"/>
        <w:gridCol w:w="300"/>
        <w:gridCol w:w="646"/>
        <w:gridCol w:w="169"/>
        <w:gridCol w:w="109"/>
        <w:gridCol w:w="109"/>
        <w:gridCol w:w="109"/>
        <w:gridCol w:w="196"/>
        <w:gridCol w:w="421"/>
        <w:gridCol w:w="109"/>
        <w:gridCol w:w="109"/>
        <w:gridCol w:w="109"/>
        <w:gridCol w:w="109"/>
        <w:gridCol w:w="202"/>
        <w:gridCol w:w="421"/>
        <w:gridCol w:w="114"/>
        <w:gridCol w:w="109"/>
        <w:gridCol w:w="109"/>
        <w:gridCol w:w="109"/>
        <w:gridCol w:w="247"/>
        <w:gridCol w:w="531"/>
        <w:gridCol w:w="138"/>
        <w:gridCol w:w="109"/>
        <w:gridCol w:w="109"/>
        <w:gridCol w:w="109"/>
        <w:gridCol w:w="295"/>
        <w:gridCol w:w="612"/>
        <w:gridCol w:w="239"/>
      </w:tblGrid>
      <w:tr>
        <w:trPr/>
        <w:tc>
          <w:tcPr>
            <w:tcW w:w="157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w:t>
            </w:r>
          </w:p>
        </w:tc>
      </w:tr>
      <w:tr>
        <w:trPr/>
        <w:tc>
          <w:tcPr>
            <w:tcW w:w="4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Quoted</w:t>
              <w:br/>
              <w:t>Prices in</w:t>
              <w:br/>
              <w:t>Active</w:t>
              <w:br/>
              <w:t>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w:t>
              <w:br/>
              <w:t>Unobservable</w:t>
              <w:br/>
              <w:t>Inputs</w:t>
              <w:br/>
              <w:t>(Level 3)</w:t>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mutual funds - restricted cash and marketable securities and other assets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Bonds and fixed income - restricted cash and marketable securities and other assets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and hedging assets - other assets, prepaid expenses and other current assets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and hedging liabilities - other accrued liabilities and other long-term liabilities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 other accrued liabilities and other long-term liabilities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Total Debt</w:t>
      </w:r>
    </w:p>
    <w:p>
      <w:pPr>
        <w:pStyle w:val="TextBody"/>
        <w:bidi w:val="0"/>
        <w:spacing w:lineRule="auto" w:line="288" w:before="100" w:after="283"/>
        <w:jc w:val="left"/>
        <w:rPr/>
      </w:pPr>
      <w:r>
        <w:rPr>
          <w:rFonts w:ascii="Times New Roman;serif" w:hAnsi="Times New Roman;serif"/>
          <w:b w:val="false"/>
          <w:color w:val="000000"/>
          <w:sz w:val="20"/>
        </w:rPr>
        <w:t xml:space="preserve">As of December 31, 2025 and 2024, the carrying value of our total debt was $13.6 billion and $12.7 billion, respectively, and the fair value of our total debt was $13.5 billion and $12.2 billion, respectively. The estimated fair value of our fixed rate senior notes, debentures and certain tax-exempt financings is based on quoted market prices. The fair value of our remaining notes payable, tax-exempt financings and borrowings under our credit facilities approximates the carrying value because the interest rates are variable. The fair value estimates are based on Level 2 inputs of the fair value hierarchy as of December 31, 2025 and 2024. See Note 9, </w:t>
      </w:r>
      <w:r>
        <w:rPr>
          <w:rFonts w:ascii="Times New Roman;serif" w:hAnsi="Times New Roman;serif"/>
          <w:b w:val="false"/>
          <w:i/>
          <w:color w:val="000000"/>
          <w:sz w:val="20"/>
        </w:rPr>
        <w:t>Debt</w:t>
      </w:r>
      <w:r>
        <w:rPr>
          <w:rFonts w:ascii="Times New Roman;serif" w:hAnsi="Times New Roman;serif"/>
          <w:b w:val="false"/>
          <w:color w:val="000000"/>
          <w:sz w:val="20"/>
        </w:rPr>
        <w:t>, for further information related to our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18. COMMITMENTS AND CONTINGENCIES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subject to extensive and evolving laws and regulations and have implemented safeguards to respond to regulatory requirements. In the normal course of our business, we become involved in legal proceedings. Some may result in fines, penalties or judgments against us, or settlements, which may impact earnings and cash flows for a particular period. Although we cannot predict the ultimate outcome of any legal matter with certainty, we do not believe the outcome of any of our pending legal proceedings will have a material adverse impact on our consolidated financial position, results of operations or cash flows.</w:t>
      </w:r>
    </w:p>
    <w:p>
      <w:pPr>
        <w:pStyle w:val="TextBody"/>
        <w:bidi w:val="0"/>
        <w:spacing w:lineRule="auto" w:line="288" w:before="100" w:after="283"/>
        <w:jc w:val="left"/>
        <w:rPr/>
      </w:pPr>
      <w:r>
        <w:rPr>
          <w:rFonts w:ascii="Times New Roman;serif" w:hAnsi="Times New Roman;serif"/>
          <w:b w:val="false"/>
          <w:color w:val="000000"/>
          <w:sz w:val="20"/>
        </w:rPr>
        <w:t xml:space="preserve">As used herein, the term </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color w:val="000000"/>
          <w:sz w:val="20"/>
        </w:rPr>
        <w:t xml:space="preserve">refers to litigation and similar claims against us and our subsidiaries, excluding: (1) ordinary course accidents, general commercial liability and workers' compensation claims, which are covered by insurance programs, subject to customary deductibles, and which, together with insured employee health care costs, are discussed in Note 7, </w:t>
      </w:r>
      <w:r>
        <w:rPr>
          <w:rFonts w:ascii="Times New Roman;serif" w:hAnsi="Times New Roman;serif"/>
          <w:b w:val="false"/>
          <w:i/>
          <w:color w:val="000000"/>
          <w:sz w:val="20"/>
        </w:rPr>
        <w:t>Other Liabilities</w:t>
      </w:r>
      <w:r>
        <w:rPr>
          <w:rFonts w:ascii="Times New Roman;serif" w:hAnsi="Times New Roman;serif"/>
          <w:b w:val="false"/>
          <w:color w:val="000000"/>
          <w:sz w:val="20"/>
        </w:rPr>
        <w:t xml:space="preserve">; and (2) environmental remediation liabilities, which are discussed in Note 8, </w:t>
      </w:r>
      <w:r>
        <w:rPr>
          <w:rFonts w:ascii="Times New Roman;serif" w:hAnsi="Times New Roman;serif"/>
          <w:b w:val="false"/>
          <w:i/>
          <w:color w:val="000000"/>
          <w:sz w:val="20"/>
        </w:rPr>
        <w:t>Landfill and Environmental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accrue for legal proceedings when losses become probable and reasonably estimable. As of the end of each applicable reporting period, we review each of our legal proceedings and, where it is probable that a liability has been incurred, we accrue for all probable and reasonably estimable losses. Where we can reasonably estimate a range of losses we may incur regarding such a matter, we record an accrual for the amount within the range that constitutes our best estimate. If we can reasonably estimate a range but no amount within the range appears to be a better estimate than any other, we use the amount that is the low end of such range. As of December 31, 2025, we estimate that the probable and reasonably estimable outcomes of any such legal proceedings, as well as the aggregate potential liability using reasonably possible high ends of our ranges, are immaterial to the Company's consolidated financial statements.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Multiemployer Pension Plans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participate in multiemployer pension plans that generally provide retirement benefits to participants of contributing employers. We do not administer these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100" w:after="283"/>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current law regarding multiemployer pension plans, our withdrawal (which we consider from time to time) or the mass withdrawal from any under-funded multiemployer pension plan (each, a Withdrawal Event) could require us to make payments to the plan for our proportionate share of the plan’s unfunded vested liabilities. During the course of operating our business, we incur Withdrawal Events regarding certain of the multiemployer pension plans in which we participate. We accrue for such events when losses become probable and reasonably estimable.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Unconditional Purchase Commitments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Royalties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entered into agreements to pay royalties to prior landowners or host communities, based on, among other things, revenue received and waste tonnage disposed at specified landfills. These royalties are generally payable quarterly and amounts incurred, but not paid, are accrued in our consolidated balance sheets. Royalties are accrued as revenue is received or tonnage is disposed of, as applicable, in the landfills.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Disposal Agreements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several agreements that require us to dispose of a minimum number of tons at third-party disposal facilities. Under these put-or-pay agreements, we must pay for agreed-upon minimum volumes regardless of the actual number of tons placed at the facilities.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Our unconditional purchase commitments have varying expiration dates, with some extending through the remaining life of the respective landfill. Future minimum payments under unconditional purchase commitments, consisting primarily of (1) disposal related agreements, which include fixed or minimum royalty payments, host agreements and take-or-pay and put-or-pay agreements, and (2) other obligations including committed capital expenditures and consulting service agreements, as of December 31, 2025 are as follows:</w:t>
      </w:r>
    </w:p>
    <w:tbl>
      <w:tblPr>
        <w:tblW w:w="1777" w:type="dxa"/>
        <w:jc w:val="left"/>
        <w:tblInd w:w="0" w:type="dxa"/>
        <w:tblLayout w:type="fixed"/>
        <w:tblCellMar>
          <w:top w:w="28" w:type="dxa"/>
          <w:left w:w="28" w:type="dxa"/>
          <w:bottom w:w="28" w:type="dxa"/>
          <w:right w:w="28" w:type="dxa"/>
        </w:tblCellMar>
      </w:tblPr>
      <w:tblGrid>
        <w:gridCol w:w="342"/>
        <w:gridCol w:w="300"/>
        <w:gridCol w:w="304"/>
        <w:gridCol w:w="211"/>
        <w:gridCol w:w="46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Cash and Cash Equivalents and Restricted Cash and Marketable Securities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restricted cash equivalents are included with cash and cash equivalents when reconciling the beginning-of-period and end-of-period total amounts shown on the statements of cash flows. Beginning-of-period and end-of-period cash, cash equivalents, restricted cash and restricted cash equivalents as presented in the statements of cash flows are reconciled as follows:</w:t>
      </w:r>
    </w:p>
    <w:tbl>
      <w:tblPr>
        <w:tblW w:w="10205" w:type="dxa"/>
        <w:jc w:val="left"/>
        <w:tblInd w:w="0" w:type="dxa"/>
        <w:tblLayout w:type="fixed"/>
        <w:tblCellMar>
          <w:top w:w="28" w:type="dxa"/>
          <w:left w:w="28" w:type="dxa"/>
          <w:bottom w:w="28" w:type="dxa"/>
          <w:right w:w="28" w:type="dxa"/>
        </w:tblCellMar>
      </w:tblPr>
      <w:tblGrid>
        <w:gridCol w:w="1698"/>
        <w:gridCol w:w="1482"/>
        <w:gridCol w:w="1490"/>
        <w:gridCol w:w="109"/>
        <w:gridCol w:w="109"/>
        <w:gridCol w:w="109"/>
        <w:gridCol w:w="401"/>
        <w:gridCol w:w="891"/>
        <w:gridCol w:w="209"/>
        <w:gridCol w:w="109"/>
        <w:gridCol w:w="109"/>
        <w:gridCol w:w="109"/>
        <w:gridCol w:w="401"/>
        <w:gridCol w:w="891"/>
        <w:gridCol w:w="209"/>
        <w:gridCol w:w="109"/>
        <w:gridCol w:w="109"/>
        <w:gridCol w:w="109"/>
        <w:gridCol w:w="393"/>
        <w:gridCol w:w="866"/>
        <w:gridCol w:w="293"/>
      </w:tblGrid>
      <w:tr>
        <w:trPr/>
        <w:tc>
          <w:tcPr>
            <w:tcW w:w="169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2023</w:t>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restricted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29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restricted cash and restricted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restricted cash and marketable securities includes amounts pledged to regulatory agencies and governmental entities as financial guarantees of our performance under certain collection, landfill and transfer station contracts and permits and relating to our final capping, closure and post-closure obligations at our landfills and restricted cash and marketable securities related to our insurance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100" w:after="283"/>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restricted cash and marketable securities as of December 31:</w:t>
      </w:r>
    </w:p>
    <w:tbl>
      <w:tblPr>
        <w:tblW w:w="5799" w:type="dxa"/>
        <w:jc w:val="left"/>
        <w:tblInd w:w="0" w:type="dxa"/>
        <w:tblLayout w:type="fixed"/>
        <w:tblCellMar>
          <w:top w:w="28" w:type="dxa"/>
          <w:left w:w="28" w:type="dxa"/>
          <w:bottom w:w="28" w:type="dxa"/>
          <w:right w:w="28" w:type="dxa"/>
        </w:tblCellMar>
      </w:tblPr>
      <w:tblGrid>
        <w:gridCol w:w="1395"/>
        <w:gridCol w:w="1228"/>
        <w:gridCol w:w="1232"/>
        <w:gridCol w:w="211"/>
        <w:gridCol w:w="466"/>
        <w:gridCol w:w="109"/>
        <w:gridCol w:w="109"/>
        <w:gridCol w:w="109"/>
        <w:gridCol w:w="109"/>
        <w:gridCol w:w="211"/>
        <w:gridCol w:w="466"/>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Capping, closure and post-closure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restricted cash and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must provide financial assurance to governmental agencies and a variety of other entities under applicable environmental regulations relating to our landfill operations for capping, closure and post-closure costs and our performance under certain collection, landfill and transfer station contracts. We satisfy our financial assurance requirements by providing surety bonds, letters of credit, insurance policies or trust deposits. The amount of the financial assurance requirements for capping, closure and post-closure costs is determined by applicable state environmental regulations, which vary by state. The financial assurance requirements for capping, closure and post-closure costs can either be for costs associated with a portion of the landfill or the entire landfill. Generally, states will require a third-party engineering specialist to determine the estimated capping, closure and post-closure costs that are used to determine the required amount of financial assurance for a landfill. The amount of financial assurance required can, and generally will, differ from the obligation determined and recorded under U.S. GAAP. The amount of the financial assurance requirements related to contract performance varies by contract. Additionally, we are required to provide financial assurance for our insurance program and collateral for certain performance obligations.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had the following financial instruments and collateral in place to secure our financial assurances as of December 31:</w:t>
      </w:r>
    </w:p>
    <w:tbl>
      <w:tblPr>
        <w:tblW w:w="3638" w:type="dxa"/>
        <w:jc w:val="left"/>
        <w:tblInd w:w="0" w:type="dxa"/>
        <w:tblLayout w:type="fixed"/>
        <w:tblCellMar>
          <w:top w:w="28" w:type="dxa"/>
          <w:left w:w="28" w:type="dxa"/>
          <w:bottom w:w="28" w:type="dxa"/>
          <w:right w:w="28" w:type="dxa"/>
        </w:tblCellMar>
      </w:tblPr>
      <w:tblGrid>
        <w:gridCol w:w="505"/>
        <w:gridCol w:w="443"/>
        <w:gridCol w:w="446"/>
        <w:gridCol w:w="211"/>
        <w:gridCol w:w="616"/>
        <w:gridCol w:w="109"/>
        <w:gridCol w:w="109"/>
        <w:gridCol w:w="109"/>
        <w:gridCol w:w="109"/>
        <w:gridCol w:w="211"/>
        <w:gridCol w:w="616"/>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Surety bonds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had $319 million and $317 million of letters of credit outstanding under our Credit Facility as of December 31, 2025 and 2024, respectively. Surety bonds subject to expiration will expire on various dates through 2033.</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financial instruments are issued in the normal course of business and are not classified as debt. Because we currently have no liability for this financial assurance, it is not reflected in our consolidated balance sheets. However, we have recorded capping, closure and post-closure obligations and insurance reserves as they are incurred.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own a 19.9% interest in a company that, among other activities, issues financial surety bonds to secure capping, closure and post-closure obligations for companies operating in the environmental services industry. We account for this investment using an alternative measurement approach. There have been no identified events or changes in circumstances that may have a significant adverse effect on the recoverability of this investment. This investee company and the parent company of the investee had written surety bonds for us relating primarily to our landfill operations for capping, closure and post-closure, of which $2.0 billion were outstanding as of December 31, 2025. Our reimbursement obligations under these bonds are secured by an indemnity agreement with the investee.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no off-balance sheet debt or similar obligations, other than short-term operating leases and financial assurances, which are not classified as debt. We have no transactions or obligations with related parties that are not disclosed, consolidated into or reflected in our reported financial position or results of operations. We have not guaranteed any third-party debt.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Guarantees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enter into contracts in the normal course of business that include indemnification clauses. Indemnifications relating to known liabilities are recorded in the consolidated financial statements based on our best estimate of required future payments. Certain of these indemnifications relate to contingent events or occurrences, such as the imposition of additional taxes due to a change in the tax law or adverse interpretation of the tax law and indemnifications made in divestiture agreements where we indemnify the buyer for liabilities that relate to our activities prior to the divestiture and that may become known in the future. We do not believe that these contingent obligations will have a material effect on our consolidated financial position, results of operations or cash flows.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entered into agreements with property owners to guarantee the value of property that is adjacent to certain of our landfills. These agreements have varying terms. We do not believe that these contingent obligations will have a material effect on our consolidated financial position,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100" w:after="283"/>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business activities are conducted in the context of a developing and changing statutory and regulatory framework. Governmental regulation of the environmental services industry requires us to obtain and retain numerous governmental permits to conduct various aspects of our operations. These permits are subject to revocation, modification or denial. The costs and other capital expenditures that may be required to obtain or retain the applicable permits or comply with applicable regulations could be significant. Any revocation, modification or denial of permits could have a material adverse effect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9.CHANGES IN AND DISAGREEMENTS WITH ACCOUNTANTS ON ACCOUNTING AND FINANCIAL DISCLOSURE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pPr>
      <w:r>
        <w:rPr>
          <w:rFonts w:ascii="Times New Roman;serif" w:hAnsi="Times New Roman;serif"/>
          <w:b/>
          <w:color w:val="000000"/>
          <w:sz w:val="20"/>
        </w:rPr>
        <w:t>ITEM 9A.</w:t>
      </w:r>
      <w:r>
        <w:rPr>
          <w:color w:val="000000"/>
        </w:rPr>
        <w:t xml:space="preserve"> </w:t>
      </w:r>
      <w:r>
        <w:rPr>
          <w:rFonts w:ascii="Times New Roman;serif" w:hAnsi="Times New Roman;serif"/>
          <w:b/>
          <w:color w:val="000000"/>
          <w:sz w:val="20"/>
        </w:rPr>
        <w:t>CONTROLS AND PROCEDURES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REPORT OF MANAGEMENT ON REPUBLIC SERVICES, INC.’S INTERNAL CONTROL OVER FINANCIAL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as members of management of Republic Services, Inc., are responsible for establishing and maintaining adequate internal control over financial reporting, as such term is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(1) pertain to the maintenance of records that, in reasonable detail, accurately and fairly reflect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conditions, or that the degree of compliance with the policies and procedures may deteriorate.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under the supervision of and with the participation of our management, including the Chief Executive Officer, Chief Financial Officer and Chief Accounting Officer, assessed the effectiveness of our internal control over financial reporting as of December 31, 2025, based on criteria for effective internal control over financial reporting described in Internal Control — Integrated Framework (2013) issued by the Committee of Sponsoring Organizations of the Treadway Commission. Based on this assessment, we concluded that we maintained effective internal control over financial reporting as of December 31, 2025, based on the specified criteria.</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internal control over financial reporting has been audited by Ernst &amp; Young LLP, an independent registered public accounting firm, as stated in their attestation report which is included herein.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our management, including our Chief Executive Officer and Chief Financial Officer, of the effectiveness of our disclosure controls and procedures (as defined in Exchange Act Rules 13a-15(e) and 15d-15(e)) as of the end of the period covered by this Annual Report. Based upon that evaluation, our Chief Executive Officer and Chief Financial Officer concluded that our disclosure controls and procedures were effective as of the end of the period covered by this Annual Report.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Based on an evaluation, under the supervision and with the participation of our management, including our Chief Executive Officer and Chief Financial Officer, there has been no change in our internal control over financial reporting during the quarter ended December 31, 2025 identified in connection with that evaluation,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ind w:left="0" w:right="0" w:hanging="900"/>
        <w:jc w:val="left"/>
        <w:rPr/>
      </w:pPr>
      <w:r>
        <w:rPr>
          <w:rFonts w:ascii="Times New Roman;serif" w:hAnsi="Times New Roman;serif"/>
          <w:b/>
          <w:color w:val="000000"/>
          <w:sz w:val="20"/>
        </w:rPr>
        <w:t>ITEM 9B.</w:t>
      </w:r>
      <w:r>
        <w:rPr>
          <w:color w:val="000000"/>
        </w:rPr>
        <w:t xml:space="preserve"> </w:t>
      </w:r>
      <w:r>
        <w:rPr>
          <w:rFonts w:ascii="Times New Roman;serif" w:hAnsi="Times New Roman;serif"/>
          <w:b/>
          <w:color w:val="000000"/>
          <w:sz w:val="20"/>
        </w:rPr>
        <w:t>OTHER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no director or officer adopted or terminated any contract, instrument or written plan for the purchase or sale of Republic securities intended to satisfy the affirmative defense conditions of Rule 10b5-1(c) under the Exchange Act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10.DIRECTORS, EXECUTIVE OFFICERS AND CORPORATE GOVERNANCE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is incorporated by reference to the material appearing under the headings Proposal 1 - Election of Directors, Biographical Information Regarding Director Nominees, Board of Directors and Corporate Governance Matters, Delinquent Section 16(a) Reports and Executive Officers in the Proxy Statement for the 2026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11.EXECUTIVE COMPENSATION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is incorporated by reference to the material appearing under the headings Executive Compensation and Director Compensation in the Proxy Statement for the 2026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12.SECURITY OWNERSHIP OF CERTAIN BENEFICIAL OWNERS AND MANAGEMENT AND RELATED STOCKHOLDER MATTERS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is incorporated by reference to the material appearing under the headings Security Ownership of Five Percent Shareholders and Security Ownership of the Board of Directors and Management in the Proxy Statement for the 2026 Annual Meeting of Shareholders.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equity compensation plans as of December 31, 2025 (number of securities in millions):</w:t>
      </w:r>
    </w:p>
    <w:tbl>
      <w:tblPr>
        <w:tblW w:w="9070" w:type="dxa"/>
        <w:jc w:val="left"/>
        <w:tblInd w:w="0" w:type="dxa"/>
        <w:tblLayout w:type="fixed"/>
        <w:tblCellMar>
          <w:top w:w="28" w:type="dxa"/>
          <w:left w:w="28" w:type="dxa"/>
          <w:bottom w:w="28" w:type="dxa"/>
          <w:right w:w="28" w:type="dxa"/>
        </w:tblCellMar>
      </w:tblPr>
      <w:tblGrid>
        <w:gridCol w:w="1590"/>
        <w:gridCol w:w="1399"/>
        <w:gridCol w:w="1406"/>
        <w:gridCol w:w="354"/>
        <w:gridCol w:w="354"/>
        <w:gridCol w:w="356"/>
        <w:gridCol w:w="109"/>
        <w:gridCol w:w="109"/>
        <w:gridCol w:w="109"/>
        <w:gridCol w:w="293"/>
        <w:gridCol w:w="968"/>
        <w:gridCol w:w="165"/>
        <w:gridCol w:w="109"/>
        <w:gridCol w:w="109"/>
        <w:gridCol w:w="109"/>
        <w:gridCol w:w="448"/>
        <w:gridCol w:w="448"/>
        <w:gridCol w:w="635"/>
      </w:tblGrid>
      <w:tr>
        <w:trPr/>
        <w:tc>
          <w:tcPr>
            <w:tcW w:w="1590"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Plan Category</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Number of</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 be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Issued Upon</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Exercise of</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Outstanding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Options</w:t>
            </w:r>
          </w:p>
          <w:p>
            <w:pPr>
              <w:pStyle w:val="TableContents"/>
              <w:bidi w:val="0"/>
              <w:spacing w:lineRule="auto" w:line="240" w:before="0" w:after="0"/>
              <w:jc w:val="center"/>
              <w:rPr/>
            </w:pPr>
            <w:r>
              <w:rPr>
                <w:rFonts w:ascii="Times New Roman;serif" w:hAnsi="Times New Roman;serif"/>
                <w:b w:val="false"/>
                <w:color w:val="000000"/>
                <w:sz w:val="18"/>
              </w:rPr>
              <w:t xml:space="preserve">and Rights </w:t>
            </w:r>
            <w:r>
              <w:rPr>
                <w:rFonts w:ascii="Times New Roman;serif" w:hAnsi="Times New Roman;serif"/>
                <w:b w:val="false"/>
                <w:color w:val="000000"/>
                <w:sz w:val="1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Weighted Average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Exercise Price of</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Outstanding</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Options</w:t>
            </w:r>
          </w:p>
          <w:p>
            <w:pPr>
              <w:pStyle w:val="TableContents"/>
              <w:bidi w:val="0"/>
              <w:spacing w:lineRule="auto" w:line="240" w:before="0" w:after="0"/>
              <w:jc w:val="center"/>
              <w:rPr/>
            </w:pPr>
            <w:r>
              <w:rPr>
                <w:rFonts w:ascii="Times New Roman;serif" w:hAnsi="Times New Roman;serif"/>
                <w:b w:val="false"/>
                <w:color w:val="000000"/>
                <w:sz w:val="18"/>
              </w:rPr>
              <w:t>and Rights</w:t>
            </w:r>
            <w:r>
              <w:rPr>
                <w:color w:val="000000"/>
              </w:rPr>
              <w:t xml:space="preserve"> </w:t>
            </w:r>
            <w:r>
              <w:rPr>
                <w:rFonts w:ascii="Times New Roman;serif" w:hAnsi="Times New Roman;serif"/>
                <w:b w:val="false"/>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Number of</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Remaining</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Available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Future Issuance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Under Equity</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Compensation</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Plans (excluding</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reflected in</w:t>
            </w:r>
          </w:p>
          <w:p>
            <w:pPr>
              <w:pStyle w:val="TableContents"/>
              <w:bidi w:val="0"/>
              <w:spacing w:lineRule="auto" w:line="240" w:before="0" w:after="0"/>
              <w:jc w:val="center"/>
              <w:rPr/>
            </w:pPr>
            <w:r>
              <w:rPr>
                <w:rFonts w:ascii="Times New Roman;serif" w:hAnsi="Times New Roman;serif"/>
                <w:b w:val="false"/>
                <w:color w:val="000000"/>
                <w:sz w:val="18"/>
              </w:rPr>
              <w:t>the first column) </w:t>
            </w:r>
            <w:r>
              <w:rPr>
                <w:rFonts w:ascii="Times New Roman;serif" w:hAnsi="Times New Roman;serif"/>
                <w:b w:val="false"/>
                <w:color w:val="000000"/>
                <w:sz w:val="12"/>
              </w:rPr>
              <w:t>(d)</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Equity compensation plans approved by security holders </w:t>
            </w:r>
            <w:r>
              <w:rPr>
                <w:rFonts w:ascii="Times New Roman;serif" w:hAnsi="Times New Roman;serif"/>
                <w:b w:val="false"/>
                <w:color w:val="000000"/>
                <w:sz w:val="12"/>
              </w:rPr>
              <w:t>(a)</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compensation plans not approved by security holders</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color w:val="000000"/>
        </w:rPr>
      </w:pPr>
      <w:r>
        <w:rPr>
          <w:color w:val="000000"/>
        </w:rPr>
        <w:t> </w:t>
      </w:r>
      <w:r>
        <w:rPr>
          <w:rFonts w:ascii="Times New Roman;serif" w:hAnsi="Times New Roman;serif"/>
          <w:b w:val="false"/>
          <w:color w:val="000000"/>
          <w:sz w:val="20"/>
        </w:rPr>
        <w:t>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(a)Includes our 2006 Plan, Amended and Restated 2007 Stock Incentive Plan, our 2018 Employee Stock Purchase Plan (ESPP) and our 2021 Stock Incentive Plan.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(b)Includes no stock options as all were exercised in or prior to 2020, approximately 1 million shares underlying restricted stock units, less than 1 million shares underlying performance shares and less than 1 million shares underlying purchase rights that accrue under the ESPP.</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(c)Excludes restricted stock units and performance shares as these awards do not have exercise prices.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(d)The shares remaining available for future issuances include approximately 10 million shares under our 2021 Stock Incentive Plan and approximately 2 million shares under our ESPP. No further awards will be granted under the Amended and Restated 2007 Stock Incentive Plan after December 31, 2020.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13.CERTAIN RELATIONSHIPS AND RELATED TRANSACTIONS, AND DIRECTOR INDEPENDENCE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is incorporated by reference to the material appearing under the headings Board of Directors and Corporate Governance Matters and Certain Relationships and Related Party Transactions in the Proxy Statement for the 2026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14.PRINCIPAL ACCOUNTANT FEES AND SERVICES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is incorporated by reference to the material appearing under the heading Audit and Related Fees in the Proxy Statement for the 2026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0"/>
        </w:rPr>
        <w:t>ITEM 15.</w:t>
      </w:r>
      <w:r>
        <w:rPr>
          <w:rFonts w:ascii="Times New Roman;serif" w:hAnsi="Times New Roman;serif"/>
          <w:b/>
          <w:color w:val="000000"/>
          <w:sz w:val="20"/>
        </w:rPr>
        <w:t>EXHIBITS AND FINANCIAL STATEMENT SCHEDULES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The following documents are filed as part of this report: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1. Financial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set forth under Part II, Item 8 of this Annual Report on Form 10-K.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 Financial Statement Schedules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All schedules are omitted as the required information is not applicable or the information is presented in the consolidated financial statements and notes thereto in Part II, Item 8 of this Annual Report on Form 10-K.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Exhibits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herewith or are incorporated by reference to exhibits previously filed with the SEC, as indicated in the description of each, File No. 1-14267 in the case of Republic and File No. 1-14705 and No. 0-19285 in the case of Allied, and File No. 1-06805 in the case of Browning-Ferris Industries, Inc.</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778"/>
        <w:gridCol w:w="2620"/>
        <w:gridCol w:w="371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(incorporated by reference to Exhibit 3.1 of the Company’s Quarterly Report on Form 10-Q for the period ended June 30, 1998).</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Amendment of Amended and Restated Certificate of Incorporation of Republic Services, Inc. (incorporated by reference to Exhibit 4.2 of the Company’s Registration Statement on Form S-8, Registration No. 333-81801, filed with the Commission on June 29, 1999).</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of Republic Services, Inc. (incorporated by reference to Exhibit 99.1 of the Company’s Current Report on Form 8-K dated February 13, 2026).</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Republic Services, Inc. Common Stock Certificate (incorporated by reference to Exhibit 4.4 of the Company’s Registration Statement on Form S-8, Registration No. 333-81801, filed with the Commission on June 29, 1999).</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as of August 15, 2001 between Republic Services, Inc. and The Bank of New York, as trustee, including the form of notes (incorporated by reference to Exhibit 4.1 of the Company’s Current Report on Form 8-K filed August 16, 2001).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erif" w:hAnsi="Times New Roman;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Second Supplemental Indenture, dated as of March 21, 2005, to the Indenture dated as of August 15, 2001, by and between Republic Services, Inc. and The Bank of New York, as trustee, including the form of 6.086% Note due March 15, 2035 (incorporated by reference to Exhibit 4.1 of the Company’s Quarterly Report on Form 10-Q for the quarter ended March 31, 2005).</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erif" w:hAnsi="Times New Roman;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Indenture, dated as of September 8, 2009, by and between Republic Services, Inc. and The Bank of New York Mellon Trust Company, N.A., as trustee (incorporated by reference to Exhibit 4.1 of the Company’s Current Report on Form 8-K dated September 9, 2009).</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Times New Roman;serif" w:hAnsi="Times New Roman;serif"/>
                  <w:b w:val="false"/>
                  <w:color w:val="000080"/>
                  <w:sz w:val="20"/>
                  <w:u w:val="single"/>
                </w:rPr>
                <w:t>4.</w:t>
              </w:r>
            </w:hyperlink>
            <w:hyperlink r:id="rId12">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Supplemental Indenture, dated as of May 9, 2011, to the Indenture dated as of September 8, 2009, by and among Republic Services, Inc., the guarantors named therein and The Bank of New York Mellon Trust Company, N.A., as trustee, including the form of 5.700% Notes due 2041 (incorporated by reference to Exhibit 4.3 of the Company’s Current Report on Form 8-K dated May 9, 2011).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Times New Roman;serif" w:hAnsi="Times New Roman;serif"/>
                  <w:b w:val="false"/>
                  <w:color w:val="000080"/>
                  <w:sz w:val="20"/>
                  <w:u w:val="single"/>
                </w:rPr>
                <w:t>4.</w:t>
              </w:r>
            </w:hyperlink>
            <w:hyperlink r:id="rId14">
              <w:r>
                <w:rPr>
                  <w:rStyle w:val="InternetLink"/>
                  <w:rFonts w:ascii="Times New Roman;serif" w:hAnsi="Times New Roman;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as of November 25, 2009, by and between Republic Services, Inc. and U.S. Bank National Association, as trustee (incorporated by reference to Exhibit 4.1 of the Company’s Current Report on Form 8-K dated November 25, 2009).</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erif" w:hAnsi="Times New Roman;serif"/>
                  <w:b w:val="false"/>
                  <w:color w:val="000080"/>
                  <w:sz w:val="20"/>
                  <w:u w:val="single"/>
                </w:rPr>
                <w:t>4.</w:t>
              </w:r>
            </w:hyperlink>
            <w:hyperlink r:id="rId16">
              <w:r>
                <w:rPr>
                  <w:rStyle w:val="InternetLink"/>
                  <w:rFonts w:ascii="Times New Roman;serif" w:hAnsi="Times New Roman;serif"/>
                  <w:b w:val="false"/>
                  <w:color w:val="00008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Supplemental Indenture, dated as of March 4, 2010, to the Indenture dated as of November 25, 2009, by and among Republic Services, Inc., the guarantors named therein and U.S. Bank National Association, as trustee, including the form of 6.20% Notes due 2040 (incorporated by reference to Exhibit 4.2 of the Company’s Current Report on Form 8-K dated March 4, 2010).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7">
              <w:r>
                <w:rPr>
                  <w:rStyle w:val="InternetLink"/>
                  <w:rFonts w:ascii="Times New Roman;serif" w:hAnsi="Times New Roman;serif"/>
                  <w:b w:val="false"/>
                  <w:color w:val="000080"/>
                  <w:sz w:val="20"/>
                  <w:u w:val="single"/>
                </w:rPr>
                <w:t>4.</w:t>
              </w:r>
            </w:hyperlink>
            <w:hyperlink r:id="rId18">
              <w:r>
                <w:rPr>
                  <w:rStyle w:val="InternetLink"/>
                  <w:rFonts w:ascii="Times New Roman;serif" w:hAnsi="Times New Roman;serif"/>
                  <w:b w:val="false"/>
                  <w:color w:val="000080"/>
                  <w:sz w:val="20"/>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Restated Indenture, dated as of September 1, 1991, by and between Browning-Ferris Industries, Inc. and First City, Texas-Houston, National Association, as trustee (incorporated by reference to Exhibit 4.22 of Allied’s Registration Statement on Form S-4/A (No. 333-61744)).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9">
              <w:r>
                <w:rPr>
                  <w:rStyle w:val="InternetLink"/>
                  <w:rFonts w:ascii="Times New Roman;serif" w:hAnsi="Times New Roman;serif"/>
                  <w:b w:val="false"/>
                  <w:color w:val="000080"/>
                  <w:sz w:val="20"/>
                  <w:u w:val="single"/>
                </w:rPr>
                <w:t>4.</w:t>
              </w:r>
            </w:hyperlink>
            <w:hyperlink r:id="rId20">
              <w:r>
                <w:rPr>
                  <w:rStyle w:val="InternetLink"/>
                  <w:rFonts w:ascii="Times New Roman;serif" w:hAnsi="Times New Roman;serif"/>
                  <w:b w:val="false"/>
                  <w:color w:val="000080"/>
                  <w:sz w:val="20"/>
                  <w:u w:val="single"/>
                </w:rPr>
                <w:t>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Supplemental Indenture, dated as of July 30, 1999, to the Restated Indenture dated as of September 1, 1991, by and among Allied Waste Industries, Inc., Allied Waste North America, Inc., Browning-Ferris Industries, Inc. and Chase Bank of Texas, National Association, as trustee (incorporated by reference to Exhibit 4.23 of Allied’s Registration Statement on Form S-4/A (No. 333-61744)).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663"/>
        <w:gridCol w:w="2663"/>
        <w:gridCol w:w="3786"/>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1">
              <w:r>
                <w:rPr>
                  <w:rStyle w:val="InternetLink"/>
                  <w:rFonts w:ascii="Times New Roman;serif" w:hAnsi="Times New Roman;serif"/>
                  <w:b w:val="false"/>
                  <w:color w:val="000080"/>
                  <w:sz w:val="20"/>
                  <w:u w:val="single"/>
                </w:rPr>
                <w:t>4.1</w:t>
              </w:r>
            </w:hyperlink>
            <w:hyperlink r:id="rId22">
              <w:r>
                <w:rPr>
                  <w:rStyle w:val="InternetLink"/>
                  <w:rFonts w:ascii="Times New Roman;serif" w:hAnsi="Times New Roman;serif"/>
                  <w:b w:val="false"/>
                  <w:color w:val="000080"/>
                  <w:sz w:val="20"/>
                  <w:u w:val="single"/>
                </w:rPr>
                <w:t>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[sic] Supplemental Indenture, dated as of December 31, 2004, to the Restated Indenture dated as of September 1, 1991, by and among Browning-Ferris Industries, Inc., BBCO, Inc. and JP Morgan Chase Bank, National Association as trustee (incorporated by reference to Exhibit 4.33 of Allied’s Annual Report on Form 10-K for the year ended December 31, 2004).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3">
              <w:r>
                <w:rPr>
                  <w:rStyle w:val="InternetLink"/>
                  <w:rFonts w:ascii="Times New Roman;serif" w:hAnsi="Times New Roman;serif"/>
                  <w:b w:val="false"/>
                  <w:color w:val="000080"/>
                  <w:sz w:val="20"/>
                  <w:u w:val="single"/>
                </w:rPr>
                <w:t>4.1</w:t>
              </w:r>
            </w:hyperlink>
            <w:r>
              <w:rPr>
                <w:rFonts w:ascii="Times New Roman;serif" w:hAnsi="Times New Roman;serif"/>
                <w:b w:val="false"/>
                <w:color w:val="0000FF"/>
                <w:sz w:val="20"/>
                <w:u w:val="single"/>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Supplemental Indenture, dated as of December 5, 2008, to the Restated Indenture dated as of September 1, 1991, by and among Allied Waste Industries, Inc., Allied Waste North America, Inc., Browning-Ferris Industries, LLC (successor to Browning-Ferris Industries, Inc.), BBCO, Inc., Republic Services, Inc., the guarantors party thereto and The Bank of New York Mellon Trust Company, N.A., as trustee (incorporated by reference to Exhibit 4.1 of the Company’s Current Report on Form 8-K dated December 10, 2008).</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4">
              <w:r>
                <w:rPr>
                  <w:rStyle w:val="InternetLink"/>
                  <w:rFonts w:ascii="Times New Roman;serif" w:hAnsi="Times New Roman;serif"/>
                  <w:b w:val="false"/>
                  <w:color w:val="000080"/>
                  <w:sz w:val="20"/>
                  <w:u w:val="single"/>
                </w:rPr>
                <w:t>4.1</w:t>
              </w:r>
            </w:hyperlink>
            <w:r>
              <w:rPr>
                <w:rFonts w:ascii="Times New Roman;serif" w:hAnsi="Times New Roman;serif"/>
                <w:b w:val="false"/>
                <w:color w:val="0000FF"/>
                <w:sz w:val="20"/>
                <w:u w:val="single"/>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Fifth Supplemental Indenture, dated as of July 5, 2016, to the Indenture, dated as of November 25, 2009, between Republic Services, Inc. and U.S. Bank National Association, as trustee, including the form of 2.900% Notes due 2026 (incorporated by reference to Exhibit 4.1 of the Company's Current Report on Form 8-K dated July 5, 2016).</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Times New Roman;serif" w:hAnsi="Times New Roman;serif"/>
                  <w:b w:val="false"/>
                  <w:color w:val="000080"/>
                  <w:sz w:val="20"/>
                  <w:u w:val="single"/>
                </w:rPr>
                <w:t>4.1</w:t>
              </w:r>
            </w:hyperlink>
            <w:r>
              <w:rPr>
                <w:rFonts w:ascii="Times New Roman;serif" w:hAnsi="Times New Roman;serif"/>
                <w:b w:val="false"/>
                <w:color w:val="0000FF"/>
                <w:sz w:val="20"/>
                <w:u w:val="single"/>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Sixth Supplemental Indenture, dated as of November 16, 2017, between Republic Services, Inc. and U.S. Bank National Association, as trustee, including the form of 3.375% Notes due 2027 (incorporated by reference to Exhibit 4.1 of the Company’s Current Report on Form 8-K dated November 15, 2017).</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6">
              <w:r>
                <w:rPr>
                  <w:rStyle w:val="InternetLink"/>
                  <w:rFonts w:ascii="Times New Roman;serif" w:hAnsi="Times New Roman;serif"/>
                  <w:b w:val="false"/>
                  <w:color w:val="000080"/>
                  <w:sz w:val="20"/>
                  <w:u w:val="single"/>
                </w:rPr>
                <w:t>4.1</w:t>
              </w:r>
            </w:hyperlink>
            <w:hyperlink r:id="rId27">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Browning-Ferris Industries, Inc. 7.4% Debentures due 2035 (incorporated by reference to Exhibit 4 of Browning-Ferris Industries, Inc.'s Current Report on Form 8-K dated September 15, 1995).</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Times New Roman;serif" w:hAnsi="Times New Roman;serif"/>
                  <w:b w:val="false"/>
                  <w:color w:val="000080"/>
                  <w:sz w:val="20"/>
                  <w:u w:val="single"/>
                </w:rPr>
                <w:t>4.1</w:t>
              </w:r>
            </w:hyperlink>
            <w:r>
              <w:rPr>
                <w:rFonts w:ascii="Times New Roman;serif" w:hAnsi="Times New Roman;serif"/>
                <w:b w:val="false"/>
                <w:color w:val="0000FF"/>
                <w:sz w:val="20"/>
                <w:u w:val="single"/>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Seventh Supplemental Indenture, dated as of May 14, 2018, between Republic Services, Inc. and U.S. Bank National Association, as trustee, including the form of 3.950% Notes due 2028 (incorporated by reference to Exhibit 4.1 of the Company’s Current Report on Form 8-K dated May 3, 2018).</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9">
              <w:r>
                <w:rPr>
                  <w:rStyle w:val="InternetLink"/>
                  <w:rFonts w:ascii="Times New Roman;serif" w:hAnsi="Times New Roman;serif"/>
                  <w:b w:val="false"/>
                  <w:color w:val="000080"/>
                  <w:sz w:val="20"/>
                  <w:u w:val="single"/>
                </w:rPr>
                <w:t>4.1</w:t>
              </w:r>
            </w:hyperlink>
            <w:hyperlink r:id="rId30">
              <w:r>
                <w:rPr>
                  <w:rStyle w:val="InternetLink"/>
                  <w:rFonts w:ascii="Times New Roman;serif" w:hAnsi="Times New Roman;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Description of Securities Registered Under Section 12 of the Securities Exchange Act of 1934 (incorporated by reference to Exhibit 4.23 of the Company’s Annual Report on Form 10-K for the year ended December 31, 2019).</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1">
              <w:r>
                <w:rPr>
                  <w:rStyle w:val="InternetLink"/>
                  <w:rFonts w:ascii="Times New Roman;serif" w:hAnsi="Times New Roman;serif"/>
                  <w:b w:val="false"/>
                  <w:color w:val="000080"/>
                  <w:sz w:val="20"/>
                  <w:u w:val="single"/>
                </w:rPr>
                <w:t>4.</w:t>
              </w:r>
            </w:hyperlink>
            <w:hyperlink r:id="rId32">
              <w:r>
                <w:rPr>
                  <w:rStyle w:val="InternetLink"/>
                  <w:rFonts w:ascii="Times New Roman;serif" w:hAnsi="Times New Roman;serif"/>
                  <w:b w:val="false"/>
                  <w:color w:val="000080"/>
                  <w:sz w:val="20"/>
                  <w:u w:val="single"/>
                </w:rPr>
                <w:t>1</w:t>
              </w:r>
            </w:hyperlink>
            <w:hyperlink r:id="rId33">
              <w:r>
                <w:rPr>
                  <w:rStyle w:val="InternetLink"/>
                  <w:rFonts w:ascii="Times New Roman;serif" w:hAnsi="Times New Roman;serif"/>
                  <w:b w:val="false"/>
                  <w:color w:val="00008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Ninth Supplemental Indenture, dated as of February 27, 2020, between Republic Services, Inc. and U.S. Bank National Association, as trustee, including the form of 2.300% Notes due 2030 and the form of 3.050% Notes due 2050 (incorporated by reference to Exhibit 4.1 of the Company’s Current Report on Form 8-K dated February 21,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4">
              <w:r>
                <w:rPr>
                  <w:rStyle w:val="InternetLink"/>
                  <w:rFonts w:ascii="Times New Roman;serif" w:hAnsi="Times New Roman;serif"/>
                  <w:b w:val="false"/>
                  <w:color w:val="000080"/>
                  <w:sz w:val="20"/>
                  <w:u w:val="single"/>
                </w:rPr>
                <w:t>4.</w:t>
              </w:r>
            </w:hyperlink>
            <w:hyperlink r:id="rId35">
              <w:r>
                <w:rPr>
                  <w:rStyle w:val="InternetLink"/>
                  <w:rFonts w:ascii="Times New Roman;serif" w:hAnsi="Times New Roman;serif"/>
                  <w:b w:val="false"/>
                  <w:color w:val="000080"/>
                  <w:sz w:val="20"/>
                  <w:u w:val="single"/>
                </w:rPr>
                <w:t>1</w:t>
              </w:r>
            </w:hyperlink>
            <w:hyperlink r:id="rId36">
              <w:r>
                <w:rPr>
                  <w:rStyle w:val="InternetLink"/>
                  <w:rFonts w:ascii="Times New Roman;serif" w:hAnsi="Times New Roman;serif"/>
                  <w:b w:val="false"/>
                  <w:color w:val="000080"/>
                  <w:sz w:val="20"/>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Tenth Supplemental Indenture, dated as of August 20, 2020, between Republic Services, Inc. and U.S. Bank National Association, as trustee, including the form of 1.450% Notes due 2031 (incorporated by reference to Exhibit 4.1 of the Company’s Current Report on Form 8-K dated August 13,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7">
              <w:r>
                <w:rPr>
                  <w:rStyle w:val="InternetLink"/>
                  <w:rFonts w:ascii="Times New Roman;serif" w:hAnsi="Times New Roman;serif"/>
                  <w:b w:val="false"/>
                  <w:color w:val="000080"/>
                  <w:sz w:val="20"/>
                  <w:u w:val="single"/>
                </w:rPr>
                <w:t>4.</w:t>
              </w:r>
            </w:hyperlink>
            <w:hyperlink r:id="rId38">
              <w:r>
                <w:rPr>
                  <w:rStyle w:val="InternetLink"/>
                  <w:rFonts w:ascii="Times New Roman;serif" w:hAnsi="Times New Roman;serif"/>
                  <w:b w:val="false"/>
                  <w:color w:val="000080"/>
                  <w:sz w:val="20"/>
                  <w:u w:val="single"/>
                </w:rPr>
                <w:t>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Eleventh Supplemental Indenture, dated as of November 24, 2020, between Republic Services, Inc. and U.S. Bank National Association, as trustee, including the form of 0.875% Notes due 2025 and the form of 1.750% Notes due 2032 (incorporated by reference to Exhibit 4.1 of the Company’s Current Report on Form 8-K dated November 12,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9">
              <w:r>
                <w:rPr>
                  <w:rStyle w:val="InternetLink"/>
                  <w:rFonts w:ascii="Times New Roman;serif" w:hAnsi="Times New Roman;serif"/>
                  <w:b w:val="false"/>
                  <w:color w:val="000080"/>
                  <w:sz w:val="20"/>
                  <w:u w:val="single"/>
                </w:rPr>
                <w:t>4.2</w:t>
              </w:r>
            </w:hyperlink>
            <w:hyperlink r:id="rId40">
              <w:r>
                <w:rPr>
                  <w:rStyle w:val="InternetLink"/>
                  <w:rFonts w:ascii="Times New Roman;serif" w:hAnsi="Times New Roman;serif"/>
                  <w:b w:val="false"/>
                  <w:color w:val="000080"/>
                  <w:sz w:val="20"/>
                  <w:u w:val="single"/>
                </w:rPr>
                <w:t>0</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Twelfth Supplemental Indenture, dated as of November 8, 2021, between Republic Services, Inc. and U.S. Bank National Association, as trustee, including the form of 2.375% Notes due 2033 (incorporated by reference to Exhibit 4.1 of the Company's Current Report on Form 8-K dated November 4, 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1">
              <w:r>
                <w:rPr>
                  <w:rStyle w:val="InternetLink"/>
                  <w:rFonts w:ascii="Times New Roman;serif" w:hAnsi="Times New Roman;serif"/>
                  <w:b w:val="false"/>
                  <w:color w:val="000080"/>
                  <w:sz w:val="20"/>
                  <w:u w:val="single"/>
                </w:rPr>
                <w:t>4.2</w:t>
              </w:r>
            </w:hyperlink>
            <w:hyperlink r:id="rId42">
              <w:r>
                <w:rPr>
                  <w:rStyle w:val="InternetLink"/>
                  <w:rFonts w:ascii="Times New Roman;serif" w:hAnsi="Times New Roman;serif"/>
                  <w:b w:val="false"/>
                  <w:color w:val="000080"/>
                  <w:sz w:val="20"/>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Commercial Paper Dealer Agreement--4(a)(2) Program, dated as of May 25, 2022, between Republic Services, Inc. and the applicable dealer party thereto (incorporated by reference to Exhibit 10.1 of the Company's Current Report on Form 8-K filed September 1, 2022).</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3">
              <w:r>
                <w:rPr>
                  <w:rStyle w:val="InternetLink"/>
                  <w:rFonts w:ascii="Times New Roman;serif" w:hAnsi="Times New Roman;serif"/>
                  <w:b w:val="false"/>
                  <w:color w:val="000080"/>
                  <w:sz w:val="20"/>
                  <w:u w:val="single"/>
                </w:rPr>
                <w:t>4.2</w:t>
              </w:r>
            </w:hyperlink>
            <w:hyperlink r:id="rId44">
              <w:r>
                <w:rPr>
                  <w:rStyle w:val="InternetLink"/>
                  <w:rFonts w:ascii="Times New Roman;serif" w:hAnsi="Times New Roman;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Thirteenth Supplemental Indenture, dated as of March 28, 2023, between Republic Services, Inc. and U.S. Bank Trust Company, National Association (as successor in interest to U.S. Bank National Association), as trustee, including the form of 4.875% Notes due 2029 and form of 5.000% Notes due 2034 (incorporated by reference to Exhibit 4.1 of the Company’s Current Report on Form 8-K dated March 23, 2023).</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5">
              <w:r>
                <w:rPr>
                  <w:rStyle w:val="InternetLink"/>
                  <w:rFonts w:ascii="Times New Roman;serif" w:hAnsi="Times New Roman;serif"/>
                  <w:b w:val="false"/>
                  <w:color w:val="000080"/>
                  <w:sz w:val="20"/>
                  <w:u w:val="single"/>
                </w:rPr>
                <w:t>4.2</w:t>
              </w:r>
            </w:hyperlink>
            <w:hyperlink r:id="rId46">
              <w:r>
                <w:rPr>
                  <w:rStyle w:val="InternetLink"/>
                  <w:rFonts w:ascii="Times New Roman;serif" w:hAnsi="Times New Roman;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Fourteenth Supplemental Indenture, dated as of December 12, 2023, between Republic Services, Inc. and U.S. Bank Trust Company, National Association (as successor in interest to U.S. Bank National Association), as trustee, including the form of 5.000% Notes due 2033 (incorporated by reference to Exhibit 4.1 of the Company’s Current Report on Form 8-K dated December 11, 2023).</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7">
              <w:r>
                <w:rPr>
                  <w:rStyle w:val="InternetLink"/>
                  <w:rFonts w:ascii="Times New Roman;serif" w:hAnsi="Times New Roman;serif"/>
                  <w:b w:val="false"/>
                  <w:color w:val="000080"/>
                  <w:sz w:val="20"/>
                  <w:u w:val="single"/>
                </w:rPr>
                <w:t>4.2</w:t>
              </w:r>
            </w:hyperlink>
            <w:hyperlink r:id="rId48">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Fifteenth Supplemental Indenture, dated as of June 25, 2024, between Republic Services, Inc. and U.S. Bank Trust Company, National Association (as successor in interest to U.S. Bank National Association), as trustee, including the form of 5.000% Notes due 2029 and the form of 5.200% Notes due 2034 (incorporated by reference to Exhibit 4.1 of the Company’s Current Report on Form 8-K dated June 20,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820"/>
        <w:gridCol w:w="2604"/>
        <w:gridCol w:w="3688"/>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688"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9">
              <w:r>
                <w:rPr>
                  <w:rStyle w:val="InternetLink"/>
                  <w:rFonts w:ascii="Times New Roman;serif" w:hAnsi="Times New Roman;serif"/>
                  <w:b w:val="false"/>
                  <w:color w:val="000080"/>
                  <w:sz w:val="20"/>
                  <w:u w:val="single"/>
                </w:rPr>
                <w:t>4.</w:t>
              </w:r>
            </w:hyperlink>
            <w:hyperlink r:id="rId50">
              <w:r>
                <w:rPr>
                  <w:rStyle w:val="InternetLink"/>
                  <w:rFonts w:ascii="Times New Roman;serif" w:hAnsi="Times New Roman;serif"/>
                  <w:b w:val="false"/>
                  <w:color w:val="000080"/>
                  <w:sz w:val="20"/>
                  <w:u w:val="single"/>
                </w:rPr>
                <w:t>2</w:t>
              </w:r>
            </w:hyperlink>
            <w:hyperlink r:id="rId51">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Amended and Restated Credit Agreement, dated as of July 26, 2024, by and among Republic Services, Inc., USE Canada Holdings, Inc., Bank of America, N.A., as Administrative Agent, Swing Line Lender and L/C Issuer, and the other lenders party thereto (incorporated by reference to Exhibit 4.1 of the Company’s Current Report on Form 8-K dated July 31, 2024).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2">
              <w:r>
                <w:rPr>
                  <w:rStyle w:val="InternetLink"/>
                  <w:rFonts w:ascii="Times New Roman;serif" w:hAnsi="Times New Roman;serif"/>
                  <w:b w:val="false"/>
                  <w:color w:val="000080"/>
                  <w:sz w:val="20"/>
                  <w:u w:val="single"/>
                </w:rPr>
                <w:t>4.2</w:t>
              </w:r>
            </w:hyperlink>
            <w:hyperlink r:id="rId53">
              <w:r>
                <w:rPr>
                  <w:rStyle w:val="InternetLink"/>
                  <w:rFonts w:ascii="Times New Roman;serif" w:hAnsi="Times New Roman;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1 to Second Amended and Restated Credit Agreement, dated as of April 2, 2025, by and among Republic Services, Inc., USE Canada Holdings, Inc., J.P. Morgan Securities LLC, as Sustainability Structuring Agent, Bank of America, N.A., as Administrative Agent, Swing Line Lender and L/C Issuer, and the other lenders party thereto (incorporated by reference to Exhibit 10.1 of the Company’s Quarterly Report on Form 10-Q for the quarter ended June 30, 2025).</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4">
              <w:r>
                <w:rPr>
                  <w:rStyle w:val="InternetLink"/>
                  <w:rFonts w:ascii="Times New Roman;serif" w:hAnsi="Times New Roman;serif"/>
                  <w:b w:val="false"/>
                  <w:color w:val="000080"/>
                  <w:sz w:val="20"/>
                  <w:u w:val="single"/>
                </w:rPr>
                <w:t>4.</w:t>
              </w:r>
            </w:hyperlink>
            <w:hyperlink r:id="rId55">
              <w:r>
                <w:rPr>
                  <w:rStyle w:val="InternetLink"/>
                  <w:rFonts w:ascii="Times New Roman;serif" w:hAnsi="Times New Roman;serif"/>
                  <w:b w:val="false"/>
                  <w:color w:val="000080"/>
                  <w:sz w:val="20"/>
                  <w:u w:val="single"/>
                </w:rPr>
                <w:t>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Sixteenth Supplemental Indenture to the Indenture between Republic Services, Inc. and U.S. Bank Trust Company, National Association (as successor in interest to U.S. Bank National Association), as trustee (incorporated by reference to Exhibit 4.1 of the Company’s Current Report on Form 8-K dated March 18, 2025).</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6">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Inc. Amended and Restated 2007 Stock Incentive Plan effective May 12, 2011 (incorporated by reference to Appendix A of the Company’s Proxy Statement on Schedule 14A filed on April 1, 2011).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7">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Inc. Executive Incentive Plan, as amended and restated effective October 26, 2020 (incorporated by reference to Exhibit 10.1 to the Company’s Quarterly Report on Form 10-Q for the quarter ended September 30,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8">
              <w:r>
                <w:rPr>
                  <w:rStyle w:val="InternetLink"/>
                  <w:rFonts w:ascii="Times New Roman;serif" w:hAnsi="Times New Roman;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Employee Restricted Stock Unit Agreement under the Republic Services, Inc. Amended and Restated 2007 Stock Incentive Plan (for awards on or after December 27, 2011) (incorporated by reference to Exhibit 10.1 of the Company’s Current Report on Form 8-K dated December 27, 2011).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9">
              <w:r>
                <w:rPr>
                  <w:rStyle w:val="InternetLink"/>
                  <w:rFonts w:ascii="Times New Roman;serif" w:hAnsi="Times New Roman;serif"/>
                  <w:b w:val="false"/>
                  <w:color w:val="000080"/>
                  <w:sz w:val="20"/>
                  <w:u w:val="single"/>
                </w:rPr>
                <w:t>10.</w:t>
              </w:r>
            </w:hyperlink>
            <w:hyperlink r:id="rId60">
              <w:r>
                <w:rPr>
                  <w:rStyle w:val="InternetLink"/>
                  <w:rFonts w:ascii="Times New Roman;serif" w:hAnsi="Times New Roman;serif"/>
                  <w:b w:val="false"/>
                  <w:color w:val="000080"/>
                  <w:sz w:val="20"/>
                  <w:u w:val="single"/>
                </w:rPr>
                <w:t>4</w:t>
              </w:r>
            </w:hyperlink>
            <w:hyperlink r:id="rId61">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Non-Employee Director Restricted Stock Unit Agreement (annual vesting) under the Republic Services, Inc. Amended and Restated 2007 Stock Incentive Plan (for awards on or after December 27, 2011) (incorporated by reference to Exhibit 10.2 of the Company’s Current Report on Form 8-K dated December 27, 2011).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2">
              <w:r>
                <w:rPr>
                  <w:rStyle w:val="InternetLink"/>
                  <w:rFonts w:ascii="Times New Roman;serif" w:hAnsi="Times New Roman;serif"/>
                  <w:b w:val="false"/>
                  <w:color w:val="000080"/>
                  <w:sz w:val="20"/>
                  <w:u w:val="single"/>
                </w:rPr>
                <w:t>10.</w:t>
              </w:r>
            </w:hyperlink>
            <w:hyperlink r:id="rId63">
              <w:r>
                <w:rPr>
                  <w:rStyle w:val="InternetLink"/>
                  <w:rFonts w:ascii="Times New Roman;serif" w:hAnsi="Times New Roman;serif"/>
                  <w:b w:val="false"/>
                  <w:color w:val="000080"/>
                  <w:sz w:val="20"/>
                  <w:u w:val="single"/>
                </w:rPr>
                <w:t>5</w:t>
              </w:r>
            </w:hyperlink>
            <w:hyperlink r:id="rId64">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Non-Employee Director Restricted Stock Unit Agreement (3 year vesting) under the Republic Services, Inc. Amended and Restated 2007 Stock Incentive Plan (for awards on or after December 27, 2011) (incorporated by reference to Exhibit 10.3 of the Company’s Current Report on Form 8-K dated December 27, 2011).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5">
              <w:r>
                <w:rPr>
                  <w:rStyle w:val="InternetLink"/>
                  <w:rFonts w:ascii="Times New Roman;serif" w:hAnsi="Times New Roman;serif"/>
                  <w:b w:val="false"/>
                  <w:color w:val="000080"/>
                  <w:sz w:val="20"/>
                  <w:u w:val="single"/>
                </w:rPr>
                <w:t>10.</w:t>
              </w:r>
            </w:hyperlink>
            <w:hyperlink r:id="rId66">
              <w:r>
                <w:rPr>
                  <w:rStyle w:val="InternetLink"/>
                  <w:rFonts w:ascii="Times New Roman;serif" w:hAnsi="Times New Roman;serif"/>
                  <w:b w:val="false"/>
                  <w:color w:val="000080"/>
                  <w:sz w:val="20"/>
                  <w:u w:val="single"/>
                </w:rPr>
                <w:t>6</w:t>
              </w:r>
            </w:hyperlink>
            <w:hyperlink r:id="rId67">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Inc. Deferred Compensation Plan, as amended and restated effective January 1, 2025 (incorporated by reference to Exhibit 10.6 of the Company’s Annual Report on Form 10-K for the year ended December 31, 2024).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8">
              <w:r>
                <w:rPr>
                  <w:rStyle w:val="InternetLink"/>
                  <w:rFonts w:ascii="Times New Roman;serif" w:hAnsi="Times New Roman;serif"/>
                  <w:b w:val="false"/>
                  <w:color w:val="000080"/>
                  <w:sz w:val="20"/>
                  <w:u w:val="single"/>
                </w:rPr>
                <w:t>10.</w:t>
              </w:r>
            </w:hyperlink>
            <w:hyperlink r:id="rId69">
              <w:r>
                <w:rPr>
                  <w:rStyle w:val="InternetLink"/>
                  <w:rFonts w:ascii="Times New Roman;serif" w:hAnsi="Times New Roman;serif"/>
                  <w:b w:val="false"/>
                  <w:color w:val="000080"/>
                  <w:sz w:val="20"/>
                  <w:u w:val="single"/>
                </w:rPr>
                <w:t>7</w:t>
              </w:r>
            </w:hyperlink>
            <w:hyperlink r:id="rId70">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1 to the Republic Services, Inc. Deferred Compensation Plan, effective as of August 1, 2025 (incorporated by reference to Exhibit 10.1 of the Company’s Quarterly Report on Form 10-Q for the quarter ended September 30, 2025).</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1">
              <w:r>
                <w:rPr>
                  <w:rStyle w:val="InternetLink"/>
                  <w:rFonts w:ascii="Times New Roman;serif" w:hAnsi="Times New Roman;serif"/>
                  <w:b w:val="false"/>
                  <w:color w:val="000080"/>
                  <w:sz w:val="20"/>
                  <w:u w:val="single"/>
                </w:rPr>
                <w:t>10.</w:t>
              </w:r>
            </w:hyperlink>
            <w:hyperlink r:id="rId72">
              <w:r>
                <w:rPr>
                  <w:rStyle w:val="InternetLink"/>
                  <w:rFonts w:ascii="Times New Roman;serif" w:hAnsi="Times New Roman;serif"/>
                  <w:b w:val="false"/>
                  <w:color w:val="000080"/>
                  <w:sz w:val="20"/>
                  <w:u w:val="single"/>
                </w:rPr>
                <w:t>8</w:t>
              </w:r>
            </w:hyperlink>
            <w:hyperlink r:id="rId73">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Inc. Amended and Restated Executive Incentive Plan, effective February 4, 2014 (incorporated by reference to Appendix A of the Company’s Proxy Statement on Schedule 14A filed on March 26, 2014).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4">
              <w:r>
                <w:rPr>
                  <w:rStyle w:val="InternetLink"/>
                  <w:rFonts w:ascii="Times New Roman;serif" w:hAnsi="Times New Roman;serif"/>
                  <w:b w:val="false"/>
                  <w:color w:val="000080"/>
                  <w:sz w:val="20"/>
                  <w:u w:val="single"/>
                </w:rPr>
                <w:t>10.</w:t>
              </w:r>
            </w:hyperlink>
            <w:hyperlink r:id="rId75">
              <w:r>
                <w:rPr>
                  <w:rStyle w:val="InternetLink"/>
                  <w:rFonts w:ascii="Times New Roman;serif" w:hAnsi="Times New Roman;serif"/>
                  <w:b w:val="false"/>
                  <w:color w:val="000080"/>
                  <w:sz w:val="20"/>
                  <w:u w:val="single"/>
                </w:rPr>
                <w:t>9</w:t>
              </w:r>
            </w:hyperlink>
            <w:hyperlink r:id="rId76">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Inc. Executive Separation Policy, as amended as of February 8, 2023 (incorporated by reference to Exhibit 10.9 of the Company's Annual Report on Form 10-K for the year ended December 31, 2022).</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7">
              <w:r>
                <w:rPr>
                  <w:rStyle w:val="InternetLink"/>
                  <w:rFonts w:ascii="Times New Roman;serif" w:hAnsi="Times New Roman;serif"/>
                  <w:b w:val="false"/>
                  <w:color w:val="000080"/>
                  <w:sz w:val="20"/>
                  <w:u w:val="single"/>
                </w:rPr>
                <w:t>10.</w:t>
              </w:r>
            </w:hyperlink>
            <w:hyperlink r:id="rId78">
              <w:r>
                <w:rPr>
                  <w:rStyle w:val="InternetLink"/>
                  <w:rFonts w:ascii="Times New Roman;serif" w:hAnsi="Times New Roman;serif"/>
                  <w:b w:val="false"/>
                  <w:color w:val="000080"/>
                  <w:sz w:val="20"/>
                  <w:u w:val="single"/>
                </w:rPr>
                <w:t>10</w:t>
              </w:r>
            </w:hyperlink>
            <w:hyperlink r:id="rId79">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Inc. Amended and Restated 2007 Stock Incentive Plan effective May 9, 2013 (incorporated by reference to Exhibit 10.1 of the Company’s Quarterly Report on Form 10-Q for the quarter ended June 30, 2013).</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0">
              <w:r>
                <w:rPr>
                  <w:rStyle w:val="InternetLink"/>
                  <w:rFonts w:ascii="Times New Roman;serif" w:hAnsi="Times New Roman;serif"/>
                  <w:b w:val="false"/>
                  <w:color w:val="000080"/>
                  <w:sz w:val="20"/>
                  <w:u w:val="single"/>
                </w:rPr>
                <w:t>10.1</w:t>
              </w:r>
            </w:hyperlink>
            <w:hyperlink r:id="rId81">
              <w:r>
                <w:rPr>
                  <w:rStyle w:val="InternetLink"/>
                  <w:rFonts w:ascii="Times New Roman;serif" w:hAnsi="Times New Roman;serif"/>
                  <w:b w:val="false"/>
                  <w:color w:val="000080"/>
                  <w:sz w:val="20"/>
                  <w:u w:val="single"/>
                </w:rPr>
                <w:t>1</w:t>
              </w:r>
            </w:hyperlink>
            <w:hyperlink r:id="rId82">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Offer Letter, dated July 25, 2016, by and between Catharine D. Ellingsen and Republic Services, Inc. (incorporated by reference to Exhibit 10.37 of the Company’s Annual Report on Form 10-K dated February 16, 2017).</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3">
              <w:r>
                <w:rPr>
                  <w:rStyle w:val="InternetLink"/>
                  <w:rFonts w:ascii="Times New Roman;serif" w:hAnsi="Times New Roman;serif"/>
                  <w:b w:val="false"/>
                  <w:color w:val="000080"/>
                  <w:sz w:val="20"/>
                  <w:u w:val="single"/>
                </w:rPr>
                <w:t>10.1</w:t>
              </w:r>
            </w:hyperlink>
            <w:hyperlink r:id="rId84">
              <w:r>
                <w:rPr>
                  <w:rStyle w:val="InternetLink"/>
                  <w:rFonts w:ascii="Times New Roman;serif" w:hAnsi="Times New Roman;serif"/>
                  <w:b w:val="false"/>
                  <w:color w:val="000080"/>
                  <w:sz w:val="20"/>
                  <w:u w:val="single"/>
                </w:rPr>
                <w:t>2</w:t>
              </w:r>
            </w:hyperlink>
            <w:hyperlink r:id="rId85">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Non-Competition, Non-Solicitation, Confidentiality and Arbitration Agreement, effective February 13, 2024, by and between Catharine D. Ellingsen and Republic Services, Inc. (incorporated by reference to Exhibit 10.15 of the Company's Annual Report on Form 10-K for the year ended December 31, 2023).</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6">
              <w:r>
                <w:rPr>
                  <w:rStyle w:val="InternetLink"/>
                  <w:rFonts w:ascii="Times New Roman;serif" w:hAnsi="Times New Roman;serif"/>
                  <w:b w:val="false"/>
                  <w:color w:val="000080"/>
                  <w:sz w:val="20"/>
                  <w:u w:val="single"/>
                </w:rPr>
                <w:t>10.1</w:t>
              </w:r>
            </w:hyperlink>
            <w:hyperlink r:id="rId87">
              <w:r>
                <w:rPr>
                  <w:rStyle w:val="InternetLink"/>
                  <w:rFonts w:ascii="Times New Roman;serif" w:hAnsi="Times New Roman;serif"/>
                  <w:b w:val="false"/>
                  <w:color w:val="000080"/>
                  <w:sz w:val="20"/>
                  <w:u w:val="single"/>
                </w:rPr>
                <w:t>3</w:t>
              </w:r>
            </w:hyperlink>
            <w:hyperlink r:id="rId88">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Inc. 2018 Employee Stock Purchase Plan (incorporated by reference to Annex A of the Company’s Proxy Statement on Schedule 14A filed on March 29, 2018).</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9">
              <w:r>
                <w:rPr>
                  <w:rStyle w:val="InternetLink"/>
                  <w:rFonts w:ascii="Times New Roman;serif" w:hAnsi="Times New Roman;serif"/>
                  <w:b w:val="false"/>
                  <w:color w:val="000080"/>
                  <w:sz w:val="20"/>
                  <w:u w:val="single"/>
                </w:rPr>
                <w:t>10.1</w:t>
              </w:r>
            </w:hyperlink>
            <w:hyperlink r:id="rId90">
              <w:r>
                <w:rPr>
                  <w:rStyle w:val="InternetLink"/>
                  <w:rFonts w:ascii="Times New Roman;serif" w:hAnsi="Times New Roman;serif"/>
                  <w:b w:val="false"/>
                  <w:color w:val="000080"/>
                  <w:sz w:val="20"/>
                  <w:u w:val="single"/>
                </w:rPr>
                <w:t>4</w:t>
              </w:r>
            </w:hyperlink>
            <w:hyperlink r:id="rId91">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Offer letter, dated May 29, 2020, by and between Brian DelGhiaccio and Republic Services, Inc. (incorporated by reference to Exhibit 10.1 of the Company’s Quarterly Report on Form 10-Q for the quarter ended June 30, 2020).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667"/>
        <w:gridCol w:w="2667"/>
        <w:gridCol w:w="3778"/>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2">
              <w:r>
                <w:rPr>
                  <w:rStyle w:val="InternetLink"/>
                  <w:rFonts w:ascii="Times New Roman;serif" w:hAnsi="Times New Roman;serif"/>
                  <w:b w:val="false"/>
                  <w:color w:val="000080"/>
                  <w:sz w:val="20"/>
                  <w:u w:val="single"/>
                </w:rPr>
                <w:t>10.</w:t>
              </w:r>
            </w:hyperlink>
            <w:hyperlink r:id="rId93">
              <w:r>
                <w:rPr>
                  <w:rStyle w:val="InternetLink"/>
                  <w:rFonts w:ascii="Times New Roman;serif" w:hAnsi="Times New Roman;serif"/>
                  <w:b w:val="false"/>
                  <w:color w:val="000080"/>
                  <w:sz w:val="20"/>
                  <w:u w:val="single"/>
                </w:rPr>
                <w:t>1</w:t>
              </w:r>
            </w:hyperlink>
            <w:hyperlink r:id="rId94">
              <w:r>
                <w:rPr>
                  <w:rStyle w:val="InternetLink"/>
                  <w:rFonts w:ascii="Times New Roman;serif" w:hAnsi="Times New Roman;serif"/>
                  <w:b w:val="false"/>
                  <w:color w:val="000080"/>
                  <w:sz w:val="20"/>
                  <w:u w:val="single"/>
                </w:rPr>
                <w:t>5</w:t>
              </w:r>
            </w:hyperlink>
            <w:hyperlink r:id="rId95">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Non-Competition, Non-Solicitation, Confidentiality and Arbitration Agreement, effective February 13, 2024, by and between Brian DelGhiaccio and Republic Services, Inc. (incorporated by reference to Exhibit 10.20 of the Company's Annual Report on Form 10-K for the year ended December 31, 2023).</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6">
              <w:r>
                <w:rPr>
                  <w:rStyle w:val="InternetLink"/>
                  <w:rFonts w:ascii="Times New Roman;serif" w:hAnsi="Times New Roman;serif"/>
                  <w:b w:val="false"/>
                  <w:color w:val="000080"/>
                  <w:sz w:val="20"/>
                  <w:u w:val="single"/>
                </w:rPr>
                <w:t>10.</w:t>
              </w:r>
            </w:hyperlink>
            <w:hyperlink r:id="rId97">
              <w:r>
                <w:rPr>
                  <w:rStyle w:val="InternetLink"/>
                  <w:rFonts w:ascii="Times New Roman;serif" w:hAnsi="Times New Roman;serif"/>
                  <w:b w:val="false"/>
                  <w:color w:val="000080"/>
                  <w:sz w:val="20"/>
                  <w:u w:val="single"/>
                </w:rPr>
                <w:t>1</w:t>
              </w:r>
            </w:hyperlink>
            <w:hyperlink r:id="rId98">
              <w:r>
                <w:rPr>
                  <w:rStyle w:val="InternetLink"/>
                  <w:rFonts w:ascii="Times New Roman;serif" w:hAnsi="Times New Roman;serif"/>
                  <w:b w:val="false"/>
                  <w:color w:val="000080"/>
                  <w:sz w:val="20"/>
                  <w:u w:val="single"/>
                </w:rPr>
                <w:t>6</w:t>
              </w:r>
            </w:hyperlink>
            <w:hyperlink r:id="rId99">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Offer letter, dated March 26, 2021, by and between Jon Vander Ark and Republic Services, Inc. (incorporated by reference to Exhibit 10.1 of the Company's Quarterly Report on Form 10-Q for the quarter ended March 31, 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0">
              <w:r>
                <w:rPr>
                  <w:rStyle w:val="InternetLink"/>
                  <w:rFonts w:ascii="Times New Roman;serif" w:hAnsi="Times New Roman;serif"/>
                  <w:b w:val="false"/>
                  <w:color w:val="000080"/>
                  <w:sz w:val="20"/>
                  <w:u w:val="single"/>
                </w:rPr>
                <w:t>10.</w:t>
              </w:r>
            </w:hyperlink>
            <w:hyperlink r:id="rId101">
              <w:r>
                <w:rPr>
                  <w:rStyle w:val="InternetLink"/>
                  <w:rFonts w:ascii="Times New Roman;serif" w:hAnsi="Times New Roman;serif"/>
                  <w:b w:val="false"/>
                  <w:color w:val="000080"/>
                  <w:sz w:val="20"/>
                  <w:u w:val="single"/>
                </w:rPr>
                <w:t>1</w:t>
              </w:r>
            </w:hyperlink>
            <w:hyperlink r:id="rId102">
              <w:r>
                <w:rPr>
                  <w:rStyle w:val="InternetLink"/>
                  <w:rFonts w:ascii="Times New Roman;serif" w:hAnsi="Times New Roman;serif"/>
                  <w:b w:val="false"/>
                  <w:color w:val="000080"/>
                  <w:sz w:val="20"/>
                  <w:u w:val="single"/>
                </w:rPr>
                <w:t>7</w:t>
              </w:r>
            </w:hyperlink>
            <w:hyperlink r:id="rId103">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Non-Competition, Non-Solicitation, Confidentiality, and Arbitration Agreement, effective February 13, 2024, by and between Jon Vander Ark and Republic Services, Inc. (incorporated by reference to Exhibit 10.22 of the Company's Annual Report on Form 10-K for the year ended December 31, 2023).</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4">
              <w:r>
                <w:rPr>
                  <w:rStyle w:val="InternetLink"/>
                  <w:rFonts w:ascii="Times New Roman;serif" w:hAnsi="Times New Roman;serif"/>
                  <w:b w:val="false"/>
                  <w:color w:val="000080"/>
                  <w:sz w:val="20"/>
                  <w:u w:val="single"/>
                </w:rPr>
                <w:t>10.</w:t>
              </w:r>
            </w:hyperlink>
            <w:hyperlink r:id="rId105">
              <w:r>
                <w:rPr>
                  <w:rStyle w:val="InternetLink"/>
                  <w:rFonts w:ascii="Times New Roman;serif" w:hAnsi="Times New Roman;serif"/>
                  <w:b w:val="false"/>
                  <w:color w:val="000080"/>
                  <w:sz w:val="20"/>
                  <w:u w:val="single"/>
                </w:rPr>
                <w:t>1</w:t>
              </w:r>
            </w:hyperlink>
            <w:hyperlink r:id="rId106">
              <w:r>
                <w:rPr>
                  <w:rStyle w:val="InternetLink"/>
                  <w:rFonts w:ascii="Times New Roman;serif" w:hAnsi="Times New Roman;serif"/>
                  <w:b w:val="false"/>
                  <w:color w:val="000080"/>
                  <w:sz w:val="20"/>
                  <w:u w:val="single"/>
                </w:rPr>
                <w:t>8</w:t>
              </w:r>
            </w:hyperlink>
            <w:hyperlink r:id="rId107">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Inc. 2021 Stock Incentive Plan (incorporated by reference to Exhibit 10.30 of the Company's Annual Report on Form 10-K for the year ended December 31,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8">
              <w:r>
                <w:rPr>
                  <w:rStyle w:val="InternetLink"/>
                  <w:rFonts w:ascii="Times New Roman;serif" w:hAnsi="Times New Roman;serif"/>
                  <w:b w:val="false"/>
                  <w:color w:val="000080"/>
                  <w:sz w:val="20"/>
                  <w:u w:val="single"/>
                </w:rPr>
                <w:t>10.</w:t>
              </w:r>
            </w:hyperlink>
            <w:hyperlink r:id="rId109">
              <w:r>
                <w:rPr>
                  <w:rStyle w:val="InternetLink"/>
                  <w:rFonts w:ascii="Times New Roman;serif" w:hAnsi="Times New Roman;serif"/>
                  <w:b w:val="false"/>
                  <w:color w:val="000080"/>
                  <w:sz w:val="20"/>
                  <w:u w:val="single"/>
                </w:rPr>
                <w:t>1</w:t>
              </w:r>
            </w:hyperlink>
            <w:hyperlink r:id="rId110">
              <w:r>
                <w:rPr>
                  <w:rStyle w:val="InternetLink"/>
                  <w:rFonts w:ascii="Times New Roman;serif" w:hAnsi="Times New Roman;serif"/>
                  <w:b w:val="false"/>
                  <w:color w:val="000080"/>
                  <w:sz w:val="20"/>
                  <w:u w:val="single"/>
                </w:rPr>
                <w:t>9</w:t>
              </w:r>
            </w:hyperlink>
            <w:hyperlink r:id="rId111">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Performance Share Agreement (Executive Officer) under the Republic Services, Inc. 2021 Stock Incentive Plan (incorporated by reference to Exhibit 10.18 of the Company’s Annual Report on Form 10-K for the year ended December 31, 2024).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2">
              <w:r>
                <w:rPr>
                  <w:rStyle w:val="InternetLink"/>
                  <w:rFonts w:ascii="Times New Roman;serif" w:hAnsi="Times New Roman;serif"/>
                  <w:b w:val="false"/>
                  <w:color w:val="000080"/>
                  <w:sz w:val="20"/>
                  <w:u w:val="single"/>
                </w:rPr>
                <w:t>10.</w:t>
              </w:r>
            </w:hyperlink>
            <w:hyperlink r:id="rId113">
              <w:r>
                <w:rPr>
                  <w:rStyle w:val="InternetLink"/>
                  <w:rFonts w:ascii="Times New Roman;serif" w:hAnsi="Times New Roman;serif"/>
                  <w:b w:val="false"/>
                  <w:color w:val="000080"/>
                  <w:sz w:val="20"/>
                  <w:u w:val="single"/>
                </w:rPr>
                <w:t>20</w:t>
              </w:r>
            </w:hyperlink>
            <w:hyperlink r:id="rId114">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Performance Share Agreement (Other Executive) under the Republic Services, Inc. 2021 Stock Incentive Plan (incorporated by reference to Exhibit 10.19 of the Company’s Annual Report on Form 10-K for the year ended December 31, 2024).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5">
              <w:r>
                <w:rPr>
                  <w:rStyle w:val="InternetLink"/>
                  <w:rFonts w:ascii="Times New Roman;serif" w:hAnsi="Times New Roman;serif"/>
                  <w:b w:val="false"/>
                  <w:color w:val="000080"/>
                  <w:sz w:val="20"/>
                  <w:u w:val="single"/>
                </w:rPr>
                <w:t>10.2</w:t>
              </w:r>
            </w:hyperlink>
            <w:hyperlink r:id="rId116">
              <w:r>
                <w:rPr>
                  <w:rStyle w:val="InternetLink"/>
                  <w:rFonts w:ascii="Times New Roman;serif" w:hAnsi="Times New Roman;serif"/>
                  <w:b w:val="false"/>
                  <w:color w:val="000080"/>
                  <w:sz w:val="20"/>
                  <w:u w:val="single"/>
                </w:rPr>
                <w:t>1</w:t>
              </w:r>
            </w:hyperlink>
            <w:hyperlink r:id="rId117">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Performance Share Agreement (Non-Executive Officer EVP) under the Republic Services, Inc. 2021 Stock Incentive Plan (incorporated by reference to Exhibit 10.20 of the Company’s Annual Report on Form 10-K for the year ended December 31, 2024).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8">
              <w:r>
                <w:rPr>
                  <w:rStyle w:val="InternetLink"/>
                  <w:rFonts w:ascii="Times New Roman;serif" w:hAnsi="Times New Roman;serif"/>
                  <w:b w:val="false"/>
                  <w:color w:val="000080"/>
                  <w:sz w:val="20"/>
                  <w:u w:val="single"/>
                </w:rPr>
                <w:t>10.2</w:t>
              </w:r>
            </w:hyperlink>
            <w:hyperlink r:id="rId119">
              <w:r>
                <w:rPr>
                  <w:rStyle w:val="InternetLink"/>
                  <w:rFonts w:ascii="Times New Roman;serif" w:hAnsi="Times New Roman;serif"/>
                  <w:b w:val="false"/>
                  <w:color w:val="000080"/>
                  <w:sz w:val="20"/>
                  <w:u w:val="single"/>
                </w:rPr>
                <w:t>2</w:t>
              </w:r>
            </w:hyperlink>
            <w:hyperlink r:id="rId120">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Employee Restricted Stock Unit Agreement (Senior Executive) under the Republic Services, Inc. 2021 Stock Incentive Plan (incorporated by reference to Exhibit 10.21 of the Company’s Annual Report on Form 10-K for the year ended December 31, 2024).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1">
              <w:r>
                <w:rPr>
                  <w:rStyle w:val="InternetLink"/>
                  <w:rFonts w:ascii="Times New Roman;serif" w:hAnsi="Times New Roman;serif"/>
                  <w:b w:val="false"/>
                  <w:color w:val="000080"/>
                  <w:sz w:val="20"/>
                  <w:u w:val="single"/>
                </w:rPr>
                <w:t>10.2</w:t>
              </w:r>
            </w:hyperlink>
            <w:hyperlink r:id="rId122">
              <w:r>
                <w:rPr>
                  <w:rStyle w:val="InternetLink"/>
                  <w:rFonts w:ascii="Times New Roman;serif" w:hAnsi="Times New Roman;serif"/>
                  <w:b w:val="false"/>
                  <w:color w:val="000080"/>
                  <w:sz w:val="20"/>
                  <w:u w:val="single"/>
                </w:rPr>
                <w:t>3</w:t>
              </w:r>
            </w:hyperlink>
            <w:hyperlink r:id="rId123">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Employee Restricted Stock Unit Agreement (Senior Executive, Cliff Vesting) under the Republic Services, Inc. 2021 Stock Incentive Plan (incorporated by reference to Exhibit 10.22 of the Company’s Annual Report on Form 10-K for the year ended December 31, 2024).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4">
              <w:r>
                <w:rPr>
                  <w:rStyle w:val="InternetLink"/>
                  <w:rFonts w:ascii="Times New Roman;serif" w:hAnsi="Times New Roman;serif"/>
                  <w:b w:val="false"/>
                  <w:color w:val="000080"/>
                  <w:sz w:val="20"/>
                  <w:u w:val="single"/>
                </w:rPr>
                <w:t>10.2</w:t>
              </w:r>
            </w:hyperlink>
            <w:hyperlink r:id="rId125">
              <w:r>
                <w:rPr>
                  <w:rStyle w:val="InternetLink"/>
                  <w:rFonts w:ascii="Times New Roman;serif" w:hAnsi="Times New Roman;serif"/>
                  <w:b w:val="false"/>
                  <w:color w:val="000080"/>
                  <w:sz w:val="20"/>
                  <w:u w:val="single"/>
                </w:rPr>
                <w:t>4</w:t>
              </w:r>
            </w:hyperlink>
            <w:hyperlink r:id="rId126">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Employee Restricted Stock Unit Agreement (Other Employees) under the Republic Services, Inc. 2021 Stock Incentive Plan (incorporated by reference to Exhibit 10.23 of the Company’s Annual Report on Form 10-K for the year ended December 31, 2024).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7">
              <w:r>
                <w:rPr>
                  <w:rStyle w:val="InternetLink"/>
                  <w:rFonts w:ascii="Times New Roman;serif" w:hAnsi="Times New Roman;serif"/>
                  <w:b w:val="false"/>
                  <w:color w:val="000080"/>
                  <w:sz w:val="20"/>
                  <w:u w:val="single"/>
                </w:rPr>
                <w:t>10.</w:t>
              </w:r>
            </w:hyperlink>
            <w:hyperlink r:id="rId128">
              <w:r>
                <w:rPr>
                  <w:rStyle w:val="InternetLink"/>
                  <w:rFonts w:ascii="Times New Roman;serif" w:hAnsi="Times New Roman;serif"/>
                  <w:b w:val="false"/>
                  <w:color w:val="000080"/>
                  <w:sz w:val="20"/>
                  <w:u w:val="single"/>
                </w:rPr>
                <w:t>2</w:t>
              </w:r>
            </w:hyperlink>
            <w:hyperlink r:id="rId129">
              <w:r>
                <w:rPr>
                  <w:rStyle w:val="InternetLink"/>
                  <w:rFonts w:ascii="Times New Roman;serif" w:hAnsi="Times New Roman;serif"/>
                  <w:b w:val="false"/>
                  <w:color w:val="000080"/>
                  <w:sz w:val="20"/>
                  <w:u w:val="single"/>
                </w:rPr>
                <w:t>5</w:t>
              </w:r>
            </w:hyperlink>
            <w:hyperlink r:id="rId130">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Non-Competition, Non-Solicitation, Confidentiality, and Arbitration Agreement, effective February 13, 2024, by and between Brian A. Bales and Republic Services, Inc. (incorporated by reference to Exhibit 10.30 of the Company's Annual Report on Form 10-K for the year ended December 31, 2023).</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1">
              <w:r>
                <w:rPr>
                  <w:rStyle w:val="InternetLink"/>
                  <w:rFonts w:ascii="Times New Roman;serif" w:hAnsi="Times New Roman;serif"/>
                  <w:b w:val="false"/>
                  <w:color w:val="000080"/>
                  <w:sz w:val="20"/>
                  <w:u w:val="single"/>
                </w:rPr>
                <w:t>10.</w:t>
              </w:r>
            </w:hyperlink>
            <w:hyperlink r:id="rId132">
              <w:r>
                <w:rPr>
                  <w:rStyle w:val="InternetLink"/>
                  <w:rFonts w:ascii="Times New Roman;serif" w:hAnsi="Times New Roman;serif"/>
                  <w:b w:val="false"/>
                  <w:color w:val="000080"/>
                  <w:sz w:val="20"/>
                  <w:u w:val="single"/>
                </w:rPr>
                <w:t>2</w:t>
              </w:r>
            </w:hyperlink>
            <w:hyperlink r:id="rId133">
              <w:r>
                <w:rPr>
                  <w:rStyle w:val="InternetLink"/>
                  <w:rFonts w:ascii="Times New Roman;serif" w:hAnsi="Times New Roman;serif"/>
                  <w:b w:val="false"/>
                  <w:color w:val="000080"/>
                  <w:sz w:val="20"/>
                  <w:u w:val="single"/>
                </w:rPr>
                <w:t>6</w:t>
              </w:r>
            </w:hyperlink>
            <w:hyperlink r:id="rId134">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Offer Letter, dated August 18, 2023, by and between Gregg Brummer and Republic Services, Inc.(incorporated by reference to Exhibit 10.1 of the Company's Quarterly Report on Form 10-Q for the quarter ended March 31, 2024).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5">
              <w:r>
                <w:rPr>
                  <w:rStyle w:val="InternetLink"/>
                  <w:rFonts w:ascii="Times New Roman;serif" w:hAnsi="Times New Roman;serif"/>
                  <w:b w:val="false"/>
                  <w:color w:val="000080"/>
                  <w:sz w:val="20"/>
                  <w:u w:val="single"/>
                </w:rPr>
                <w:t>10.</w:t>
              </w:r>
            </w:hyperlink>
            <w:hyperlink r:id="rId136">
              <w:r>
                <w:rPr>
                  <w:rStyle w:val="InternetLink"/>
                  <w:rFonts w:ascii="Times New Roman;serif" w:hAnsi="Times New Roman;serif"/>
                  <w:b w:val="false"/>
                  <w:color w:val="000080"/>
                  <w:sz w:val="20"/>
                  <w:u w:val="single"/>
                </w:rPr>
                <w:t>2</w:t>
              </w:r>
            </w:hyperlink>
            <w:hyperlink r:id="rId137">
              <w:r>
                <w:rPr>
                  <w:rStyle w:val="InternetLink"/>
                  <w:rFonts w:ascii="Times New Roman;serif" w:hAnsi="Times New Roman;serif"/>
                  <w:b w:val="false"/>
                  <w:color w:val="000080"/>
                  <w:sz w:val="20"/>
                  <w:u w:val="single"/>
                </w:rPr>
                <w:t>7</w:t>
              </w:r>
            </w:hyperlink>
            <w:hyperlink r:id="rId138">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Non-Competition, Non-Solicitation, Confidentiality and Arbitration Agreement, effective February 13, 2024, by and between Gregg Brummer and Republic Services, Inc. (incorporated by reference to Exhibit 10.2 of the Company's Quarterly Report on Form 10-Q for the quarter ended March 31, 2024).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9">
              <w:r>
                <w:rPr>
                  <w:rStyle w:val="InternetLink"/>
                  <w:rFonts w:ascii="Times New Roman;serif" w:hAnsi="Times New Roman;serif"/>
                  <w:b w:val="false"/>
                  <w:color w:val="000080"/>
                  <w:sz w:val="20"/>
                  <w:u w:val="single"/>
                </w:rPr>
                <w:t>10.2</w:t>
              </w:r>
            </w:hyperlink>
            <w:hyperlink r:id="rId140">
              <w:r>
                <w:rPr>
                  <w:rStyle w:val="InternetLink"/>
                  <w:rFonts w:ascii="Times New Roman;serif" w:hAnsi="Times New Roman;serif"/>
                  <w:b w:val="false"/>
                  <w:color w:val="000080"/>
                  <w:sz w:val="20"/>
                  <w:u w:val="single"/>
                </w:rPr>
                <w:t>8</w:t>
              </w:r>
            </w:hyperlink>
            <w:hyperlink r:id="rId141">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1 to Republic Services, Inc. 2018 Employee Stock Purchase Plan, effective February 4, 2025 (incorporated by reference to Exhibit 10.27 of the Company’s Annual Report on Form 10-K for the year ended December 31, 2024).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2">
              <w:r>
                <w:rPr>
                  <w:rStyle w:val="InternetLink"/>
                  <w:rFonts w:ascii="Times New Roman;serif" w:hAnsi="Times New Roman;serif"/>
                  <w:b w:val="false"/>
                  <w:color w:val="000080"/>
                  <w:sz w:val="20"/>
                  <w:u w:val="single"/>
                </w:rPr>
                <w:t>10.2</w:t>
              </w:r>
            </w:hyperlink>
            <w:hyperlink r:id="rId143">
              <w:r>
                <w:rPr>
                  <w:rStyle w:val="InternetLink"/>
                  <w:rFonts w:ascii="Times New Roman;serif" w:hAnsi="Times New Roman;serif"/>
                  <w:b w:val="false"/>
                  <w:color w:val="000080"/>
                  <w:sz w:val="20"/>
                  <w:u w:val="single"/>
                </w:rPr>
                <w:t>9</w:t>
              </w:r>
            </w:hyperlink>
            <w:hyperlink r:id="rId144">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1 to Republic Services, Inc. 2021 Stock Incentive Plan, effective February 4, 2025 (incorporated by reference to Exhibit 10.28 of the Company’s Annual Report on Form 10-K for the year ended December 31, 2024).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5">
              <w:r>
                <w:rPr>
                  <w:rStyle w:val="InternetLink"/>
                  <w:rFonts w:ascii="Times New Roman;serif" w:hAnsi="Times New Roman;serif"/>
                  <w:b w:val="false"/>
                  <w:color w:val="0000FF"/>
                  <w:sz w:val="20"/>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Insider Trading Policy (incorporated by reference to Exhibit 19.1 of the Company’s Annual Report on Form 10-K for the year ended December 31, 2024).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6">
              <w:r>
                <w:rPr>
                  <w:rStyle w:val="InternetLink"/>
                  <w:rFonts w:ascii="Times New Roman;serif" w:hAnsi="Times New Roman;serif"/>
                  <w:b w:val="false"/>
                  <w:color w:val="0000FF"/>
                  <w:sz w:val="20"/>
                  <w:u w:val="single"/>
                </w:rPr>
                <w:t>19.2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Insider Trading Procedures (incorporated by reference to Exhibit 19.2 of the Company’s Annual Report on Form 10-K for the year ended December 31, 2024).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7">
              <w:r>
                <w:rPr>
                  <w:rStyle w:val="InternetLink"/>
                  <w:rFonts w:ascii="Times New Roman;serif" w:hAnsi="Times New Roman;serif"/>
                  <w:b w:val="false"/>
                  <w:color w:val="0000FF"/>
                  <w:sz w:val="20"/>
                  <w:u w:val="single"/>
                </w:rPr>
                <w:t>19.3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Share Repurchase Policy (incorporated by reference to Exhibit 19.3 of the Company’s Annual Report on Form 10-K for the year ended December 31, 2024).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211-subsidiariesoft.htm">
              <w:r>
                <w:rPr>
                  <w:rStyle w:val="InternetLink"/>
                  <w:rFonts w:ascii="Times New Roman;serif" w:hAnsi="Times New Roman;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Subsidiaries of the Company.</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231-consentofernsty.htm">
              <w:r>
                <w:rPr>
                  <w:rStyle w:val="InternetLink"/>
                  <w:rFonts w:ascii="Times New Roman;serif" w:hAnsi="Times New Roman;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Ernst &amp; Young LLP.</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1rule13a-14a15dx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13a-14(a)/15d-14(a) Certification of Chief Executive Officer.</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2rule13a-14a15dx1.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13a-14(a)/15d-14(a) Certification of Chief Financial Officer.</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1section1350certi.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1350 Certification of Chief Executive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7"/>
        <w:gridCol w:w="280"/>
        <w:gridCol w:w="281"/>
        <w:gridCol w:w="109"/>
        <w:gridCol w:w="109"/>
        <w:gridCol w:w="109"/>
        <w:gridCol w:w="2652"/>
        <w:gridCol w:w="2625"/>
        <w:gridCol w:w="3723"/>
      </w:tblGrid>
      <w:tr>
        <w:trPr/>
        <w:tc>
          <w:tcPr>
            <w:tcW w:w="31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723"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2section1350certi.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1350 Certification of Chief Financial Officer.</w:t>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8">
              <w:r>
                <w:rPr>
                  <w:rStyle w:val="InternetLink"/>
                  <w:rFonts w:ascii="Times New Roman;serif" w:hAnsi="Times New Roman;serif"/>
                  <w:b w:val="false"/>
                  <w:color w:val="0000FF"/>
                  <w:sz w:val="20"/>
                  <w:u w:val="single"/>
                </w:rPr>
                <w:t>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Clawback Policy, dated July 19, 2023 (incorporated by reference to Exhibit 10.1 of the Company's Quarterly Report on Form 10-Q for the quarter ended June 30, 2023).</w:t>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Labels Linkbase Document.</w:t>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This exhibit is being furnished rather than filed and shall not be deemed incorporated by reference into any filing, in accordance with Item 601 of Regulation S-K.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Indicates a management contract or compensatory plan or arrangement.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Pursuant to Item 601(b)(4)(iii)(A) of Regulation S-K, the Company has not filed as exhibits to this Form 10-K certain long-term debt instruments under which the total amount of securities authorized does not exceed 10% of the total assets of the Company and its subsidiaries on a consolidated basis. The Company hereby agrees to furnish a copy of any such instrument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16.FORM 10-K SUMMARY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54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267"/>
        <w:gridCol w:w="267"/>
        <w:gridCol w:w="267"/>
        <w:gridCol w:w="267"/>
        <w:gridCol w:w="267"/>
        <w:gridCol w:w="267"/>
        <w:gridCol w:w="722"/>
        <w:gridCol w:w="722"/>
        <w:gridCol w:w="10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INC.</w:t>
              <w:b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JON VANDER ARK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Jon Vander Ark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w:t>
              <w:br/>
              <w:t>Chief Executive Officer</w:t>
              <w:br/>
              <w:t>(Principal Executive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color w:val="000000"/>
        </w:rPr>
      </w:pPr>
      <w:r>
        <w:rPr>
          <w:color w:val="000000"/>
        </w:rPr>
        <w:t> </w:t>
      </w:r>
    </w:p>
    <w:tbl>
      <w:tblPr>
        <w:tblW w:w="8032" w:type="dxa"/>
        <w:jc w:val="left"/>
        <w:tblInd w:w="0" w:type="dxa"/>
        <w:tblLayout w:type="fixed"/>
        <w:tblCellMar>
          <w:top w:w="28" w:type="dxa"/>
          <w:left w:w="28" w:type="dxa"/>
          <w:bottom w:w="28" w:type="dxa"/>
          <w:right w:w="28" w:type="dxa"/>
        </w:tblCellMar>
      </w:tblPr>
      <w:tblGrid>
        <w:gridCol w:w="1014"/>
        <w:gridCol w:w="891"/>
        <w:gridCol w:w="900"/>
        <w:gridCol w:w="109"/>
        <w:gridCol w:w="109"/>
        <w:gridCol w:w="109"/>
        <w:gridCol w:w="977"/>
        <w:gridCol w:w="977"/>
        <w:gridCol w:w="985"/>
        <w:gridCol w:w="109"/>
        <w:gridCol w:w="109"/>
        <w:gridCol w:w="109"/>
        <w:gridCol w:w="478"/>
        <w:gridCol w:w="478"/>
        <w:gridCol w:w="678"/>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JON VANDER 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w:t>
              <w:br/>
              <w:t>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17, 2026</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Jon Vander 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BRIAN D</w:t>
            </w:r>
            <w:r>
              <w:rPr>
                <w:rFonts w:ascii="Times New Roman;serif" w:hAnsi="Times New Roman;serif"/>
                <w:b w:val="false"/>
                <w:color w:val="000000"/>
                <w:sz w:val="16"/>
              </w:rPr>
              <w:t>EL</w:t>
            </w:r>
            <w:r>
              <w:rPr>
                <w:rFonts w:ascii="Times New Roman;serif" w:hAnsi="Times New Roman;serif"/>
                <w:b w:val="false"/>
                <w:color w:val="000000"/>
                <w:sz w:val="20"/>
              </w:rPr>
              <w:t>GHIACCIO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w:t>
              <w:br/>
              <w:t>Chief Financial Officer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17, 2026</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Brian D</w:t>
            </w:r>
            <w:r>
              <w:rPr>
                <w:rFonts w:ascii="Times New Roman;serif" w:hAnsi="Times New Roman;serif"/>
                <w:b w:val="false"/>
                <w:color w:val="000000"/>
                <w:sz w:val="18"/>
              </w:rPr>
              <w:t>el</w:t>
            </w:r>
            <w:r>
              <w:rPr>
                <w:rFonts w:ascii="Times New Roman;serif" w:hAnsi="Times New Roman;serif"/>
                <w:b w:val="false"/>
                <w:color w:val="000000"/>
                <w:sz w:val="20"/>
              </w:rPr>
              <w:t>Ghiaccio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ELYSE M. CARLSEN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and</w:t>
              <w:br/>
              <w:t>Chief Accounting Officer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17, 2026</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Elyse M. Carlsen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MANUEL KADRE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17, 2026</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Manuel Kadre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IAN CRAIG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17, 2026</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Ian Craig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A. DUFFY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17, 2026</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A. Duffy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THOMAS W. HANDLEY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17, 2026</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Thomas W. Handley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JENNIFER M. KIRK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17, 2026</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Jennifer M. Kirk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LARSON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17, 2026</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Larson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 THOMAS LINEBARGER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17, 2026</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 Thomas Linebarger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MEG REYNOLDS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17, 2026</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Meg Reynolds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erif" w:hAnsi="Times New Roman;serif"/>
            <w:b/>
            <w:color w:val="0000FF"/>
            <w:sz w:val="16"/>
            <w:u w:val="single"/>
          </w:rPr>
          <w:t>Table of Contents</w:t>
        </w:r>
      </w:hyperlink>
    </w:p>
    <w:tbl>
      <w:tblPr>
        <w:tblW w:w="6069" w:type="dxa"/>
        <w:jc w:val="left"/>
        <w:tblInd w:w="0" w:type="dxa"/>
        <w:tblLayout w:type="fixed"/>
        <w:tblCellMar>
          <w:top w:w="28" w:type="dxa"/>
          <w:left w:w="28" w:type="dxa"/>
          <w:bottom w:w="28" w:type="dxa"/>
          <w:right w:w="28" w:type="dxa"/>
        </w:tblCellMar>
      </w:tblPr>
      <w:tblGrid>
        <w:gridCol w:w="1091"/>
        <w:gridCol w:w="960"/>
        <w:gridCol w:w="964"/>
        <w:gridCol w:w="109"/>
        <w:gridCol w:w="109"/>
        <w:gridCol w:w="109"/>
        <w:gridCol w:w="255"/>
        <w:gridCol w:w="255"/>
        <w:gridCol w:w="256"/>
        <w:gridCol w:w="109"/>
        <w:gridCol w:w="109"/>
        <w:gridCol w:w="109"/>
        <w:gridCol w:w="478"/>
        <w:gridCol w:w="478"/>
        <w:gridCol w:w="678"/>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P. SNEE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17, 2026</w:t>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James P. Snee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S. TYLER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17, 2026</w:t>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Brian S. Tyler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SANDRA M. VOLPE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17, 2026</w:t>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Sandra M. Volpe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KATHARINE B. WEYMOUTH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17, 2026</w:t>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Katharine B. Weymouth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tbl>
      <w:tblPr>
        <w:tblW w:w="5984" w:type="dxa"/>
        <w:jc w:val="center"/>
        <w:tblInd w:w="0" w:type="dxa"/>
        <w:tblLayout w:type="fixed"/>
        <w:tblCellMar>
          <w:top w:w="28" w:type="dxa"/>
          <w:left w:w="28" w:type="dxa"/>
          <w:bottom w:w="28" w:type="dxa"/>
          <w:right w:w="28" w:type="dxa"/>
        </w:tblCellMar>
      </w:tblPr>
      <w:tblGrid>
        <w:gridCol w:w="1322"/>
        <w:gridCol w:w="1160"/>
        <w:gridCol w:w="1163"/>
        <w:gridCol w:w="685"/>
        <w:gridCol w:w="685"/>
        <w:gridCol w:w="969"/>
      </w:tblGrid>
      <w:tr>
        <w:trPr/>
        <w:tc>
          <w:tcPr>
            <w:tcW w:w="132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Subsidiaries and Affiliates</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Jurisdiction of Formation</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11456091 Canada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(Federal)</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12963 Main Solar 1,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130 Environmental Park,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15974356 Canada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(Federal)</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16037721 Canada Inc. </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(Federal)</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 Knapp Road Solar,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 Knapp Solar 2,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 Ashdown Road Solar,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3G&amp;L</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623 Landfill,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 M Properties,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8439117 Canada Inc. </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(Federal)</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D A J Corporation</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A-Best Disposal,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Abilene Landfill TX, LP</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Ace Disposal Services,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 Property Acquisition Partners III,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 Property Acquisition Partners IV,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 Property Acquisition Partners V,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 Property Acquisition Partners VI,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 Property Acquisition Partners,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Action Disposal,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ACV Enviro 1045 RE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ACV Enviro CC Holding Corporation</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ACV Enviro Corporation</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ACV Enviro Holding Corporation</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ACV Enviro MA RE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ACV Enviro MD RE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ACV Enviro MI Corporation</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ACV Environmental Services,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Adrian Landfill,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ADS of Illinois,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ADS,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Oklahoma</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Chemical Transport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Chemical Treatment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Mexico</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Accabonac Solar,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Belleville Solar,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Broadalbin Solar,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CE RS XVI,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CE RS XXII,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AES CE RS XXIII, LLC </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DE RS I,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DE RS II,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DE RS III,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154" w:type="dxa"/>
        <w:jc w:val="center"/>
        <w:tblInd w:w="0" w:type="dxa"/>
        <w:tblLayout w:type="fixed"/>
        <w:tblCellMar>
          <w:top w:w="28" w:type="dxa"/>
          <w:left w:w="28" w:type="dxa"/>
          <w:bottom w:w="28" w:type="dxa"/>
          <w:right w:w="28" w:type="dxa"/>
        </w:tblCellMar>
      </w:tblPr>
      <w:tblGrid>
        <w:gridCol w:w="1124"/>
        <w:gridCol w:w="986"/>
        <w:gridCol w:w="995"/>
        <w:gridCol w:w="306"/>
        <w:gridCol w:w="306"/>
        <w:gridCol w:w="437"/>
      </w:tblGrid>
      <w:tr>
        <w:trPr/>
        <w:tc>
          <w:tcPr>
            <w:tcW w:w="112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DE RS IV,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DE RS IX,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DE RS V,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DE RS VI,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DE RS VII,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DE RS VIII,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DE RS X,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DE RS XI,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DE RS XII,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DE RS XIV,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DE RS XV,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ES Westwing,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Gabreski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Greece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Holland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Johnsville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Kekaha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Kuihelani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Lawa'i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Monroe Solar A,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Monroe Solar B,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Monroe Solar C,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Monroe Solar D,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Monroe Solar E,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Orphan Farm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RH RS XIX,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RH RS XVII,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RH RS XVIII,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RH RS XXI,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Rochester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Tonawanda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Waikoloa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Wawarsing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AES West Oahu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Agricultural Acquisitions,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Agri-Tech, Inc. of Oregon</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Agromin OC,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Alabama Recycling Services, Inc.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Alabama</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Albany-Lebanon Sanitation, Inc.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Gas Recovery Systems,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Green Power,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Nova Scotia, Inc.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Remediation Services, Inc.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Research Affiliates,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Services,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134" w:type="dxa"/>
        <w:jc w:val="center"/>
        <w:tblInd w:w="0" w:type="dxa"/>
        <w:tblLayout w:type="fixed"/>
        <w:tblCellMar>
          <w:top w:w="28" w:type="dxa"/>
          <w:left w:w="28" w:type="dxa"/>
          <w:bottom w:w="28" w:type="dxa"/>
          <w:right w:w="28" w:type="dxa"/>
        </w:tblCellMar>
      </w:tblPr>
      <w:tblGrid>
        <w:gridCol w:w="1728"/>
        <w:gridCol w:w="1517"/>
        <w:gridCol w:w="1524"/>
        <w:gridCol w:w="399"/>
        <w:gridCol w:w="399"/>
        <w:gridCol w:w="567"/>
      </w:tblGrid>
      <w:tr>
        <w:trPr/>
        <w:tc>
          <w:tcPr>
            <w:tcW w:w="1728"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Environmental Management Group,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Holdings (Canada) Ltd.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Industries (Arizona),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Industries of Illinois,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Industries of Tennessee,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Industries,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Landfill Holdings,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Niagara Falls Landfill,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North America,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of California,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Recycling Services of New Hampshire,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Rural Sanitation,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Services of Colorado,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Services of Fort Worth,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Services of Massachusetts,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Services of North America,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Services of Page,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Idaho</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Services of Stillwater,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Oklahoma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Sycamore Landfill,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Systems Holdings,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Systems of Arizona,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Systems of Colorado,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Systems of Michigan,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Systems of Montana,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Systems of Pennsylvania,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Systems,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Transfer Services of Arizona,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Transfer Services of California,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Transfer Services of Florida,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Transfer Services of New York,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Transfer Services of North Carolina,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Transfer Services of Oregon,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Transfer Services of Rhode Island,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Transfer Services of Utah,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Waste Transportation,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Allis Medina Solar,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Alpine Disposal,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Amaterasu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Ameresco Roxana RNG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Disposal Services of Illinois,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Disposal Services of Kansas,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Kansas</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Disposal Services of Missouri,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Oklahoma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Disposal Services of New Jersey,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Disposal Services of West Virginia,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Disposal Services,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014" w:type="dxa"/>
        <w:jc w:val="center"/>
        <w:tblInd w:w="0" w:type="dxa"/>
        <w:tblLayout w:type="fixed"/>
        <w:tblCellMar>
          <w:top w:w="28" w:type="dxa"/>
          <w:left w:w="28" w:type="dxa"/>
          <w:bottom w:w="28" w:type="dxa"/>
          <w:right w:w="28" w:type="dxa"/>
        </w:tblCellMar>
      </w:tblPr>
      <w:tblGrid>
        <w:gridCol w:w="1682"/>
        <w:gridCol w:w="1481"/>
        <w:gridCol w:w="1486"/>
        <w:gridCol w:w="429"/>
        <w:gridCol w:w="413"/>
        <w:gridCol w:w="523"/>
      </w:tblGrid>
      <w:tr>
        <w:trPr/>
        <w:tc>
          <w:tcPr>
            <w:tcW w:w="1682"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Disposal Transfer Services of Illinois,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Ecology Environmental Services Corporation</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Materials Recycling Corp.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Sanitation,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Idaho</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Transfer Company,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Anderson Solid Waste,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Anson County Landfill NC,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Apache Junction Landfill Corporation</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 Walden Solar 1,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Aqua Clean Environmental Company,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Aqua Clean Environmental of Virginia,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Arbor Hills Holdings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Area Disposal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Ariana,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Aries Venture Investments Company</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Assonet Solar 1,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Astro Waste Services,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Atlantic Waste Holding Company,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Atlas Transport,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Attwoods of North America,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Autauga County Landfill,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Alabama</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Automated Modular Systems,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Autoshred,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AWIN Leasing Company,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AWIN Management,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Bakersfield Industrial PV 1,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Bakersfield PV 1,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Barker Brothers Waste, Incorporated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Barker Brothers,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Bay Collection Services,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Bay Environmental Management,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Bay Landfills,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Bay Leasing Company,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Bayside Disposal,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BBCO,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Bealine Service Company,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Beals Medina Solar,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Belleville Landfill,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Benfield Holdings of Mooresville,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Benfield Sanitation Services,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Benson Valley Landfill General Partnership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Kentucky</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Berkeley Sanitary Service,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Berrien County Landfill,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Bestway Recycling,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BFGSI Series 1997-A Trust</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126" w:type="dxa"/>
        <w:jc w:val="center"/>
        <w:tblInd w:w="0" w:type="dxa"/>
        <w:tblLayout w:type="fixed"/>
        <w:tblCellMar>
          <w:top w:w="28" w:type="dxa"/>
          <w:left w:w="28" w:type="dxa"/>
          <w:bottom w:w="28" w:type="dxa"/>
          <w:right w:w="28" w:type="dxa"/>
        </w:tblCellMar>
      </w:tblPr>
      <w:tblGrid>
        <w:gridCol w:w="2098"/>
        <w:gridCol w:w="1848"/>
        <w:gridCol w:w="1859"/>
        <w:gridCol w:w="387"/>
        <w:gridCol w:w="387"/>
        <w:gridCol w:w="547"/>
      </w:tblGrid>
      <w:tr>
        <w:trPr/>
        <w:tc>
          <w:tcPr>
            <w:tcW w:w="2098"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BFGSI,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Atlantic,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Energy Systems of Albany,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Energy Systems of Delaware County,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Energy Systems of Essex County,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Energy Systems of Hempstead,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Energy Systems of Niagara II,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Energy Systems of Niagara,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Energy Systems of SEMASS,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Energy Systems of Southeastern Connecticut,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Energy Systems of Southeastern Connecticut, Limited Partnership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REF-FUEL,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Trans River (GP),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Trans River (LP),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Transfer Systems of Alabama,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Transfer Systems of Georgia,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Transfer Systems of Massachusetts,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Transfer Systems of Mississippi,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Transfer Systems of New Jersey,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Transfer Systems of Pennsylvania,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Transfer Systems of Texas, LP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Transfer Systems of Virginia,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Waste Services of Indiana, LP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Waste Services of Pennsylvania,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Waste Services of Texas, LP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Waste Services,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Waste Systems of Alabama,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Waste Systems of Arkansas,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Waste Systems of Georgia,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Waste Systems of Louisiana,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Waste Systems of Massachusetts,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Waste Systems of Mississippi,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Waste Systems of Missouri,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Waste Systems of New Jersey,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Waste Systems of North America,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Waste Systems of Oklahoma,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Oklahoma</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Waste Systems of Tennessee,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BFI Waste Systems of Virginia,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Bio-Med of Oregon,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Blackhorse Farm Solar,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Rhode Island</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Bloomington Haulers,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Minnesota</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Blue Mountain Recycling,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Blue Polymers Buckeye,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Blue Polymers Riverside,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Blue Polymers,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699" w:type="dxa"/>
        <w:jc w:val="center"/>
        <w:tblInd w:w="0" w:type="dxa"/>
        <w:tblLayout w:type="fixed"/>
        <w:tblCellMar>
          <w:top w:w="28" w:type="dxa"/>
          <w:left w:w="28" w:type="dxa"/>
          <w:bottom w:w="28" w:type="dxa"/>
          <w:right w:w="28" w:type="dxa"/>
        </w:tblCellMar>
      </w:tblPr>
      <w:tblGrid>
        <w:gridCol w:w="1544"/>
        <w:gridCol w:w="1352"/>
        <w:gridCol w:w="1363"/>
        <w:gridCol w:w="422"/>
        <w:gridCol w:w="422"/>
        <w:gridCol w:w="596"/>
      </w:tblGrid>
      <w:tr>
        <w:trPr/>
        <w:tc>
          <w:tcPr>
            <w:tcW w:w="15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Blue Ridge Landfill TX, LP</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Bom Ambiente Insurance Company</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Bond County Landfill,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Borrego Landfill,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 Pit Corp.</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Brenham Total Roll-Offs, LP</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Brickyard Disposal &amp; Recycling,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Bridgeton Landfill,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Bridgeton Transfer Station,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Brookwood Drive Solar 1,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Browning-Ferris Industries Chemical Services,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Browning-Ferris Industries de Mexico, S.A. de C.V.</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Browning-Ferris Industries of California,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Browning-Ferris Industries of Florida,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Browning-Ferris Industries of Illinois,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Browning-Ferris Industries of New Jersey,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Browning-Ferris Industries of New York,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Browning-Ferris Industries of Ohio,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Browning-Ferris Industries of Tennessee,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Browning-Ferris Industries,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Browning-Ferris Industries,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Browning-Ferris Services,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Browning-Ferris,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Brunswick Waste Management Facility,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BSS Recycling,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Bullock Freetown Solar 1,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Bunting Trash Service,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Butler County Landfill,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BWC Lake Lashaway,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BWC Lake Ripple,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BWC Muddy Brook,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BWC Stony Brook,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 &amp; C Expanded Sanitary Landfill,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Cactus Waste Systems,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Calvert Trash Service, Incorporated</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Calvert Trash Systems, Incorporated</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Camelot Landfill TX, LP</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Waste &amp; Recycling,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Capitol Recycling and Disposal,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Carbon Limestone Landfill,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 Landfill,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CECOS International,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Cefe Landfill TX, LP</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Celina Landfill,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 Arizona Transfer,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76" w:type="dxa"/>
        <w:jc w:val="center"/>
        <w:tblInd w:w="0" w:type="dxa"/>
        <w:tblLayout w:type="fixed"/>
        <w:tblCellMar>
          <w:top w:w="28" w:type="dxa"/>
          <w:left w:w="28" w:type="dxa"/>
          <w:bottom w:w="28" w:type="dxa"/>
          <w:right w:w="28" w:type="dxa"/>
        </w:tblCellMar>
      </w:tblPr>
      <w:tblGrid>
        <w:gridCol w:w="1532"/>
        <w:gridCol w:w="1343"/>
        <w:gridCol w:w="1355"/>
        <w:gridCol w:w="363"/>
        <w:gridCol w:w="363"/>
        <w:gridCol w:w="520"/>
      </w:tblGrid>
      <w:tr>
        <w:trPr/>
        <w:tc>
          <w:tcPr>
            <w:tcW w:w="1532"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 Line Solar, LLC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 Sanitary Landfill,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 Texas Refuse, LLC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 Virginia Properties, LLC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Champlin Refuse,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Minnesota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Charter Evaporation Resource Recovery Systems</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Cherokee Run Landfill,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Chilton Landfill, LLC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Citizens Disposal,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City-Star Services,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Clarkston Disposal,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Venture,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Clifford Hill Sanitation Service, LLC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Clinton County Landfill Partnership</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CMS RNG LLC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Cocopah Landfill,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Compactor Rental Systems of Delaware,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Congress Development Co.</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Disposal Service, L.L.C.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Processing,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Continental Waste Industries - Gary,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Continental Waste Industries, L.L.C.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COP Shamrock Holdings,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Copper Mountain Landfill,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Corvallis Disposal Co.</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County Disposal (Ohio),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County Disposal,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County Environmental Landfill, LLC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County Land Development Landfill, LLC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County Landfill,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County Line Landfill Partnership</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Courtney Ridge Landfill, LLC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Covington Waste,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Crockett Sanitary Service,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Cronin Road Solar 1, LLC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 Landfill TX, L.P.</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Cumberland County Development Company, LLC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CWI of Florida,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CWI of Illinois,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CWI of Missouri,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Cycle Chem, Inc.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 &amp; L Disposal L.L.C.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Delano PV 1, LLC</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Delta Container Corporation</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Delta Dade Recycling Corp.</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335" w:type="dxa"/>
        <w:jc w:val="center"/>
        <w:tblInd w:w="0" w:type="dxa"/>
        <w:tblLayout w:type="fixed"/>
        <w:tblCellMar>
          <w:top w:w="28" w:type="dxa"/>
          <w:left w:w="28" w:type="dxa"/>
          <w:bottom w:w="28" w:type="dxa"/>
          <w:right w:w="28" w:type="dxa"/>
        </w:tblCellMar>
      </w:tblPr>
      <w:tblGrid>
        <w:gridCol w:w="2159"/>
        <w:gridCol w:w="1901"/>
        <w:gridCol w:w="1910"/>
        <w:gridCol w:w="398"/>
        <w:gridCol w:w="398"/>
        <w:gridCol w:w="569"/>
      </w:tblGrid>
      <w:tr>
        <w:trPr/>
        <w:tc>
          <w:tcPr>
            <w:tcW w:w="2159"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Delta Paper Stock, Co.</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Delta Resources Corp.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Delta Site Development Corp.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Delta Waste Corp.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Dempsey Waste Systems II,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Denver RL North,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Desarrollo del Rancho La Gloria TX, LP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Devens Recycling Center,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Dinverno,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DTC Management,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Dunstable Solar 1,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Dusenberry Lane Solar 1,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 &amp; P Investment Corporation</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Eagle Construction and Environmental Services,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Eagle Industries Leasing,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 Brookfield Main Street Solar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 Chicago Compost Facility,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ECDC Environmental, 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ECDC Holdings,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ECOFLO Field Services,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ECOFLO Holding,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ECOFLO Logistics,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ECOFLO Recycling,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ECOFLO Southeast,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ECOFLO,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 Centro Landfill, L.P.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Elder Creek Transfer &amp; Recovery,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Ellis County Landfill TX, LP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Ellis Scott Landfill MO,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Envirite of Illinois,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Envirite of Ohio,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Envirite of Pennsylvania,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Envirite Transportation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Envirocycle,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Development Corp.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Quality Industrial Services de Mexico, S. de R.L. de C.V.</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Reclamation Company</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Services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Environnement P.S.L.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Quebec</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Environtech,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EnviroTech Consultants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Envirowaste,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Envotech-Illinois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 Detroit,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 Holdings,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878" w:type="dxa"/>
        <w:jc w:val="center"/>
        <w:tblInd w:w="0" w:type="dxa"/>
        <w:tblLayout w:type="fixed"/>
        <w:tblCellMar>
          <w:top w:w="28" w:type="dxa"/>
          <w:left w:w="28" w:type="dxa"/>
          <w:bottom w:w="28" w:type="dxa"/>
          <w:right w:w="28" w:type="dxa"/>
        </w:tblCellMar>
      </w:tblPr>
      <w:tblGrid>
        <w:gridCol w:w="1628"/>
        <w:gridCol w:w="1434"/>
        <w:gridCol w:w="1437"/>
        <w:gridCol w:w="403"/>
        <w:gridCol w:w="403"/>
        <w:gridCol w:w="573"/>
      </w:tblGrid>
      <w:tr>
        <w:trPr/>
        <w:tc>
          <w:tcPr>
            <w:tcW w:w="162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 Industrial Services,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 Metals Recovery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 Northeast,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 Parent Company,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Essential Water Solutions,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Evergreen National Indemnity Company</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Evergreen Scavenger Service,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Evergreen Scavenger Service,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 P. McNamara Rubbish Removal,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FCR Camden,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FCR Florida,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FCR Greensboro,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FCR Morris,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FCR Tennessee,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FCR,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Finchville Solar,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Fiorito Enterprises,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Five Part Development,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Flint Hill Road,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FLL,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 Recycling Solutions,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Foothill Sanitary Landfill,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Forest View Landfill,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 Worth Landfill TX, LP</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Founder's Homestead Farm Solar,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Rhode Island</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Frankfort Environmental Development Company,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Frontier Waste Services (Colorado),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Frontier Waste Services (Utah),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Frontier Waste Services of Louisiana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Frontier Waste Services, L.P.</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 Van Dyken Disposal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Galveston County Landfill TX, LP</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Gateway Landfill,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GEK,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Alabama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Refuse Rolloff Corp.</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Leck &amp; Son,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 Recycling Services,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GGH North Dakota,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Dakota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GGWM,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Glenmere Lake Solar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Indemnity Assurance Company</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Vermont</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Golden Bear Transfer Services,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Golden Triangle Landfill TX, LP</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Golden Waste Disposal,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340" w:type="dxa"/>
        <w:jc w:val="center"/>
        <w:tblInd w:w="0" w:type="dxa"/>
        <w:tblLayout w:type="fixed"/>
        <w:tblCellMar>
          <w:top w:w="28" w:type="dxa"/>
          <w:left w:w="28" w:type="dxa"/>
          <w:bottom w:w="28" w:type="dxa"/>
          <w:right w:w="28" w:type="dxa"/>
        </w:tblCellMar>
      </w:tblPr>
      <w:tblGrid>
        <w:gridCol w:w="1439"/>
        <w:gridCol w:w="1265"/>
        <w:gridCol w:w="1271"/>
        <w:gridCol w:w="397"/>
        <w:gridCol w:w="397"/>
        <w:gridCol w:w="571"/>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Grants Pass Sanitation,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 Lakes Disposal Service,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 Plains Landfill OK,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 Valley Landfill General Partnership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Kentucky</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Greenridge Reclamation,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Greenridge Waste Services,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Greenwich Solar 1,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Greenwood Landfill TX, LP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GreenWorks,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Gulf West Landfill TX, LP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Gulfcoast Waste Service,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 B Data Security,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Connecticut</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Hancock County Development Company,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Mississippi</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Harland's Sanitary Landfill,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Harrison County Landfill,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Mississippi</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Hayes Blvd. Real Estate,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HMD Waste,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Homestead Recycling Sysetms,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Honeygo Run Reclamation Center,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 Street Holdings,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Hudson Baylor 27th Avenue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Hudson Baylor Atlantic County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Hudson Baylor Beacon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Hudson Baylor Cape May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Hudson Baylor North Gateway,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Hudson Baylor Tucson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Hyder Waste Container,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Illiana Disposal Partnership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 Landfill,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 Recycling Services,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 Valley Recycling,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Imperial Landfill,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Environmental Management,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Trucking Company</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Ingrum Waste Disposal,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Disposal Corp. of California</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Island Waste Services Ltd.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Itasca Landfill TX, LP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Jacksonville Road Real Estate,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Jefferson City Landfill,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Jetter Disposal,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Iowa</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JG Environmental,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Johnstown Solar 1,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JRM Hauling and Recycling Services II,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JRM Hauling and Recycling Services,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94" w:type="dxa"/>
        <w:jc w:val="center"/>
        <w:tblInd w:w="0" w:type="dxa"/>
        <w:tblLayout w:type="fixed"/>
        <w:tblCellMar>
          <w:top w:w="28" w:type="dxa"/>
          <w:left w:w="28" w:type="dxa"/>
          <w:bottom w:w="28" w:type="dxa"/>
          <w:right w:w="28" w:type="dxa"/>
        </w:tblCellMar>
      </w:tblPr>
      <w:tblGrid>
        <w:gridCol w:w="1424"/>
        <w:gridCol w:w="1250"/>
        <w:gridCol w:w="1255"/>
        <w:gridCol w:w="395"/>
        <w:gridCol w:w="395"/>
        <w:gridCol w:w="575"/>
      </w:tblGrid>
      <w:tr>
        <w:trPr/>
        <w:tc>
          <w:tcPr>
            <w:tcW w:w="1424"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JSI Houston Transfer Station,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 &amp; K Trash Removal,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Kankakee Quarry,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Keller Canyon Landfill Company</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Keller Drop Box,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Kent-Meridian Disposal Company</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Kerrville Landfill TX, LP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Key Waste Indiana Partnership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 Cañada Disposal Company,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Lake County C &amp; D Development Partnership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Lake Norman Landfill,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LandComp Corporation</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Lane Ave Solar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Lathrop Sunrise Sanitation Corporation</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Lee County Landfill SC,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Lee County Landfill,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Lemons Landfill,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Lewiston Solar 1,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Lewistown Disposal,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Lewisville Landfill TX, LP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LGS Renewables I, 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Waste Holdings,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Waste Services Limited,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Waste Services of Illinois,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Waste Services of McCook,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Lightning Renewables,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Local Sanitation of Rowan County,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Loop Recycling,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Loop Transfer, Incorporated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Lorain Carbon Zero Solutions,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Lorain County Landfill,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 Pinto &amp; Son, Inc., Sanitation Contractors</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Lucas County Landfill,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Madison County Development,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Manteca PV 1,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Manumit of Florida,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Maple Solar,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Marion Investment Group,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Marion Recycling Center,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Marion Resource Recovery Facility,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Maui 17-2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Hawaii</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McCarty Road Landfill TX, LP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McCusker Recycling,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McInnis Waste Systems,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Meadow Landfill,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810" w:type="dxa"/>
        <w:jc w:val="center"/>
        <w:tblInd w:w="0" w:type="dxa"/>
        <w:tblLayout w:type="fixed"/>
        <w:tblCellMar>
          <w:top w:w="28" w:type="dxa"/>
          <w:left w:w="28" w:type="dxa"/>
          <w:bottom w:w="28" w:type="dxa"/>
          <w:right w:w="28" w:type="dxa"/>
        </w:tblCellMar>
      </w:tblPr>
      <w:tblGrid>
        <w:gridCol w:w="1929"/>
        <w:gridCol w:w="1694"/>
        <w:gridCol w:w="1702"/>
        <w:gridCol w:w="436"/>
        <w:gridCol w:w="436"/>
        <w:gridCol w:w="613"/>
      </w:tblGrid>
      <w:tr>
        <w:trPr/>
        <w:tc>
          <w:tcPr>
            <w:tcW w:w="192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Menands Environmental Solutions, LLC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Mesa Disposal, Inc.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Mesquite Landfill TX, LP</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Mexia Landfill TX, LP</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 Disposal Services, L.L.C.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 Disposal, Inc.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 America Contractors, L.L.C.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Middletown Solar 1, LLC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Mississippi Waste Paper Company</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Mississippi</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 City Landfill, LLC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Modern Power, LLC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Modern-Mallard Energy, LLC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Montana Waste Systems, Inc.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Morgantown Landfill, LLC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MORS Refining Systems Inc.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Mountain Home Disposal, Inc.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Mountain States Packaging, LLC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 Leasing Company, LLC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Response Corp. Aruba N.V.</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Aruba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Response Corporation</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Response Corporation Mexico NRC, S. de R.L. de C.V.</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NationsWaste Catawba Regional Landfill, Inc.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NationsWaste, Inc.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Natl Response Corporation of Puerto Rico</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Mexico Disposal Co., LLC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Morgan Landfill Company, Inc.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Waste Services, LLC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Newton County Landfill Partnership</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Nichols Street Properties LLC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NMRT, LLC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Mexico</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Noble Road Landfill, Inc.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Noble Street Real Estate, LLC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South Fibres Inc.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State Renewables, LLC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 Landfill, LLC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Northlake Transfer, Inc.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 Tennessee Disposal Corporation</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NRC (Asia Pacific) Ltd.</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NRC (Egypt) LLC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Egypt</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NRC (Trinidad and Tobago) Limited</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Trinidad</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NRC East Environmental Services, Inc.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NRC Environmental of Maine, Inc.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Maine</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NRC Environmental Services Inc.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NRC Gulf Environmental Services, Inc.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NRC Int. Holding Company LLC</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Marshall Islands</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58" w:type="dxa"/>
        <w:jc w:val="center"/>
        <w:tblInd w:w="0" w:type="dxa"/>
        <w:tblLayout w:type="fixed"/>
        <w:tblCellMar>
          <w:top w:w="28" w:type="dxa"/>
          <w:left w:w="28" w:type="dxa"/>
          <w:bottom w:w="28" w:type="dxa"/>
          <w:right w:w="28" w:type="dxa"/>
        </w:tblCellMar>
      </w:tblPr>
      <w:tblGrid>
        <w:gridCol w:w="1422"/>
        <w:gridCol w:w="1250"/>
        <w:gridCol w:w="1257"/>
        <w:gridCol w:w="447"/>
        <w:gridCol w:w="447"/>
        <w:gridCol w:w="635"/>
      </w:tblGrid>
      <w:tr>
        <w:trPr/>
        <w:tc>
          <w:tcPr>
            <w:tcW w:w="142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NRC Intermediate Int. Holding Company,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NRC NY Environmental Services,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NRC Payroll Management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NRC Servicing Limited</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 RNM Project1,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 RNM Project1A,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 RNM Project2,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 RNM Project3,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 RNM Project4,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Oahu SPE 101-14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Hawaii</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Oahu SPE 101-19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Hawaii</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Oahu SPE 101-2 LLC </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Hawaii</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Oahu SPE 101-33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Hawaii</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Oahu SPE 101-4 LLC </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Hawaii</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Oahu SPE 101-9 LLC </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Hawaii</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Oakland Heights Development,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Obscurity Land Development,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Oceanside Waste &amp; Recycling Services</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 Republic Contracts, II,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 Republic Contracts,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Oklahoma City Landfill,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Oklahoma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OP-TECH Avix,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Oscar's Collection System of Fremont,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Nebraska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OSRV Holdings,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Otay Landfill,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Ottawa County Landfill,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Packerton Land Company,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Palomar Transfer Station,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Particle Wave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Peltier Real Estate Company</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Peninsula Waste Systems,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Perdomo &amp; Sons,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Pinal County Landfill Corp.</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Pine Bend Holdings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Pine Hill Farms Landfill TX, LP</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Pinecrest Landfill OK,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Pittsburg County Landfill,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Oklahoma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Pleasant Oaks Landfill TX, LP</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Pompage Express M.D.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(Federal)</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 Clinton Landfill,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Portable Storage Co.</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Portville Solar 1,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Prairie Landfill,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Preble County Landfill,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 &amp; Sons Recycling Company</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34" w:type="dxa"/>
        <w:jc w:val="center"/>
        <w:tblInd w:w="0" w:type="dxa"/>
        <w:tblLayout w:type="fixed"/>
        <w:tblCellMar>
          <w:top w:w="28" w:type="dxa"/>
          <w:left w:w="28" w:type="dxa"/>
          <w:bottom w:w="28" w:type="dxa"/>
          <w:right w:w="28" w:type="dxa"/>
        </w:tblCellMar>
      </w:tblPr>
      <w:tblGrid>
        <w:gridCol w:w="1431"/>
        <w:gridCol w:w="1263"/>
        <w:gridCol w:w="1266"/>
        <w:gridCol w:w="373"/>
        <w:gridCol w:w="373"/>
        <w:gridCol w:w="528"/>
      </w:tblGrid>
      <w:tr>
        <w:trPr/>
        <w:tc>
          <w:tcPr>
            <w:tcW w:w="143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Prichard Landfill Corporation</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Virginia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R.C. Miller Enterprises, Inc.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R.C. Miller Refuse Service Inc.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Rabanco Companies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Rabanco Recycling, Inc.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Rabanco, Ltd.</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Rainbow Disposal Co., Inc.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Rainbow Environmental Services,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Rainbow Transfer/Recycling, Inc.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Rainbow West Florida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Ramona Landfill, Inc.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Randy's Rentals,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Minnesota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Randy's Sanitation,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Minnesota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Ransomville Solar 1,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RCS, Inc.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 Community Delaware,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 Community Great Lakes,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 Community Holdings II, Inc.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 Community Renew New York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 Biodiesel,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ReCommunity Corporation</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ReCommunity Farmingdale,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ReCommunity Kentucky,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ReCommunity West Corporation</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 Diamond Disposal, Inc.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Redman Solar 2,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Redman Solar,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Disposal Company</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Reliable Disposal, Inc.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Aurora Renewables,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Circular Solutions,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Dumpco, Inc.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EES,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Environmental Services,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Environmental Technologies, Inc.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Industrial and Energy Solutions,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Lightning,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Lone Star Renewables,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Ohio Contracts,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Polymer Centers Holdings,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Polymers II,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Polymers III,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Polymers IV,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Polymers, LLC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Recycling Services of Nevada, Inc.</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63" w:type="dxa"/>
        <w:jc w:val="center"/>
        <w:tblInd w:w="0" w:type="dxa"/>
        <w:tblLayout w:type="fixed"/>
        <w:tblCellMar>
          <w:top w:w="28" w:type="dxa"/>
          <w:left w:w="28" w:type="dxa"/>
          <w:bottom w:w="28" w:type="dxa"/>
          <w:right w:w="28" w:type="dxa"/>
        </w:tblCellMar>
      </w:tblPr>
      <w:tblGrid>
        <w:gridCol w:w="1775"/>
        <w:gridCol w:w="1559"/>
        <w:gridCol w:w="1570"/>
        <w:gridCol w:w="456"/>
        <w:gridCol w:w="456"/>
        <w:gridCol w:w="647"/>
      </w:tblGrid>
      <w:tr>
        <w:trPr/>
        <w:tc>
          <w:tcPr>
            <w:tcW w:w="177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Alliance Group II, Inc.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Alliance Group III, Inc.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Alliance Group IV, Inc.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Alliance Group, Inc.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Aviation, Inc.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Blue Ridge Energy Development,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Customer Resource Center Central,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Customer Resource Center East,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Customer Resource Center West,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Digital Ventures I,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Environmental Solutions II,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Environmental Solutions III,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Environmental,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Group,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Holding Company,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Intellectual Property Holdings,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Leasing Company,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National Accounts,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Arizona Hauling,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British Columbia, Inc.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Columbia</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Buffalo,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California Holding Company, Inc.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California II,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Canada, Inc.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Colorado Hauling,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Colorado I,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Florida GP, Inc.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Florida LP, Inc.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Florida, Limited Partnership</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Georgia GP,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Georgia LP,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Georgia, Limited Partnership</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Indiana LP, Inc.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Indiana Transportation,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Indiana, Limited Partnership</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Iowa,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Iowa</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Kentucky,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Kentucky</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Maryland,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Massachusetts,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Michigan Hauling,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Michigan Holding Company, Inc.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Michigan I,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Michigan II,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Michigan III,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Michigan IV, LLC</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389" w:type="dxa"/>
        <w:jc w:val="center"/>
        <w:tblInd w:w="0" w:type="dxa"/>
        <w:tblLayout w:type="fixed"/>
        <w:tblCellMar>
          <w:top w:w="28" w:type="dxa"/>
          <w:left w:w="28" w:type="dxa"/>
          <w:bottom w:w="28" w:type="dxa"/>
          <w:right w:w="28" w:type="dxa"/>
        </w:tblCellMar>
      </w:tblPr>
      <w:tblGrid>
        <w:gridCol w:w="1817"/>
        <w:gridCol w:w="1598"/>
        <w:gridCol w:w="1609"/>
        <w:gridCol w:w="400"/>
        <w:gridCol w:w="400"/>
        <w:gridCol w:w="565"/>
      </w:tblGrid>
      <w:tr>
        <w:trPr/>
        <w:tc>
          <w:tcPr>
            <w:tcW w:w="181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New Jersey,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North Carolina,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Ohio Hauling,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Ohio I,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Ohio II,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Ohio III,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Ohio IV,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Ohio Transportation,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Ontario,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Oxnard,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PA - Environmental Solutions,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Pennsylvania,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Smith County,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Sonoma County Energy Producers,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Sonoma County,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South Carolina,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Southern California,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Tennessee,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Virginia,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Wisconsin GP,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Wisconsin LP,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of Wisconsin, Limited Partnership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Organic Holding,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Organic Solutions,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Procurement,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Real Estate Holding,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Recycling of Indiana,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Renewable Energy II,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Renewable Energy III,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Renewable Energy,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Risk Management,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Vasco Road,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Silver State Disposal,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Transportation Services of Canada,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Waste Services of Southern California,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Waste Services of Texas GP,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Waste Services of Texas LP,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Waste Services of Texas, Ltd.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Waste, Limited Partnership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Resource Recovery Systems,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Resource Recovery,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Kansas</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RI/Alameda Corp.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Richmond Administrative,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Richmond Sanitary Service,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Richmond Solar Power 1,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Rhode Island</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49" w:type="dxa"/>
        <w:jc w:val="center"/>
        <w:tblInd w:w="0" w:type="dxa"/>
        <w:tblLayout w:type="fixed"/>
        <w:tblCellMar>
          <w:top w:w="28" w:type="dxa"/>
          <w:left w:w="28" w:type="dxa"/>
          <w:bottom w:w="28" w:type="dxa"/>
          <w:right w:w="28" w:type="dxa"/>
        </w:tblCellMar>
      </w:tblPr>
      <w:tblGrid>
        <w:gridCol w:w="1408"/>
        <w:gridCol w:w="1234"/>
        <w:gridCol w:w="1243"/>
        <w:gridCol w:w="399"/>
        <w:gridCol w:w="399"/>
        <w:gridCol w:w="566"/>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RIES Holdings,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Rincon Solar I,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RITM,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 Recycling,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River Street Solar 1,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Roosevelt Associates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Ross Bros. Waste &amp; Recycling Co.</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Rossman Sanitary Service,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Roxana Landfill,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 Holdings,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RSG Cayman Group,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RT52 Walden Solar 1,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RTF Romulus,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Rubbish Control,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RWS Texas Leasing Company,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RWS Transport, L.P.</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Road Solar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&amp; S Recycling,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Saguaro National Captive Insurance Company</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Saline County Landfill,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Diego Landfill Systems,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Francisco Bay Railway,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Marcos NCRRF,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Sand Valley Holdings,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Sandy Hollow Landfill Corp.</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Virginia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Sangamon Valley Landfill,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Sanifill,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Sanitary Disposal Service,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Santek Environmental of Alabama,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Alabama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Santek Environmental of Arkansas,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Arkansas</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Santek Environmental of Georgia,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Santek Environmental of Kentucky,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Kentucky</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Santek Environmental of North Carolina,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Santek Environmental of Pine Belt,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Mississippi</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Santek Environmental of Tennessee,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Santek Environmental of Texas,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Santek Environmental of Virginia,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Santek Environmental,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Santek Waste Services,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Sauk Trail Development,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Schofield Corporation of Orlando</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Shamrock Environmental Corporation</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Show-Me Landfill,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Shred - All Recycling Systems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Silver Peak Energy,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89" w:type="dxa"/>
        <w:jc w:val="center"/>
        <w:tblInd w:w="0" w:type="dxa"/>
        <w:tblLayout w:type="fixed"/>
        <w:tblCellMar>
          <w:top w:w="28" w:type="dxa"/>
          <w:left w:w="28" w:type="dxa"/>
          <w:bottom w:w="28" w:type="dxa"/>
          <w:right w:w="28" w:type="dxa"/>
        </w:tblCellMar>
      </w:tblPr>
      <w:tblGrid>
        <w:gridCol w:w="1433"/>
        <w:gridCol w:w="1260"/>
        <w:gridCol w:w="1267"/>
        <w:gridCol w:w="446"/>
        <w:gridCol w:w="446"/>
        <w:gridCol w:w="637"/>
      </w:tblGrid>
      <w:tr>
        <w:trPr/>
        <w:tc>
          <w:tcPr>
            <w:tcW w:w="143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Simmons &amp; Eastern,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Skipjack Solar Center,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Solano Garbage Company</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Source Recycling,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Goshen Solar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Trans,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 Landfill,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Illinois Regional Landfill,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Sanitation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Tank Leasing,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Alabama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Waste Services,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 Landfill TX, LP</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Specialized Response Solutions (Canada)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Specialized Response Solutions, L.P.</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Springfield Environmental General Partnership</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S-Road Facility,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Stablex Canada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(Federal)</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 Disposal Services,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 Environmental Services,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 Waste,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Streator Area Landfill,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Suburban Transfer,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Suburban Warehouse,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Summit Waste Systems,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Sunrise Sanitation Service,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Sunset Disposal Service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Sunset Disposal,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Kansas</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Sycamore Landfill,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 Equipment Services,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Tate's Transfer Systems,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Tay-Ban Corporation</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Tayman Industries,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Ecology Group,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Disposal Service,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Tidal Tank,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Tippecanoe County Waste Services Partnership</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TMC Services,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Tom Luciano's Disposal Service,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Toro Energy of Indiana,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Roll-Offs,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Solid Waste Recyclers,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Townline Batavia Solar 1,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Waste,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Mexico</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Trash Butler, LLC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Tricil (N.Y.), Inc.</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490" w:type="dxa"/>
        <w:jc w:val="center"/>
        <w:tblInd w:w="0" w:type="dxa"/>
        <w:tblLayout w:type="fixed"/>
        <w:tblCellMar>
          <w:top w:w="28" w:type="dxa"/>
          <w:left w:w="28" w:type="dxa"/>
          <w:bottom w:w="28" w:type="dxa"/>
          <w:right w:w="28" w:type="dxa"/>
        </w:tblCellMar>
      </w:tblPr>
      <w:tblGrid>
        <w:gridCol w:w="2520"/>
        <w:gridCol w:w="2216"/>
        <w:gridCol w:w="2224"/>
        <w:gridCol w:w="448"/>
        <w:gridCol w:w="448"/>
        <w:gridCol w:w="634"/>
      </w:tblGrid>
      <w:tr>
        <w:trPr/>
        <w:tc>
          <w:tcPr>
            <w:tcW w:w="2520"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Tri-County Refuse Service,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Tri-State Recycling Services,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Tri-State Refuse Corporation</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Turkey Creek Landfill TX, LP</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Disposal Service,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University Solar,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Rhode Island</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Upper Rock Island County Landfill,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Alaska,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Burlington,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Canada Inc. /Les Solutions Environnementales US Ecology Canada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Ontario</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Energy Waste Disposal Services,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Group Holdings Corp.</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Group Holdings,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Holdings Group,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Holdings,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Holdings,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Houston,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Idaho,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Illinois,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Karnes County Disposal,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Livonia,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Michigan,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Nevada,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Romulus,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Stablex Holdings,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Sulligent,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Tampa,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Taylor,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Texas,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Thermal Services,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Transportation Solutions,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Tulsa,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US Holding Company,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Vernon,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Washington,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Winnie,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Ecology,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Canada Holdings,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 (Federal)</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EWD Holdco,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Valley Landfills,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Venezuelan Response Corporation S.A.</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Venezuela</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VHG,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Minnesota</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Victoria Landfill TX, LP</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Vining Disposal Service,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 American Industries,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701" w:type="dxa"/>
        <w:jc w:val="center"/>
        <w:tblInd w:w="0" w:type="dxa"/>
        <w:tblLayout w:type="fixed"/>
        <w:tblCellMar>
          <w:top w:w="28" w:type="dxa"/>
          <w:left w:w="28" w:type="dxa"/>
          <w:bottom w:w="28" w:type="dxa"/>
          <w:right w:w="28" w:type="dxa"/>
        </w:tblCellMar>
      </w:tblPr>
      <w:tblGrid>
        <w:gridCol w:w="1521"/>
        <w:gridCol w:w="1344"/>
        <w:gridCol w:w="1350"/>
        <w:gridCol w:w="433"/>
        <w:gridCol w:w="433"/>
        <w:gridCol w:w="620"/>
      </w:tblGrid>
      <w:tr>
        <w:trPr/>
        <w:tc>
          <w:tcPr>
            <w:tcW w:w="152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Orange RD Solar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Warner Hill Development Company</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Wasatch Regional Landfill, Inc.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Waste Control Systems, Inc.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Waste Repurposing International, Inc.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Waste Services Group,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Waste Services of Alabama,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Alabama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Waste Services of Georgia,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Waste Services of Hattiesburg,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Mississippi</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Waste Services of Kentucky,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Kentucky</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Waste Services of New York, Inc.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Waste Services of Tennessee,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Waste Services of Texas,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Wastehaul, Inc.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Wayne County Land Development,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Wayne County Landfill IL, Inc.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Wayne Developers,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Georgia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Wayne Disposal, Inc.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Michigan</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WDTR, Inc.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Webster Parish Landfill,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Wellkept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 Brookfield Boston Post Road Solar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 Contra Costa Energy Recovery Company</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 Contra Costa Sanitary Landfill, Inc.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 County Landfill, Inc.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 County Resource Recovery, Inc.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 Street Solar 1,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Whispering Pines Landfill TX, LP</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Wichita Waste Systems,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Wilbur Woods Solar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Willamette Resources, Inc.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Williams County Landfill Inc.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Ohio</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Williamsburg East Street Solar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Willow Ridge Landfill,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Wilshire Disposal Service</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Winchendon Ash Street Solar 1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Winchendon Lincoln Avenue Solar 1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Winchendon Lincoln Avenue Solar 2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WJR Environmental, Inc.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Washington</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Woodlake Sanitary Service, Inc.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Minnesota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Zakaroff Services</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ZPD-PT Solar Project 2017-001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Massachusetts</w:t>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56" w:type="dxa"/>
        <w:jc w:val="center"/>
        <w:tblInd w:w="0" w:type="dxa"/>
        <w:tblLayout w:type="fixed"/>
        <w:tblCellMar>
          <w:top w:w="28" w:type="dxa"/>
          <w:left w:w="28" w:type="dxa"/>
          <w:bottom w:w="28" w:type="dxa"/>
          <w:right w:w="28" w:type="dxa"/>
        </w:tblCellMar>
      </w:tblPr>
      <w:tblGrid>
        <w:gridCol w:w="1184"/>
        <w:gridCol w:w="1041"/>
        <w:gridCol w:w="1045"/>
        <w:gridCol w:w="435"/>
        <w:gridCol w:w="435"/>
        <w:gridCol w:w="616"/>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ZPD-PT Solar Project 2017-003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Massachusetts</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ZPD-PT Solar Project 2017-006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Massachusetts</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ZPD-PT Solar Project 2017-007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Massachusetts</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ZPD-PT Solar Project 2017-008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Massachusetts</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ZPD-PT Solar Project 2017-011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Massachusetts</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ZPD-PT Solar Project 2017-014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Massachusetts</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ZPD-PT Solar Project 2017-017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Massachusetts</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ZPD-PT Solar Project 2017-021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Massachusetts</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ZPD-PT Solar Project 2017-023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Massachusetts</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ZPD-PT Solar Project 2017-024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Massachusetts</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ZPD-PT Solar Project 2017-038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Massachusetts</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ZPD-PT Solar Project 2017-044 LLC</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Massachusetts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Consent of Independent Registered Public Accounting Firm</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consent to the incorporation by reference in the following Registration Statements: </w:t>
      </w:r>
    </w:p>
    <w:tbl>
      <w:tblPr>
        <w:tblW w:w="10205" w:type="dxa"/>
        <w:jc w:val="left"/>
        <w:tblInd w:w="0" w:type="dxa"/>
        <w:tblLayout w:type="fixed"/>
        <w:tblCellMar>
          <w:top w:w="28" w:type="dxa"/>
          <w:left w:w="28" w:type="dxa"/>
          <w:bottom w:w="28" w:type="dxa"/>
          <w:right w:w="28" w:type="dxa"/>
        </w:tblCellMar>
      </w:tblPr>
      <w:tblGrid>
        <w:gridCol w:w="282"/>
        <w:gridCol w:w="248"/>
        <w:gridCol w:w="249"/>
        <w:gridCol w:w="109"/>
        <w:gridCol w:w="109"/>
        <w:gridCol w:w="109"/>
        <w:gridCol w:w="329"/>
        <w:gridCol w:w="329"/>
        <w:gridCol w:w="331"/>
        <w:gridCol w:w="109"/>
        <w:gridCol w:w="109"/>
        <w:gridCol w:w="109"/>
        <w:gridCol w:w="2511"/>
        <w:gridCol w:w="2179"/>
        <w:gridCol w:w="3093"/>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333-150943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Inc. 2007 Stock Incentive Plan</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333-156070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Inc. 2006 Incentive Stock Plan (f/k/a Allied Waste Industries, Inc. 2006 Incentive Stock Plan) and Republic Services, Inc. 2005 Non-Employee Director Equity Compensation Plan (f/k/a Allied Waste Industries, Inc. 2005 Non-Employee Director Equity Compensation Plan)</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333-170174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Inc. Deferred Compensation Plan</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333-175879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Inc. Amended and Restated 2007 Stock Incentive Plan</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333-221582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Inc. Deferred Compensation Plan</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333-228002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Republic Services, Inc. 2018 Employee Stock Purchase Plan </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333-249990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Republic Services, Inc. 2021 Stock Incentive Plan</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S-3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333-286741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2025 Registration Statement</w:t>
            </w:r>
          </w:p>
        </w:tc>
      </w:tr>
    </w:tbl>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of our reports dated February 17, 2026, with respect to the consolidated financial statements of Republic Services, Inc. and the effectiveness of internal control over financial reporting of Republic Services, Inc., included in this Annual Report (Form 10-K) of Republic Services, Inc. for the year ended December 31, 2025.</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Ernst &amp; Young LLP</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Phoenix, Arizona</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February 17,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I, Jon Vander Ark, certify that: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2025 Annual Report on Form 10-K of Republic Services,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236" w:type="dxa"/>
        <w:jc w:val="left"/>
        <w:tblInd w:w="0" w:type="dxa"/>
        <w:tblLayout w:type="fixed"/>
        <w:tblCellMar>
          <w:top w:w="28" w:type="dxa"/>
          <w:left w:w="28" w:type="dxa"/>
          <w:bottom w:w="28" w:type="dxa"/>
          <w:right w:w="28" w:type="dxa"/>
        </w:tblCellMar>
      </w:tblPr>
      <w:tblGrid>
        <w:gridCol w:w="124"/>
        <w:gridCol w:w="109"/>
        <w:gridCol w:w="109"/>
        <w:gridCol w:w="847"/>
        <w:gridCol w:w="847"/>
        <w:gridCol w:w="12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JON VANDER 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Jon Vander 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President and Chief Executive Officer</w:t>
              <w:br/>
              <w:t>(Principal Executive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February 17,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80" w:after="283"/>
        <w:jc w:val="left"/>
        <w:rPr/>
      </w:pPr>
      <w:r>
        <w:rPr>
          <w:rFonts w:ascii="Times New Roman;serif" w:hAnsi="Times New Roman;serif"/>
          <w:b w:val="false"/>
          <w:color w:val="000000"/>
          <w:sz w:val="20"/>
        </w:rPr>
        <w:t>I, Brian D</w:t>
      </w:r>
      <w:r>
        <w:rPr>
          <w:rFonts w:ascii="Times New Roman;serif" w:hAnsi="Times New Roman;serif"/>
          <w:b w:val="false"/>
          <w:color w:val="000000"/>
          <w:sz w:val="16"/>
        </w:rPr>
        <w:t>el</w:t>
      </w:r>
      <w:r>
        <w:rPr>
          <w:rFonts w:ascii="Times New Roman;serif" w:hAnsi="Times New Roman;serif"/>
          <w:b w:val="false"/>
          <w:color w:val="000000"/>
          <w:sz w:val="20"/>
        </w:rPr>
        <w:t>Ghiaccio, certify that: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2025 Annual Report on Form 10-K of Republic Services,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787" w:type="dxa"/>
        <w:jc w:val="left"/>
        <w:tblInd w:w="0" w:type="dxa"/>
        <w:tblLayout w:type="fixed"/>
        <w:tblCellMar>
          <w:top w:w="28" w:type="dxa"/>
          <w:left w:w="28" w:type="dxa"/>
          <w:bottom w:w="28" w:type="dxa"/>
          <w:right w:w="28" w:type="dxa"/>
        </w:tblCellMar>
      </w:tblPr>
      <w:tblGrid>
        <w:gridCol w:w="124"/>
        <w:gridCol w:w="109"/>
        <w:gridCol w:w="109"/>
        <w:gridCol w:w="715"/>
        <w:gridCol w:w="715"/>
        <w:gridCol w:w="10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BRIAN D</w:t>
            </w:r>
            <w:r>
              <w:rPr>
                <w:rFonts w:ascii="Times New Roman;serif" w:hAnsi="Times New Roman;serif"/>
                <w:b w:val="false"/>
                <w:color w:val="000000"/>
                <w:sz w:val="16"/>
              </w:rPr>
              <w:t>EL</w:t>
            </w:r>
            <w:r>
              <w:rPr>
                <w:rFonts w:ascii="Times New Roman;serif" w:hAnsi="Times New Roman;serif"/>
                <w:b w:val="false"/>
                <w:color w:val="000000"/>
                <w:sz w:val="20"/>
              </w:rPr>
              <w:t>GHIACCIO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Brian D</w:t>
            </w:r>
            <w:r>
              <w:rPr>
                <w:rFonts w:ascii="Times New Roman;serif" w:hAnsi="Times New Roman;serif"/>
                <w:b/>
                <w:color w:val="000000"/>
                <w:sz w:val="16"/>
              </w:rPr>
              <w:t>el</w:t>
            </w:r>
            <w:r>
              <w:rPr>
                <w:rFonts w:ascii="Times New Roman;serif" w:hAnsi="Times New Roman;serif"/>
                <w:b/>
                <w:color w:val="000000"/>
                <w:sz w:val="18"/>
              </w:rPr>
              <w:t>Ghiaccio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w:t>
              <w:br/>
              <w:t>Chief Financial Officer</w:t>
              <w:br/>
              <w:t>(Principal Financial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February 17,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Republic Services, Inc. (the Company) for the annual period ended December 31, 2025 as filed with the Securities and Exchange Commission on the date hereof (the Report), I, Jon Vander Ark, President and Chief Executive Officer of the Company, hereby certify, pursuant to 18 U.S.C. Section 1350, as adopted pursuant to Section 906 of the Sarbanes-Oxley Act of 2002, that to the best of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236" w:type="dxa"/>
        <w:jc w:val="left"/>
        <w:tblInd w:w="0" w:type="dxa"/>
        <w:tblLayout w:type="fixed"/>
        <w:tblCellMar>
          <w:top w:w="28" w:type="dxa"/>
          <w:left w:w="28" w:type="dxa"/>
          <w:bottom w:w="28" w:type="dxa"/>
          <w:right w:w="28" w:type="dxa"/>
        </w:tblCellMar>
      </w:tblPr>
      <w:tblGrid>
        <w:gridCol w:w="124"/>
        <w:gridCol w:w="109"/>
        <w:gridCol w:w="109"/>
        <w:gridCol w:w="847"/>
        <w:gridCol w:w="847"/>
        <w:gridCol w:w="12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JON VANDER 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Jon Vander 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President and Chief Executive Officer</w:t>
              <w:br/>
              <w:t>(Principal Executive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February 17,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80" w:after="283"/>
        <w:jc w:val="left"/>
        <w:rPr/>
      </w:pPr>
      <w:r>
        <w:rPr>
          <w:rFonts w:ascii="Times New Roman;serif" w:hAnsi="Times New Roman;serif"/>
          <w:b w:val="false"/>
          <w:color w:val="000000"/>
          <w:sz w:val="20"/>
        </w:rPr>
        <w:t>In connection with the Annual Report on Form 10-K of Republic Services, Inc. (the Company) for the annual period ended December 31, 2025 as filed with the Securities and Exchange Commission on the date hereof (the Report), I, Brian D</w:t>
      </w:r>
      <w:r>
        <w:rPr>
          <w:rFonts w:ascii="Times New Roman;serif" w:hAnsi="Times New Roman;serif"/>
          <w:b w:val="false"/>
          <w:color w:val="000000"/>
          <w:sz w:val="18"/>
        </w:rPr>
        <w:t>e</w:t>
      </w:r>
      <w:r>
        <w:rPr>
          <w:rFonts w:ascii="Times New Roman;serif" w:hAnsi="Times New Roman;serif"/>
          <w:b w:val="false"/>
          <w:color w:val="000000"/>
          <w:sz w:val="20"/>
        </w:rPr>
        <w:t>lGhiaccio, Chief Financial Officer of the Company, hereby certify, pursuant to 18 U.S.C. Section 1350, as adopted pursuant to Section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787" w:type="dxa"/>
        <w:jc w:val="left"/>
        <w:tblInd w:w="0" w:type="dxa"/>
        <w:tblLayout w:type="fixed"/>
        <w:tblCellMar>
          <w:top w:w="28" w:type="dxa"/>
          <w:left w:w="28" w:type="dxa"/>
          <w:bottom w:w="28" w:type="dxa"/>
          <w:right w:w="28" w:type="dxa"/>
        </w:tblCellMar>
      </w:tblPr>
      <w:tblGrid>
        <w:gridCol w:w="124"/>
        <w:gridCol w:w="109"/>
        <w:gridCol w:w="109"/>
        <w:gridCol w:w="715"/>
        <w:gridCol w:w="715"/>
        <w:gridCol w:w="10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BRIAN D</w:t>
            </w:r>
            <w:r>
              <w:rPr>
                <w:rFonts w:ascii="Times New Roman;serif" w:hAnsi="Times New Roman;serif"/>
                <w:b w:val="false"/>
                <w:color w:val="000000"/>
                <w:sz w:val="16"/>
              </w:rPr>
              <w:t>EL</w:t>
            </w:r>
            <w:r>
              <w:rPr>
                <w:rFonts w:ascii="Times New Roman;serif" w:hAnsi="Times New Roman;serif"/>
                <w:b w:val="false"/>
                <w:color w:val="000000"/>
                <w:sz w:val="20"/>
              </w:rPr>
              <w:t>GHIACCIO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Brian D</w:t>
            </w:r>
            <w:r>
              <w:rPr>
                <w:rFonts w:ascii="Times New Roman;serif" w:hAnsi="Times New Roman;serif"/>
                <w:b/>
                <w:color w:val="000000"/>
                <w:sz w:val="16"/>
              </w:rPr>
              <w:t>el</w:t>
            </w:r>
            <w:r>
              <w:rPr>
                <w:rFonts w:ascii="Times New Roman;serif" w:hAnsi="Times New Roman;serif"/>
                <w:b/>
                <w:color w:val="000000"/>
                <w:sz w:val="18"/>
              </w:rPr>
              <w:t>Ghiaccio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w:t>
              <w:br/>
              <w:t>Chief Financial Officer</w:t>
              <w:br/>
              <w:t>(Principal Financial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February 17, 2026</w:t>
      </w:r>
    </w:p>
    <w:p>
      <w:pPr>
        <w:pStyle w:val="TextBody"/>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pto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060391/000106039125000091/rsg-20241231.htm" TargetMode="External"/><Relationship Id="rId4" Type="http://schemas.openxmlformats.org/officeDocument/2006/relationships/hyperlink" Target="https://www.sec.gov/Archives/edgar/data/1060391/0000950144-98-009679.txt" TargetMode="External"/><Relationship Id="rId5" Type="http://schemas.openxmlformats.org/officeDocument/2006/relationships/hyperlink" Target="https://www.sec.gov/Archives/edgar/data/1060391/000095014499008298/0000950144-99-008298.txt" TargetMode="External"/><Relationship Id="rId6" Type="http://schemas.openxmlformats.org/officeDocument/2006/relationships/hyperlink" Target="https://www.sec.gov/Archives/edgar/data/1060391/000106039126000072/amendedandrestatedbylaws.htm" TargetMode="External"/><Relationship Id="rId7" Type="http://schemas.openxmlformats.org/officeDocument/2006/relationships/hyperlink" Target="https://www.sec.gov/Archives/edgar/data/1060391/000095014499008298/0000950144-99-008298.txt" TargetMode="External"/><Relationship Id="rId8" Type="http://schemas.openxmlformats.org/officeDocument/2006/relationships/hyperlink" Target="https://www.sec.gov/Archives/edgar/data/1060391/000095014401506094/g71256ex4-1.txt" TargetMode="External"/><Relationship Id="rId9" Type="http://schemas.openxmlformats.org/officeDocument/2006/relationships/hyperlink" Target="https://www.sec.gov/Archives/edgar/data/1060391/000095014405005037/g95037exv4w1.htm" TargetMode="External"/><Relationship Id="rId10" Type="http://schemas.openxmlformats.org/officeDocument/2006/relationships/hyperlink" Target="https://www.sec.gov/Archives/edgar/data/1060391/000095012309042209/p15846exv4w1.htm" TargetMode="External"/><Relationship Id="rId11" Type="http://schemas.openxmlformats.org/officeDocument/2006/relationships/hyperlink" Target="https://www.sec.gov/Archives/edgar/data/1060391/000095012311047183/p18861exv4w3.htm" TargetMode="External"/><Relationship Id="rId12" Type="http://schemas.openxmlformats.org/officeDocument/2006/relationships/hyperlink" Target="https://www.sec.gov/Archives/edgar/data/1060391/000095012311047183/p18861exv4w3.htm" TargetMode="External"/><Relationship Id="rId13" Type="http://schemas.openxmlformats.org/officeDocument/2006/relationships/hyperlink" Target="https://www.sec.gov/Archives/edgar/data/1060391/000095012309066038/p16405exv4w1.htm" TargetMode="External"/><Relationship Id="rId14" Type="http://schemas.openxmlformats.org/officeDocument/2006/relationships/hyperlink" Target="https://www.sec.gov/Archives/edgar/data/1060391/000095012309066038/p16405exv4w1.htm" TargetMode="External"/><Relationship Id="rId15" Type="http://schemas.openxmlformats.org/officeDocument/2006/relationships/hyperlink" Target="https://www.sec.gov/Archives/edgar/data/1060391/000095012310020978/p17075exv4w2.htm" TargetMode="External"/><Relationship Id="rId16" Type="http://schemas.openxmlformats.org/officeDocument/2006/relationships/hyperlink" Target="https://www.sec.gov/Archives/edgar/data/1060391/000095012310020978/p17075exv4w2.htm" TargetMode="External"/><Relationship Id="rId17" Type="http://schemas.openxmlformats.org/officeDocument/2006/relationships/hyperlink" Target="https://www.sec.gov/Archives/edgar/data/848865/000095012301504402/p65122a1ex4-22.txt" TargetMode="External"/><Relationship Id="rId18" Type="http://schemas.openxmlformats.org/officeDocument/2006/relationships/hyperlink" Target="https://www.sec.gov/Archives/edgar/data/848865/000095012301504402/p65122a1ex4-22.txt" TargetMode="External"/><Relationship Id="rId19" Type="http://schemas.openxmlformats.org/officeDocument/2006/relationships/hyperlink" Target="https://www.sec.gov/Archives/edgar/data/848865/000095012301504402/p65122a1ex4-23.txt" TargetMode="External"/><Relationship Id="rId20" Type="http://schemas.openxmlformats.org/officeDocument/2006/relationships/hyperlink" Target="https://www.sec.gov/Archives/edgar/data/848865/000095012301504402/p65122a1ex4-23.txt" TargetMode="External"/><Relationship Id="rId21" Type="http://schemas.openxmlformats.org/officeDocument/2006/relationships/hyperlink" Target="https://www.sec.gov/Archives/edgar/data/848865/000095015305000309/p70182exv4w33.txt" TargetMode="External"/><Relationship Id="rId22" Type="http://schemas.openxmlformats.org/officeDocument/2006/relationships/hyperlink" Target="https://www.sec.gov/Archives/edgar/data/848865/000095015305000309/p70182exv4w33.txt" TargetMode="External"/><Relationship Id="rId23" Type="http://schemas.openxmlformats.org/officeDocument/2006/relationships/hyperlink" Target="https://www.sec.gov/Archives/edgar/data/1060391/000095014408009225/g16932exv4w1.htm" TargetMode="External"/><Relationship Id="rId24" Type="http://schemas.openxmlformats.org/officeDocument/2006/relationships/hyperlink" Target="https://www.sec.gov/Archives/edgar/data/1060391/000119312516641673/d207655dex41.htm" TargetMode="External"/><Relationship Id="rId25" Type="http://schemas.openxmlformats.org/officeDocument/2006/relationships/hyperlink" Target="https://www.sec.gov/Archives/edgar/data/1060391/000119312517343919/d493740dex41.htm" TargetMode="External"/><Relationship Id="rId26" Type="http://schemas.openxmlformats.org/officeDocument/2006/relationships/hyperlink" Target="https://www.sec.gov/Archives/edgar/data/14827/0000014827-95-000020.txt" TargetMode="External"/><Relationship Id="rId27" Type="http://schemas.openxmlformats.org/officeDocument/2006/relationships/hyperlink" Target="https://www.sec.gov/Archives/edgar/data/14827/0000014827-95-000020.txt" TargetMode="External"/><Relationship Id="rId28" Type="http://schemas.openxmlformats.org/officeDocument/2006/relationships/hyperlink" Target="https://www.sec.gov/Archives/edgar/data/1060391/000119312518160817/d582592dex41.htm" TargetMode="External"/><Relationship Id="rId29" Type="http://schemas.openxmlformats.org/officeDocument/2006/relationships/hyperlink" Target="https://www.sec.gov/Archives/edgar/data/1060391/000106039120000016/exhibit423descriptiono.htm" TargetMode="External"/><Relationship Id="rId30" Type="http://schemas.openxmlformats.org/officeDocument/2006/relationships/hyperlink" Target="https://www.sec.gov/Archives/edgar/data/1060391/000106039120000016/exhibit423descriptiono.htm" TargetMode="External"/><Relationship Id="rId31" Type="http://schemas.openxmlformats.org/officeDocument/2006/relationships/hyperlink" Target="https://www.sec.gov/Archives/edgar/data/1060391/000119312520044707/d870415dex41.htm" TargetMode="External"/><Relationship Id="rId32" Type="http://schemas.openxmlformats.org/officeDocument/2006/relationships/hyperlink" Target="https://www.sec.gov/Archives/edgar/data/1060391/000119312520044707/d870415dex41.htm" TargetMode="External"/><Relationship Id="rId33" Type="http://schemas.openxmlformats.org/officeDocument/2006/relationships/hyperlink" Target="https://www.sec.gov/Archives/edgar/data/1060391/000119312520044707/d870415dex41.htm" TargetMode="External"/><Relationship Id="rId34" Type="http://schemas.openxmlformats.org/officeDocument/2006/relationships/hyperlink" Target="https://www.sec.gov/Archives/edgar/data/1060391/000119312520219229/d942697dex41.htm" TargetMode="External"/><Relationship Id="rId35" Type="http://schemas.openxmlformats.org/officeDocument/2006/relationships/hyperlink" Target="https://www.sec.gov/Archives/edgar/data/1060391/000119312520219229/d942697dex41.htm" TargetMode="External"/><Relationship Id="rId36" Type="http://schemas.openxmlformats.org/officeDocument/2006/relationships/hyperlink" Target="https://www.sec.gov/Archives/edgar/data/1060391/000119312520219229/d942697dex41.htm" TargetMode="External"/><Relationship Id="rId37" Type="http://schemas.openxmlformats.org/officeDocument/2006/relationships/hyperlink" Target="https://www.sec.gov/Archives/edgar/data/1060391/000119312520290904/d77048dex41.htm" TargetMode="External"/><Relationship Id="rId38" Type="http://schemas.openxmlformats.org/officeDocument/2006/relationships/hyperlink" Target="https://www.sec.gov/Archives/edgar/data/1060391/000119312520290904/d77048dex41.htm" TargetMode="External"/><Relationship Id="rId39" Type="http://schemas.openxmlformats.org/officeDocument/2006/relationships/hyperlink" Target="https://www.sec.gov/Archives/edgar/data/0001060391/000119312521320162/d596044dex41.htm" TargetMode="External"/><Relationship Id="rId40" Type="http://schemas.openxmlformats.org/officeDocument/2006/relationships/hyperlink" Target="https://www.sec.gov/Archives/edgar/data/0001060391/000119312521320162/d596044dex41.htm" TargetMode="External"/><Relationship Id="rId41" Type="http://schemas.openxmlformats.org/officeDocument/2006/relationships/hyperlink" Target="https://www.sec.gov/Archives/edgar/data/1060391/000110465922097012/tm2224887d1_ex10-1.htm" TargetMode="External"/><Relationship Id="rId42" Type="http://schemas.openxmlformats.org/officeDocument/2006/relationships/hyperlink" Target="https://www.sec.gov/Archives/edgar/data/1060391/000110465922097012/tm2224887d1_ex10-1.htm" TargetMode="External"/><Relationship Id="rId43" Type="http://schemas.openxmlformats.org/officeDocument/2006/relationships/hyperlink" Target="https://www.sec.gov/Archives/edgar/data/1060391/000119312523077927/d395685dex41.htm" TargetMode="External"/><Relationship Id="rId44" Type="http://schemas.openxmlformats.org/officeDocument/2006/relationships/hyperlink" Target="https://www.sec.gov/Archives/edgar/data/1060391/000119312523077927/d395685dex41.htm" TargetMode="External"/><Relationship Id="rId45" Type="http://schemas.openxmlformats.org/officeDocument/2006/relationships/hyperlink" Target="https://www.sec.gov/Archives/edgar/data/1060391/000119312523292068/d637987dex41.htm" TargetMode="External"/><Relationship Id="rId46" Type="http://schemas.openxmlformats.org/officeDocument/2006/relationships/hyperlink" Target="https://www.sec.gov/Archives/edgar/data/1060391/000119312523292068/d637987dex41.htm" TargetMode="External"/><Relationship Id="rId47" Type="http://schemas.openxmlformats.org/officeDocument/2006/relationships/hyperlink" Target="https://www.sec.gov/Archives/edgar/data/1060391/000119312524164547/d843168dex41.htm" TargetMode="External"/><Relationship Id="rId48" Type="http://schemas.openxmlformats.org/officeDocument/2006/relationships/hyperlink" Target="https://www.sec.gov/Archives/edgar/data/1060391/000119312524164547/d843168dex41.htm" TargetMode="External"/><Relationship Id="rId49" Type="http://schemas.openxmlformats.org/officeDocument/2006/relationships/hyperlink" Target="https://www.sec.gov/Archives/edgar/data/1060391/000110465924084366/tm2420319d1_ex4-1.htm" TargetMode="External"/><Relationship Id="rId50" Type="http://schemas.openxmlformats.org/officeDocument/2006/relationships/hyperlink" Target="https://www.sec.gov/Archives/edgar/data/1060391/000110465924084366/tm2420319d1_ex4-1.htm" TargetMode="External"/><Relationship Id="rId51" Type="http://schemas.openxmlformats.org/officeDocument/2006/relationships/hyperlink" Target="https://www.sec.gov/Archives/edgar/data/1060391/000110465924084366/tm2420319d1_ex4-1.htm" TargetMode="External"/><Relationship Id="rId52" Type="http://schemas.openxmlformats.org/officeDocument/2006/relationships/hyperlink" Target="https://www.sec.gov/Archives/edgar/data/1060391/000106039125000216/rsgex10163025amendmentno1t.htm" TargetMode="External"/><Relationship Id="rId53" Type="http://schemas.openxmlformats.org/officeDocument/2006/relationships/hyperlink" Target="https://www.sec.gov/Archives/edgar/data/1060391/000106039125000216/rsgex10163025amendmentno1t.htm" TargetMode="External"/><Relationship Id="rId54" Type="http://schemas.openxmlformats.org/officeDocument/2006/relationships/hyperlink" Target="https://www.sec.gov/Archives/edgar/data/1060391/000119312525056754/d824295dex41.htm" TargetMode="External"/><Relationship Id="rId55" Type="http://schemas.openxmlformats.org/officeDocument/2006/relationships/hyperlink" Target="https://www.sec.gov/Archives/edgar/data/1060391/000119312525056754/d824295dex41.htm" TargetMode="External"/><Relationship Id="rId56" Type="http://schemas.openxmlformats.org/officeDocument/2006/relationships/hyperlink" Target="https://www.sec.gov/Archives/edgar/data/1060391/000095012311031647/p18747def14a.htm" TargetMode="External"/><Relationship Id="rId57" Type="http://schemas.openxmlformats.org/officeDocument/2006/relationships/hyperlink" Target="https://www.sec.gov/Archives/edgar/data/1060391/000106039120000069/rsgex10193020.htm" TargetMode="External"/><Relationship Id="rId58" Type="http://schemas.openxmlformats.org/officeDocument/2006/relationships/hyperlink" Target="https://www.sec.gov/Archives/edgar/data/1060391/000119312511352982/d273980dex101.htm" TargetMode="External"/><Relationship Id="rId59" Type="http://schemas.openxmlformats.org/officeDocument/2006/relationships/hyperlink" Target="https://www.sec.gov/Archives/edgar/data/1060391/000119312511352982/d273980dex102.htm" TargetMode="External"/><Relationship Id="rId60" Type="http://schemas.openxmlformats.org/officeDocument/2006/relationships/hyperlink" Target="https://www.sec.gov/Archives/edgar/data/1060391/000119312511352982/d273980dex102.htm" TargetMode="External"/><Relationship Id="rId61" Type="http://schemas.openxmlformats.org/officeDocument/2006/relationships/hyperlink" Target="https://www.sec.gov/Archives/edgar/data/1060391/000119312511352982/d273980dex102.htm" TargetMode="External"/><Relationship Id="rId62" Type="http://schemas.openxmlformats.org/officeDocument/2006/relationships/hyperlink" Target="https://www.sec.gov/Archives/edgar/data/1060391/000119312511352982/d273980dex103.htm" TargetMode="External"/><Relationship Id="rId63" Type="http://schemas.openxmlformats.org/officeDocument/2006/relationships/hyperlink" Target="https://www.sec.gov/Archives/edgar/data/1060391/000119312511352982/d273980dex103.htm" TargetMode="External"/><Relationship Id="rId64" Type="http://schemas.openxmlformats.org/officeDocument/2006/relationships/hyperlink" Target="https://www.sec.gov/Archives/edgar/data/1060391/000119312511352982/d273980dex103.htm" TargetMode="External"/><Relationship Id="rId65" Type="http://schemas.openxmlformats.org/officeDocument/2006/relationships/hyperlink" Target="https://www.sec.gov/Archives/edgar/data/1060391/000106039125000091/ex106dcpplan.htm" TargetMode="External"/><Relationship Id="rId66" Type="http://schemas.openxmlformats.org/officeDocument/2006/relationships/hyperlink" Target="https://www.sec.gov/Archives/edgar/data/1060391/000106039125000091/ex106dcpplan.htm" TargetMode="External"/><Relationship Id="rId67" Type="http://schemas.openxmlformats.org/officeDocument/2006/relationships/hyperlink" Target="https://www.sec.gov/Archives/edgar/data/1060391/000106039125000091/ex106dcpplan.htm" TargetMode="External"/><Relationship Id="rId68" Type="http://schemas.openxmlformats.org/officeDocument/2006/relationships/hyperlink" Target="https://www.sec.gov/Archives/edgar/data/1060391/000162828025047655/rsgex101dcpamendmentaug120.htm" TargetMode="External"/><Relationship Id="rId69" Type="http://schemas.openxmlformats.org/officeDocument/2006/relationships/hyperlink" Target="https://www.sec.gov/Archives/edgar/data/1060391/000162828025047655/rsgex101dcpamendmentaug120.htm" TargetMode="External"/><Relationship Id="rId70" Type="http://schemas.openxmlformats.org/officeDocument/2006/relationships/hyperlink" Target="https://www.sec.gov/Archives/edgar/data/1060391/000162828025047655/rsgex101dcpamendmentaug120.htm" TargetMode="External"/><Relationship Id="rId71" Type="http://schemas.openxmlformats.org/officeDocument/2006/relationships/hyperlink" Target="https://www.sec.gov/Archives/edgar/data/1060391/000119312514116469/d686329ddef14a.htm" TargetMode="External"/><Relationship Id="rId72" Type="http://schemas.openxmlformats.org/officeDocument/2006/relationships/hyperlink" Target="https://www.sec.gov/Archives/edgar/data/1060391/000119312514116469/d686329ddef14a.htm" TargetMode="External"/><Relationship Id="rId73" Type="http://schemas.openxmlformats.org/officeDocument/2006/relationships/hyperlink" Target="https://www.sec.gov/Archives/edgar/data/1060391/000119312514116469/d686329ddef14a.htm" TargetMode="External"/><Relationship Id="rId74" Type="http://schemas.openxmlformats.org/officeDocument/2006/relationships/hyperlink" Target="https://www.sec.gov/Archives/edgar/data/1060391/000106039123000008/exhibit1009republicexecuti.htm" TargetMode="External"/><Relationship Id="rId75" Type="http://schemas.openxmlformats.org/officeDocument/2006/relationships/hyperlink" Target="https://www.sec.gov/Archives/edgar/data/1060391/000106039123000008/exhibit1009republicexecuti.htm" TargetMode="External"/><Relationship Id="rId76" Type="http://schemas.openxmlformats.org/officeDocument/2006/relationships/hyperlink" Target="https://www.sec.gov/Archives/edgar/data/1060391/000106039123000008/exhibit1009republicexecuti.htm" TargetMode="External"/><Relationship Id="rId77" Type="http://schemas.openxmlformats.org/officeDocument/2006/relationships/hyperlink" Target="https://www.sec.gov/Archives/edgar/data/1060391/000106039113000032/rsgex10163013.htm" TargetMode="External"/><Relationship Id="rId78" Type="http://schemas.openxmlformats.org/officeDocument/2006/relationships/hyperlink" Target="https://www.sec.gov/Archives/edgar/data/1060391/000106039113000032/rsgex10163013.htm" TargetMode="External"/><Relationship Id="rId79" Type="http://schemas.openxmlformats.org/officeDocument/2006/relationships/hyperlink" Target="https://www.sec.gov/Archives/edgar/data/1060391/000106039113000032/rsgex10163013.htm" TargetMode="External"/><Relationship Id="rId80" Type="http://schemas.openxmlformats.org/officeDocument/2006/relationships/hyperlink" Target="https://www.sec.gov/Archives/edgar/data/1060391/000106039117000012/exhibit1037-offerlettercat.htm" TargetMode="External"/><Relationship Id="rId81" Type="http://schemas.openxmlformats.org/officeDocument/2006/relationships/hyperlink" Target="https://www.sec.gov/Archives/edgar/data/1060391/000106039117000012/exhibit1037-offerlettercat.htm" TargetMode="External"/><Relationship Id="rId82" Type="http://schemas.openxmlformats.org/officeDocument/2006/relationships/hyperlink" Target="https://www.sec.gov/Archives/edgar/data/1060391/000106039117000012/exhibit1037-offerlettercat.htm" TargetMode="External"/><Relationship Id="rId83" Type="http://schemas.openxmlformats.org/officeDocument/2006/relationships/hyperlink" Target="https://www.sec.gov/Archives/edgar/data/1060391/000106039124000142/exhibit1015ellingsencathar.htm" TargetMode="External"/><Relationship Id="rId84" Type="http://schemas.openxmlformats.org/officeDocument/2006/relationships/hyperlink" Target="https://www.sec.gov/Archives/edgar/data/1060391/000106039124000142/exhibit1015ellingsencathar.htm" TargetMode="External"/><Relationship Id="rId85" Type="http://schemas.openxmlformats.org/officeDocument/2006/relationships/hyperlink" Target="https://www.sec.gov/Archives/edgar/data/1060391/000106039124000142/exhibit1015ellingsencathar.htm" TargetMode="External"/><Relationship Id="rId86" Type="http://schemas.openxmlformats.org/officeDocument/2006/relationships/hyperlink" Target="https://www.sec.gov/Archives/edgar/data/1060391/000119312518101913/d518883ddef14a.htm" TargetMode="External"/><Relationship Id="rId87" Type="http://schemas.openxmlformats.org/officeDocument/2006/relationships/hyperlink" Target="https://www.sec.gov/Archives/edgar/data/1060391/000119312518101913/d518883ddef14a.htm" TargetMode="External"/><Relationship Id="rId88" Type="http://schemas.openxmlformats.org/officeDocument/2006/relationships/hyperlink" Target="https://www.sec.gov/Archives/edgar/data/1060391/000119312518101913/d518883ddef14a.htm" TargetMode="External"/><Relationship Id="rId89" Type="http://schemas.openxmlformats.org/officeDocument/2006/relationships/hyperlink" Target="https://www.sec.gov/Archives/edgar/data/1060391/000106039120000057/rsgex10163020.htm" TargetMode="External"/><Relationship Id="rId90" Type="http://schemas.openxmlformats.org/officeDocument/2006/relationships/hyperlink" Target="https://www.sec.gov/Archives/edgar/data/1060391/000106039120000057/rsgex10163020.htm" TargetMode="External"/><Relationship Id="rId91" Type="http://schemas.openxmlformats.org/officeDocument/2006/relationships/hyperlink" Target="https://www.sec.gov/Archives/edgar/data/1060391/000106039120000057/rsgex10163020.htm" TargetMode="External"/><Relationship Id="rId92" Type="http://schemas.openxmlformats.org/officeDocument/2006/relationships/hyperlink" Target="https://www.sec.gov/Archives/edgar/data/1060391/000106039124000142/exhibit1020delghiacciobria.htm" TargetMode="External"/><Relationship Id="rId93" Type="http://schemas.openxmlformats.org/officeDocument/2006/relationships/hyperlink" Target="https://www.sec.gov/Archives/edgar/data/1060391/000106039124000142/exhibit1020delghiacciobria.htm" TargetMode="External"/><Relationship Id="rId94" Type="http://schemas.openxmlformats.org/officeDocument/2006/relationships/hyperlink" Target="https://www.sec.gov/Archives/edgar/data/1060391/000106039124000142/exhibit1020delghiacciobria.htm" TargetMode="External"/><Relationship Id="rId95" Type="http://schemas.openxmlformats.org/officeDocument/2006/relationships/hyperlink" Target="https://www.sec.gov/Archives/edgar/data/1060391/000106039124000142/exhibit1020delghiacciobria.htm" TargetMode="External"/><Relationship Id="rId96" Type="http://schemas.openxmlformats.org/officeDocument/2006/relationships/hyperlink" Target="https://www.sec.gov/Archives/edgar/data/0001060391/000106039121000023/rsgex101jvaofferletter0326.htm" TargetMode="External"/><Relationship Id="rId97" Type="http://schemas.openxmlformats.org/officeDocument/2006/relationships/hyperlink" Target="https://www.sec.gov/Archives/edgar/data/0001060391/000106039121000023/rsgex101jvaofferletter0326.htm" TargetMode="External"/><Relationship Id="rId98" Type="http://schemas.openxmlformats.org/officeDocument/2006/relationships/hyperlink" Target="https://www.sec.gov/Archives/edgar/data/0001060391/000106039121000023/rsgex101jvaofferletter0326.htm" TargetMode="External"/><Relationship Id="rId99" Type="http://schemas.openxmlformats.org/officeDocument/2006/relationships/hyperlink" Target="https://www.sec.gov/Archives/edgar/data/0001060391/000106039121000023/rsgex101jvaofferletter0326.htm" TargetMode="External"/><Relationship Id="rId100" Type="http://schemas.openxmlformats.org/officeDocument/2006/relationships/hyperlink" Target="https://www.sec.gov/Archives/edgar/data/1060391/000106039124000142/exhibit1022vanderarkjon-re.htm" TargetMode="External"/><Relationship Id="rId101" Type="http://schemas.openxmlformats.org/officeDocument/2006/relationships/hyperlink" Target="https://www.sec.gov/Archives/edgar/data/1060391/000106039124000142/exhibit1022vanderarkjon-re.htm" TargetMode="External"/><Relationship Id="rId102" Type="http://schemas.openxmlformats.org/officeDocument/2006/relationships/hyperlink" Target="https://www.sec.gov/Archives/edgar/data/1060391/000106039124000142/exhibit1022vanderarkjon-re.htm" TargetMode="External"/><Relationship Id="rId103" Type="http://schemas.openxmlformats.org/officeDocument/2006/relationships/hyperlink" Target="https://www.sec.gov/Archives/edgar/data/1060391/000106039124000142/exhibit1022vanderarkjon-re.htm" TargetMode="External"/><Relationship Id="rId104" Type="http://schemas.openxmlformats.org/officeDocument/2006/relationships/hyperlink" Target="https://www.sec.gov/Archives/edgar/data/0001060391/000106039121000014/ex1030final2021stockincent.htm" TargetMode="External"/><Relationship Id="rId105" Type="http://schemas.openxmlformats.org/officeDocument/2006/relationships/hyperlink" Target="https://www.sec.gov/Archives/edgar/data/0001060391/000106039121000014/ex1030final2021stockincent.htm" TargetMode="External"/><Relationship Id="rId106" Type="http://schemas.openxmlformats.org/officeDocument/2006/relationships/hyperlink" Target="https://www.sec.gov/Archives/edgar/data/0001060391/000106039121000014/ex1030final2021stockincent.htm" TargetMode="External"/><Relationship Id="rId107" Type="http://schemas.openxmlformats.org/officeDocument/2006/relationships/hyperlink" Target="https://www.sec.gov/Archives/edgar/data/0001060391/000106039121000014/ex1030final2021stockincent.htm" TargetMode="External"/><Relationship Id="rId108" Type="http://schemas.openxmlformats.org/officeDocument/2006/relationships/hyperlink" Target="https://www.sec.gov/Archives/edgar/data/1060391/000106039125000091/ex1018psuagreementexecutiv.htm" TargetMode="External"/><Relationship Id="rId109" Type="http://schemas.openxmlformats.org/officeDocument/2006/relationships/hyperlink" Target="https://www.sec.gov/Archives/edgar/data/1060391/000106039125000091/ex1018psuagreementexecutiv.htm" TargetMode="External"/><Relationship Id="rId110" Type="http://schemas.openxmlformats.org/officeDocument/2006/relationships/hyperlink" Target="https://www.sec.gov/Archives/edgar/data/1060391/000106039125000091/ex1018psuagreementexecutiv.htm" TargetMode="External"/><Relationship Id="rId111" Type="http://schemas.openxmlformats.org/officeDocument/2006/relationships/hyperlink" Target="https://www.sec.gov/Archives/edgar/data/1060391/000106039125000091/ex1018psuagreementexecutiv.htm" TargetMode="External"/><Relationship Id="rId112" Type="http://schemas.openxmlformats.org/officeDocument/2006/relationships/hyperlink" Target="https://www.sec.gov/Archives/edgar/data/1060391/000106039125000091/ex1019psuagreementotherexe.htm" TargetMode="External"/><Relationship Id="rId113" Type="http://schemas.openxmlformats.org/officeDocument/2006/relationships/hyperlink" Target="https://www.sec.gov/Archives/edgar/data/1060391/000106039125000091/ex1019psuagreementotherexe.htm" TargetMode="External"/><Relationship Id="rId114" Type="http://schemas.openxmlformats.org/officeDocument/2006/relationships/hyperlink" Target="https://www.sec.gov/Archives/edgar/data/1060391/000106039125000091/ex1019psuagreementotherexe.htm" TargetMode="External"/><Relationship Id="rId115" Type="http://schemas.openxmlformats.org/officeDocument/2006/relationships/hyperlink" Target="https://www.sec.gov/Archives/edgar/data/1060391/000106039125000091/ex1020psuagreementnon-exec.htm" TargetMode="External"/><Relationship Id="rId116" Type="http://schemas.openxmlformats.org/officeDocument/2006/relationships/hyperlink" Target="https://www.sec.gov/Archives/edgar/data/1060391/000106039125000091/ex1020psuagreementnon-exec.htm" TargetMode="External"/><Relationship Id="rId117" Type="http://schemas.openxmlformats.org/officeDocument/2006/relationships/hyperlink" Target="https://www.sec.gov/Archives/edgar/data/1060391/000106039125000091/ex1020psuagreementnon-exec.htm" TargetMode="External"/><Relationship Id="rId118" Type="http://schemas.openxmlformats.org/officeDocument/2006/relationships/hyperlink" Target="https://www.sec.gov/Archives/edgar/data/1060391/000106039125000091/ex1021rsuagreementseniorex.htm" TargetMode="External"/><Relationship Id="rId119" Type="http://schemas.openxmlformats.org/officeDocument/2006/relationships/hyperlink" Target="https://www.sec.gov/Archives/edgar/data/1060391/000106039125000091/ex1021rsuagreementseniorex.htm" TargetMode="External"/><Relationship Id="rId120" Type="http://schemas.openxmlformats.org/officeDocument/2006/relationships/hyperlink" Target="https://www.sec.gov/Archives/edgar/data/1060391/000106039125000091/ex1021rsuagreementseniorex.htm" TargetMode="External"/><Relationship Id="rId121" Type="http://schemas.openxmlformats.org/officeDocument/2006/relationships/hyperlink" Target="https://www.sec.gov/Archives/edgar/data/1060391/000106039125000091/ex1022rsuagreementseniorex.htm" TargetMode="External"/><Relationship Id="rId122" Type="http://schemas.openxmlformats.org/officeDocument/2006/relationships/hyperlink" Target="https://www.sec.gov/Archives/edgar/data/1060391/000106039125000091/ex1022rsuagreementseniorex.htm" TargetMode="External"/><Relationship Id="rId123" Type="http://schemas.openxmlformats.org/officeDocument/2006/relationships/hyperlink" Target="https://www.sec.gov/Archives/edgar/data/1060391/000106039125000091/ex1022rsuagreementseniorex.htm" TargetMode="External"/><Relationship Id="rId124" Type="http://schemas.openxmlformats.org/officeDocument/2006/relationships/hyperlink" Target="https://www.sec.gov/Archives/edgar/data/1060391/000106039125000091/ex1023rsuagreementotheremp.htm" TargetMode="External"/><Relationship Id="rId125" Type="http://schemas.openxmlformats.org/officeDocument/2006/relationships/hyperlink" Target="https://www.sec.gov/Archives/edgar/data/1060391/000106039125000091/ex1023rsuagreementotheremp.htm" TargetMode="External"/><Relationship Id="rId126" Type="http://schemas.openxmlformats.org/officeDocument/2006/relationships/hyperlink" Target="https://www.sec.gov/Archives/edgar/data/1060391/000106039125000091/ex1023rsuagreementotheremp.htm" TargetMode="External"/><Relationship Id="rId127" Type="http://schemas.openxmlformats.org/officeDocument/2006/relationships/hyperlink" Target="https://www.sec.gov/Archives/edgar/data/1060391/000106039124000142/exhibit1030balesbrian-repu.htm" TargetMode="External"/><Relationship Id="rId128" Type="http://schemas.openxmlformats.org/officeDocument/2006/relationships/hyperlink" Target="https://www.sec.gov/Archives/edgar/data/1060391/000106039124000142/exhibit1030balesbrian-repu.htm" TargetMode="External"/><Relationship Id="rId129" Type="http://schemas.openxmlformats.org/officeDocument/2006/relationships/hyperlink" Target="https://www.sec.gov/Archives/edgar/data/1060391/000106039124000142/exhibit1030balesbrian-repu.htm" TargetMode="External"/><Relationship Id="rId130" Type="http://schemas.openxmlformats.org/officeDocument/2006/relationships/hyperlink" Target="https://www.sec.gov/Archives/edgar/data/1060391/000106039124000142/exhibit1030balesbrian-repu.htm" TargetMode="External"/><Relationship Id="rId131" Type="http://schemas.openxmlformats.org/officeDocument/2006/relationships/hyperlink" Target="https://www.sec.gov/Archives/edgar/data/1060391/000106039124000205/exhibit101offerletterdated.htm" TargetMode="External"/><Relationship Id="rId132" Type="http://schemas.openxmlformats.org/officeDocument/2006/relationships/hyperlink" Target="https://www.sec.gov/Archives/edgar/data/1060391/000106039124000205/exhibit101offerletterdated.htm" TargetMode="External"/><Relationship Id="rId133" Type="http://schemas.openxmlformats.org/officeDocument/2006/relationships/hyperlink" Target="https://www.sec.gov/Archives/edgar/data/1060391/000106039124000205/exhibit101offerletterdated.htm" TargetMode="External"/><Relationship Id="rId134" Type="http://schemas.openxmlformats.org/officeDocument/2006/relationships/hyperlink" Target="https://www.sec.gov/Archives/edgar/data/1060391/000106039124000205/exhibit101offerletterdated.htm" TargetMode="External"/><Relationship Id="rId135" Type="http://schemas.openxmlformats.org/officeDocument/2006/relationships/hyperlink" Target="https://www.sec.gov/Archives/edgar/data/1060391/000106039124000205/exhibit102brummergregg-rep.htm" TargetMode="External"/><Relationship Id="rId136" Type="http://schemas.openxmlformats.org/officeDocument/2006/relationships/hyperlink" Target="https://www.sec.gov/Archives/edgar/data/1060391/000106039124000205/exhibit102brummergregg-rep.htm" TargetMode="External"/><Relationship Id="rId137" Type="http://schemas.openxmlformats.org/officeDocument/2006/relationships/hyperlink" Target="https://www.sec.gov/Archives/edgar/data/1060391/000106039124000205/exhibit102brummergregg-rep.htm" TargetMode="External"/><Relationship Id="rId138" Type="http://schemas.openxmlformats.org/officeDocument/2006/relationships/hyperlink" Target="https://www.sec.gov/Archives/edgar/data/1060391/000106039124000205/exhibit102brummergregg-rep.htm" TargetMode="External"/><Relationship Id="rId139" Type="http://schemas.openxmlformats.org/officeDocument/2006/relationships/hyperlink" Target="https://www.sec.gov/Archives/edgar/data/1060391/000106039125000091/ex1027esppamendment.htm" TargetMode="External"/><Relationship Id="rId140" Type="http://schemas.openxmlformats.org/officeDocument/2006/relationships/hyperlink" Target="https://www.sec.gov/Archives/edgar/data/1060391/000106039125000091/ex1027esppamendment.htm" TargetMode="External"/><Relationship Id="rId141" Type="http://schemas.openxmlformats.org/officeDocument/2006/relationships/hyperlink" Target="https://www.sec.gov/Archives/edgar/data/1060391/000106039125000091/ex1027esppamendment.htm" TargetMode="External"/><Relationship Id="rId142" Type="http://schemas.openxmlformats.org/officeDocument/2006/relationships/hyperlink" Target="https://www.sec.gov/Archives/edgar/data/1060391/000106039125000091/ex1028sipamendment.htm" TargetMode="External"/><Relationship Id="rId143" Type="http://schemas.openxmlformats.org/officeDocument/2006/relationships/hyperlink" Target="https://www.sec.gov/Archives/edgar/data/1060391/000106039125000091/ex1028sipamendment.htm" TargetMode="External"/><Relationship Id="rId144" Type="http://schemas.openxmlformats.org/officeDocument/2006/relationships/hyperlink" Target="https://www.sec.gov/Archives/edgar/data/1060391/000106039125000091/ex1028sipamendment.htm" TargetMode="External"/><Relationship Id="rId145" Type="http://schemas.openxmlformats.org/officeDocument/2006/relationships/hyperlink" Target="https://www.sec.gov/Archives/edgar/data/1060391/000106039125000091/ex191insidertradingpolicy.htm" TargetMode="External"/><Relationship Id="rId146" Type="http://schemas.openxmlformats.org/officeDocument/2006/relationships/hyperlink" Target="https://www.sec.gov/Archives/edgar/data/1060391/000106039125000091/ex192insidertradingprocedu.htm" TargetMode="External"/><Relationship Id="rId147" Type="http://schemas.openxmlformats.org/officeDocument/2006/relationships/hyperlink" Target="https://www.sec.gov/Archives/edgar/data/1060391/000106039125000091/ex193republicservicesshare.htm" TargetMode="External"/><Relationship Id="rId148" Type="http://schemas.openxmlformats.org/officeDocument/2006/relationships/hyperlink" Target="https://www.sec.gov/Archives/edgar/data/1060391/000106039123000019/exhibit1001amendedandresta.htm" TargetMode="External"/><Relationship Id="rId149" Type="http://schemas.openxmlformats.org/officeDocument/2006/relationships/fontTable" Target="fontTable.xml"/><Relationship Id="rId1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76712</Words>
  <Characters>434111</Characters>
  <CharactersWithSpaces>505396</CharactersWithSpaces>
  <Paragraphs>8285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