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10-K</w:t>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 w:lineRule="exact"/>
        <w:rPr>
          <w:rFonts w:ascii="MS PGothic" w:cs="MS PGothic" w:eastAsia="MS PGothic" w:hAnsi="MS PGothic"/>
          <w:sz w:val="18"/>
          <w:szCs w:val="18"/>
          <w:color w:val="auto"/>
        </w:rPr>
      </w:pPr>
    </w:p>
    <w:p>
      <w:pPr>
        <w:ind w:left="11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2015</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 w:lineRule="exact"/>
        <w:rPr>
          <w:sz w:val="24"/>
          <w:szCs w:val="24"/>
          <w:color w:val="auto"/>
        </w:rPr>
      </w:pPr>
    </w:p>
    <w:p>
      <w:pPr>
        <w:ind w:left="1100"/>
        <w:spacing w:after="0"/>
        <w:tabs>
          <w:tab w:leader="none" w:pos="3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1-14267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REPUBLIC SERVICES,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6" w:lineRule="exact"/>
        <w:rPr>
          <w:sz w:val="24"/>
          <w:szCs w:val="24"/>
          <w:color w:val="auto"/>
        </w:rPr>
      </w:pPr>
    </w:p>
    <w:tbl>
      <w:tblPr>
        <w:tblLayout w:type="fixed"/>
        <w:tblInd w:w="1060" w:type="dxa"/>
        <w:tblCellMar>
          <w:top w:w="0" w:type="dxa"/>
          <w:left w:w="0" w:type="dxa"/>
          <w:bottom w:w="0" w:type="dxa"/>
          <w:right w:w="0" w:type="dxa"/>
        </w:tblCellMar>
      </w:tblPr>
      <w:tr>
        <w:trPr>
          <w:trHeight w:val="210"/>
        </w:trPr>
        <w:tc>
          <w:tcPr>
            <w:tcW w:w="5060" w:type="dxa"/>
            <w:vAlign w:val="bottom"/>
          </w:tcPr>
          <w:p>
            <w:pPr>
              <w:jc w:val="center"/>
              <w:ind w:right="1363"/>
              <w:spacing w:after="0"/>
              <w:rPr>
                <w:sz w:val="20"/>
                <w:szCs w:val="20"/>
                <w:color w:val="auto"/>
              </w:rPr>
            </w:pPr>
            <w:r>
              <w:rPr>
                <w:rFonts w:ascii="Arial" w:cs="Arial" w:eastAsia="Arial" w:hAnsi="Arial"/>
                <w:sz w:val="16"/>
                <w:szCs w:val="16"/>
                <w:b w:val="1"/>
                <w:bCs w:val="1"/>
                <w:color w:val="auto"/>
                <w:w w:val="93"/>
              </w:rPr>
              <w:t>Delaware</w:t>
            </w:r>
          </w:p>
        </w:tc>
        <w:tc>
          <w:tcPr>
            <w:tcW w:w="3420" w:type="dxa"/>
            <w:vAlign w:val="bottom"/>
          </w:tcPr>
          <w:p>
            <w:pPr>
              <w:jc w:val="right"/>
              <w:ind w:right="501"/>
              <w:spacing w:after="0"/>
              <w:rPr>
                <w:sz w:val="20"/>
                <w:szCs w:val="20"/>
                <w:color w:val="auto"/>
              </w:rPr>
            </w:pPr>
            <w:r>
              <w:rPr>
                <w:rFonts w:ascii="Arial" w:cs="Arial" w:eastAsia="Arial" w:hAnsi="Arial"/>
                <w:sz w:val="16"/>
                <w:szCs w:val="16"/>
                <w:b w:val="1"/>
                <w:bCs w:val="1"/>
                <w:color w:val="auto"/>
              </w:rPr>
              <w:t>65-0716904</w:t>
            </w:r>
          </w:p>
        </w:tc>
      </w:tr>
      <w:tr>
        <w:trPr>
          <w:trHeight w:val="224"/>
        </w:trPr>
        <w:tc>
          <w:tcPr>
            <w:tcW w:w="5060" w:type="dxa"/>
            <w:vAlign w:val="bottom"/>
          </w:tcPr>
          <w:p>
            <w:pPr>
              <w:jc w:val="center"/>
              <w:ind w:right="1383"/>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420" w:type="dxa"/>
            <w:vAlign w:val="bottom"/>
          </w:tcPr>
          <w:p>
            <w:pPr>
              <w:jc w:val="center"/>
              <w:ind w:left="140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228"/>
        </w:trPr>
        <w:tc>
          <w:tcPr>
            <w:tcW w:w="5060" w:type="dxa"/>
            <w:vAlign w:val="bottom"/>
          </w:tcPr>
          <w:p>
            <w:pPr>
              <w:jc w:val="center"/>
              <w:ind w:right="1383"/>
              <w:spacing w:after="0"/>
              <w:rPr>
                <w:sz w:val="20"/>
                <w:szCs w:val="20"/>
                <w:color w:val="auto"/>
              </w:rPr>
            </w:pPr>
            <w:r>
              <w:rPr>
                <w:rFonts w:ascii="Arial" w:cs="Arial" w:eastAsia="Arial" w:hAnsi="Arial"/>
                <w:sz w:val="16"/>
                <w:szCs w:val="16"/>
                <w:b w:val="1"/>
                <w:bCs w:val="1"/>
                <w:color w:val="auto"/>
                <w:w w:val="94"/>
              </w:rPr>
              <w:t>18500 North Allied Way</w:t>
            </w:r>
          </w:p>
        </w:tc>
        <w:tc>
          <w:tcPr>
            <w:tcW w:w="3420" w:type="dxa"/>
            <w:vAlign w:val="bottom"/>
          </w:tcPr>
          <w:p>
            <w:pPr>
              <w:jc w:val="right"/>
              <w:ind w:right="681"/>
              <w:spacing w:after="0"/>
              <w:rPr>
                <w:sz w:val="20"/>
                <w:szCs w:val="20"/>
                <w:color w:val="auto"/>
              </w:rPr>
            </w:pPr>
            <w:r>
              <w:rPr>
                <w:rFonts w:ascii="Arial" w:cs="Arial" w:eastAsia="Arial" w:hAnsi="Arial"/>
                <w:sz w:val="16"/>
                <w:szCs w:val="16"/>
                <w:b w:val="1"/>
                <w:bCs w:val="1"/>
                <w:color w:val="auto"/>
              </w:rPr>
              <w:t>85054</w:t>
            </w:r>
          </w:p>
        </w:tc>
      </w:tr>
      <w:tr>
        <w:trPr>
          <w:trHeight w:val="210"/>
        </w:trPr>
        <w:tc>
          <w:tcPr>
            <w:tcW w:w="5060" w:type="dxa"/>
            <w:vAlign w:val="bottom"/>
          </w:tcPr>
          <w:p>
            <w:pPr>
              <w:jc w:val="center"/>
              <w:ind w:right="1383"/>
              <w:spacing w:after="0"/>
              <w:rPr>
                <w:sz w:val="20"/>
                <w:szCs w:val="20"/>
                <w:color w:val="auto"/>
              </w:rPr>
            </w:pPr>
            <w:r>
              <w:rPr>
                <w:rFonts w:ascii="Arial" w:cs="Arial" w:eastAsia="Arial" w:hAnsi="Arial"/>
                <w:sz w:val="16"/>
                <w:szCs w:val="16"/>
                <w:b w:val="1"/>
                <w:bCs w:val="1"/>
                <w:color w:val="auto"/>
                <w:w w:val="92"/>
              </w:rPr>
              <w:t>Phoenix, Arizona</w:t>
            </w:r>
          </w:p>
        </w:tc>
        <w:tc>
          <w:tcPr>
            <w:tcW w:w="3420" w:type="dxa"/>
            <w:vAlign w:val="bottom"/>
          </w:tcPr>
          <w:p>
            <w:pPr>
              <w:jc w:val="center"/>
              <w:ind w:left="1401"/>
              <w:spacing w:after="0"/>
              <w:rPr>
                <w:sz w:val="20"/>
                <w:szCs w:val="20"/>
                <w:color w:val="auto"/>
              </w:rPr>
            </w:pPr>
            <w:r>
              <w:rPr>
                <w:rFonts w:ascii="Arial" w:cs="Arial" w:eastAsia="Arial" w:hAnsi="Arial"/>
                <w:sz w:val="16"/>
                <w:szCs w:val="16"/>
                <w:i w:val="1"/>
                <w:iCs w:val="1"/>
                <w:color w:val="auto"/>
                <w:w w:val="92"/>
              </w:rPr>
              <w:t>(Zip Code)</w:t>
            </w:r>
          </w:p>
        </w:tc>
      </w:tr>
      <w:tr>
        <w:trPr>
          <w:trHeight w:val="224"/>
        </w:trPr>
        <w:tc>
          <w:tcPr>
            <w:tcW w:w="5060" w:type="dxa"/>
            <w:vAlign w:val="bottom"/>
          </w:tcPr>
          <w:p>
            <w:pPr>
              <w:jc w:val="center"/>
              <w:ind w:right="1383"/>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420" w:type="dxa"/>
            <w:vAlign w:val="bottom"/>
          </w:tcPr>
          <w:p>
            <w:pPr>
              <w:spacing w:after="0"/>
              <w:rPr>
                <w:sz w:val="19"/>
                <w:szCs w:val="19"/>
                <w:color w:val="auto"/>
              </w:rPr>
            </w:pPr>
          </w:p>
        </w:tc>
      </w:tr>
    </w:tbl>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8" w:lineRule="exact"/>
        <w:rPr>
          <w:sz w:val="24"/>
          <w:szCs w:val="24"/>
          <w:color w:val="auto"/>
        </w:rPr>
      </w:pPr>
    </w:p>
    <w:tbl>
      <w:tblPr>
        <w:tblLayout w:type="fixed"/>
        <w:tblInd w:w="660" w:type="dxa"/>
        <w:tblCellMar>
          <w:top w:w="0" w:type="dxa"/>
          <w:left w:w="0" w:type="dxa"/>
          <w:bottom w:w="0" w:type="dxa"/>
          <w:right w:w="0" w:type="dxa"/>
        </w:tblCellMar>
      </w:tblPr>
      <w:tr>
        <w:trPr>
          <w:trHeight w:val="186"/>
        </w:trPr>
        <w:tc>
          <w:tcPr>
            <w:tcW w:w="4260" w:type="dxa"/>
            <w:vAlign w:val="bottom"/>
          </w:tcPr>
          <w:p>
            <w:pPr>
              <w:jc w:val="center"/>
              <w:ind w:left="57"/>
              <w:spacing w:after="0"/>
              <w:rPr>
                <w:sz w:val="20"/>
                <w:szCs w:val="20"/>
                <w:color w:val="auto"/>
              </w:rPr>
            </w:pPr>
            <w:r>
              <w:rPr>
                <w:rFonts w:ascii="Arial" w:cs="Arial" w:eastAsia="Arial" w:hAnsi="Arial"/>
                <w:sz w:val="14"/>
                <w:szCs w:val="14"/>
                <w:b w:val="1"/>
                <w:bCs w:val="1"/>
                <w:color w:val="auto"/>
                <w:w w:val="93"/>
              </w:rPr>
              <w:t>Title of Each Class</w:t>
            </w:r>
          </w:p>
        </w:tc>
        <w:tc>
          <w:tcPr>
            <w:tcW w:w="5040" w:type="dxa"/>
            <w:vAlign w:val="bottom"/>
            <w:gridSpan w:val="2"/>
          </w:tcPr>
          <w:p>
            <w:pPr>
              <w:jc w:val="right"/>
              <w:spacing w:after="0"/>
              <w:rPr>
                <w:sz w:val="20"/>
                <w:szCs w:val="20"/>
                <w:color w:val="auto"/>
              </w:rPr>
            </w:pPr>
            <w:r>
              <w:rPr>
                <w:rFonts w:ascii="Arial" w:cs="Arial" w:eastAsia="Arial" w:hAnsi="Arial"/>
                <w:sz w:val="14"/>
                <w:szCs w:val="14"/>
                <w:b w:val="1"/>
                <w:bCs w:val="1"/>
                <w:color w:val="auto"/>
              </w:rPr>
              <w:t>Name of Each Exchange on which Registered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60" w:type="dxa"/>
            <w:vAlign w:val="bottom"/>
          </w:tcPr>
          <w:p>
            <w:pPr>
              <w:jc w:val="center"/>
              <w:ind w:left="77"/>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504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The New York Stock Exchange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620" w:type="dxa"/>
            <w:vAlign w:val="bottom"/>
            <w:gridSpan w:val="2"/>
          </w:tcPr>
          <w:p>
            <w:pPr>
              <w:jc w:val="center"/>
              <w:ind w:left="1417"/>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4360" w:type="dxa"/>
            <w:vAlign w:val="bottom"/>
          </w:tcPr>
          <w:p>
            <w:pPr>
              <w:jc w:val="center"/>
              <w:ind w:right="2682"/>
              <w:spacing w:after="0"/>
              <w:rPr>
                <w:sz w:val="20"/>
                <w:szCs w:val="20"/>
                <w:color w:val="auto"/>
              </w:rPr>
            </w:pPr>
            <w:r>
              <w:rPr>
                <w:rFonts w:ascii="Arial" w:cs="Arial" w:eastAsia="Arial" w:hAnsi="Arial"/>
                <w:sz w:val="16"/>
                <w:szCs w:val="16"/>
                <w:b w:val="1"/>
                <w:bCs w:val="1"/>
                <w:color w:val="auto"/>
                <w:w w:val="89"/>
              </w:rPr>
              <w:t>None</w:t>
            </w:r>
          </w:p>
        </w:tc>
        <w:tc>
          <w:tcPr>
            <w:tcW w:w="680" w:type="dxa"/>
            <w:vAlign w:val="bottom"/>
            <w:vMerge w:val="restart"/>
          </w:tcPr>
          <w:p>
            <w:pPr>
              <w:jc w:val="right"/>
              <w:ind w:right="7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62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1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43" w:lineRule="exact"/>
        <w:rPr>
          <w:sz w:val="24"/>
          <w:szCs w:val="24"/>
          <w:color w:val="auto"/>
        </w:rPr>
      </w:pPr>
    </w:p>
    <w:p>
      <w:pPr>
        <w:ind w:left="3020" w:right="700" w:hanging="5725"/>
        <w:spacing w:after="0" w:line="245" w:lineRule="exact"/>
        <w:tabs>
          <w:tab w:leader="none" w:pos="30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 Non-accelerated filer o Smaller reporting company o (Do not check if a smaller reporting company)</w:t>
      </w:r>
    </w:p>
    <w:p>
      <w:pPr>
        <w:spacing w:after="0" w:line="31"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As of June 30, 2015, the aggregate market value of the shares of the Common Stock held by non-affiliates of the registrant was $13.7 billion.</w:t>
      </w:r>
    </w:p>
    <w:p>
      <w:pPr>
        <w:spacing w:after="0" w:line="3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As of February 4, 2016, the registrant had outstanding 344,869,692 shares of Common Stock (excluding treasury shares of 1,303,802).</w:t>
      </w:r>
    </w:p>
    <w:p>
      <w:pPr>
        <w:spacing w:after="0" w:line="164"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Portions of the Registrant’s Proxy Statement relative to the 2016 Annual Meeting of Shareholders are incorporated by reference in Part III hereof.</w:t>
      </w:r>
    </w:p>
    <w:p>
      <w:pPr>
        <w:sectPr>
          <w:pgSz w:w="11900" w:h="16838" w:orient="portrait"/>
          <w:cols w:equalWidth="0" w:num="1">
            <w:col w:w="11360"/>
          </w:cols>
          <w:pgMar w:left="240" w:top="225" w:right="2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6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7"/>
        </w:trPr>
        <w:tc>
          <w:tcPr>
            <w:tcW w:w="580" w:type="dxa"/>
            <w:vAlign w:val="bottom"/>
            <w:tcBorders>
              <w:bottom w:val="single" w:sz="8" w:color="0000FF"/>
            </w:tcBorders>
          </w:tcPr>
          <w:p>
            <w:pPr>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w:t>
              </w:r>
            </w:hyperlink>
          </w:p>
        </w:tc>
        <w:tc>
          <w:tcPr>
            <w:tcW w:w="5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18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0" w:type="dxa"/>
            <w:vAlign w:val="bottom"/>
            <w:gridSpan w:val="18"/>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1180" w:type="dxa"/>
            <w:vAlign w:val="bottom"/>
            <w:gridSpan w:val="4"/>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14</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00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Unresolved Staff Comments</w:t>
              </w:r>
            </w:hyperlink>
          </w:p>
        </w:tc>
        <w:tc>
          <w:tcPr>
            <w:tcW w:w="118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23">
              <w:r>
                <w:rPr>
                  <w:rFonts w:ascii="Arial" w:cs="Arial" w:eastAsia="Arial" w:hAnsi="Arial"/>
                  <w:sz w:val="18"/>
                  <w:szCs w:val="18"/>
                  <w:color w:val="0000FF"/>
                  <w:w w:val="87"/>
                </w:rPr>
                <w:t>Properties</w:t>
              </w:r>
            </w:hyperlink>
          </w:p>
        </w:tc>
        <w:tc>
          <w:tcPr>
            <w:tcW w:w="1280" w:type="dxa"/>
            <w:vAlign w:val="bottom"/>
            <w:tcBorders>
              <w:top w:val="single" w:sz="8" w:color="0000FF"/>
            </w:tcBorders>
            <w:gridSpan w:val="6"/>
          </w:tcPr>
          <w:p>
            <w:pPr>
              <w:spacing w:after="0"/>
              <w:rPr>
                <w:sz w:val="21"/>
                <w:szCs w:val="21"/>
                <w:color w:val="auto"/>
              </w:rPr>
            </w:pPr>
          </w:p>
        </w:tc>
        <w:tc>
          <w:tcPr>
            <w:tcW w:w="6960" w:type="dxa"/>
            <w:vAlign w:val="bottom"/>
            <w:gridSpan w:val="10"/>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22</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23">
              <w:r>
                <w:rPr>
                  <w:rFonts w:ascii="Arial" w:cs="Arial" w:eastAsia="Arial" w:hAnsi="Arial"/>
                  <w:sz w:val="18"/>
                  <w:szCs w:val="18"/>
                  <w:color w:val="0000FF"/>
                  <w:w w:val="88"/>
                </w:rPr>
                <w:t>Legal Proceedings</w:t>
              </w:r>
            </w:hyperlink>
          </w:p>
        </w:tc>
        <w:tc>
          <w:tcPr>
            <w:tcW w:w="7660" w:type="dxa"/>
            <w:vAlign w:val="bottom"/>
            <w:gridSpan w:val="13"/>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22</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000" w:type="dxa"/>
            <w:vAlign w:val="bottom"/>
            <w:gridSpan w:val="1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Mine Safety Disclosures</w:t>
              </w:r>
            </w:hyperlink>
          </w:p>
        </w:tc>
        <w:tc>
          <w:tcPr>
            <w:tcW w:w="1180" w:type="dxa"/>
            <w:vAlign w:val="bottom"/>
            <w:gridSpan w:val="4"/>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r>
      <w:tr>
        <w:trPr>
          <w:trHeight w:val="574"/>
        </w:trPr>
        <w:tc>
          <w:tcPr>
            <w:tcW w:w="1140" w:type="dxa"/>
            <w:vAlign w:val="bottom"/>
            <w:gridSpan w:val="5"/>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w:t>
              </w:r>
            </w:hyperlink>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50"/>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500" w:type="dxa"/>
            <w:vAlign w:val="bottom"/>
            <w:gridSpan w:val="3"/>
          </w:tcPr>
          <w:p>
            <w:pPr>
              <w:spacing w:after="0"/>
              <w:rPr>
                <w:sz w:val="21"/>
                <w:szCs w:val="21"/>
                <w:color w:val="auto"/>
              </w:rPr>
            </w:pPr>
          </w:p>
        </w:tc>
        <w:tc>
          <w:tcPr>
            <w:tcW w:w="80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 of Equity Securities</w:t>
              </w:r>
            </w:hyperlink>
          </w:p>
        </w:tc>
        <w:tc>
          <w:tcPr>
            <w:tcW w:w="92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24</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Selected Financial Data</w:t>
              </w:r>
            </w:hyperlink>
          </w:p>
        </w:tc>
        <w:tc>
          <w:tcPr>
            <w:tcW w:w="7280" w:type="dxa"/>
            <w:vAlign w:val="bottom"/>
            <w:gridSpan w:val="12"/>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25</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00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118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14"/>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Quantitative and Qualitative Disclosures About Market Risk</w:t>
              </w:r>
            </w:hyperlink>
          </w:p>
        </w:tc>
        <w:tc>
          <w:tcPr>
            <w:tcW w:w="2540" w:type="dxa"/>
            <w:vAlign w:val="bottom"/>
            <w:gridSpan w:val="4"/>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61</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2"/>
          </w:tcPr>
          <w:p>
            <w:pPr>
              <w:spacing w:after="0"/>
              <w:rPr>
                <w:sz w:val="21"/>
                <w:szCs w:val="21"/>
                <w:color w:val="auto"/>
              </w:rPr>
            </w:pPr>
          </w:p>
        </w:tc>
        <w:tc>
          <w:tcPr>
            <w:tcW w:w="4640" w:type="dxa"/>
            <w:vAlign w:val="bottom"/>
            <w:gridSpan w:val="6"/>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000" w:type="dxa"/>
            <w:vAlign w:val="bottom"/>
            <w:gridSpan w:val="18"/>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Changes in and Disagreements with Accountants on Accounting and Financial Disclosure</w:t>
              </w:r>
            </w:hyperlink>
          </w:p>
        </w:tc>
        <w:tc>
          <w:tcPr>
            <w:tcW w:w="118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8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114">
              <w:r>
                <w:rPr>
                  <w:rFonts w:ascii="Arial" w:cs="Arial" w:eastAsia="Arial" w:hAnsi="Arial"/>
                  <w:sz w:val="18"/>
                  <w:szCs w:val="18"/>
                  <w:color w:val="0000FF"/>
                  <w:w w:val="88"/>
                </w:rPr>
                <w:t>Controls and Procedures</w:t>
              </w:r>
            </w:hyperlink>
          </w:p>
        </w:tc>
        <w:tc>
          <w:tcPr>
            <w:tcW w:w="4680" w:type="dxa"/>
            <w:vAlign w:val="bottom"/>
            <w:tcBorders>
              <w:top w:val="single" w:sz="8" w:color="0000FF"/>
            </w:tcBorders>
            <w:gridSpan w:val="8"/>
          </w:tcPr>
          <w:p>
            <w:pPr>
              <w:spacing w:after="0"/>
              <w:rPr>
                <w:sz w:val="21"/>
                <w:szCs w:val="21"/>
                <w:color w:val="auto"/>
              </w:rPr>
            </w:pPr>
          </w:p>
        </w:tc>
        <w:tc>
          <w:tcPr>
            <w:tcW w:w="2520" w:type="dxa"/>
            <w:vAlign w:val="bottom"/>
            <w:gridSpan w:val="3"/>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14">
              <w:r>
                <w:rPr>
                  <w:rFonts w:ascii="Arial" w:cs="Arial" w:eastAsia="Arial" w:hAnsi="Arial"/>
                  <w:sz w:val="18"/>
                  <w:szCs w:val="18"/>
                  <w:color w:val="0000FF"/>
                  <w:w w:val="79"/>
                </w:rPr>
                <w:t>113</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000" w:type="dxa"/>
            <w:vAlign w:val="bottom"/>
            <w:gridSpan w:val="18"/>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Other Information</w:t>
              </w:r>
            </w:hyperlink>
          </w:p>
        </w:tc>
        <w:tc>
          <w:tcPr>
            <w:tcW w:w="1180" w:type="dxa"/>
            <w:vAlign w:val="bottom"/>
            <w:gridSpan w:val="4"/>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114</w:t>
              </w:r>
            </w:hyperlink>
          </w:p>
        </w:tc>
      </w:tr>
      <w:tr>
        <w:trPr>
          <w:trHeight w:val="574"/>
        </w:trPr>
        <w:tc>
          <w:tcPr>
            <w:tcW w:w="72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115">
              <w:r>
                <w:rPr>
                  <w:rFonts w:ascii="Arial" w:cs="Arial" w:eastAsia="Arial" w:hAnsi="Arial"/>
                  <w:sz w:val="18"/>
                  <w:szCs w:val="18"/>
                  <w:b w:val="1"/>
                  <w:bCs w:val="1"/>
                  <w:color w:val="0000FF"/>
                </w:rPr>
                <w:t>PART III</w:t>
              </w:r>
            </w:hyperlink>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Directors, Executive Officers and Corporate Governance</w:t>
              </w:r>
            </w:hyperlink>
          </w:p>
        </w:tc>
        <w:tc>
          <w:tcPr>
            <w:tcW w:w="490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6">
              <w:r>
                <w:rPr>
                  <w:rFonts w:ascii="Arial" w:cs="Arial" w:eastAsia="Arial" w:hAnsi="Arial"/>
                  <w:sz w:val="18"/>
                  <w:szCs w:val="18"/>
                  <w:color w:val="0000FF"/>
                  <w:w w:val="79"/>
                </w:rPr>
                <w:t>115</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000" w:type="dxa"/>
            <w:vAlign w:val="bottom"/>
            <w:gridSpan w:val="18"/>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Executive Compensation</w:t>
              </w:r>
            </w:hyperlink>
          </w:p>
        </w:tc>
        <w:tc>
          <w:tcPr>
            <w:tcW w:w="1180" w:type="dxa"/>
            <w:vAlign w:val="bottom"/>
            <w:gridSpan w:val="4"/>
          </w:tcPr>
          <w:p>
            <w:pPr>
              <w:jc w:val="right"/>
              <w:spacing w:after="0"/>
              <w:rPr>
                <w:rFonts w:ascii="Arial" w:cs="Arial" w:eastAsia="Arial" w:hAnsi="Arial"/>
                <w:sz w:val="18"/>
                <w:szCs w:val="18"/>
                <w:color w:val="0000FF"/>
              </w:rPr>
            </w:pPr>
            <w:hyperlink w:anchor="page116">
              <w:r>
                <w:rPr>
                  <w:rFonts w:ascii="Arial" w:cs="Arial" w:eastAsia="Arial" w:hAnsi="Arial"/>
                  <w:sz w:val="18"/>
                  <w:szCs w:val="18"/>
                  <w:color w:val="0000FF"/>
                </w:rPr>
                <w:t>115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Security Ownership of Certain Beneficial Owners and Management and Related Stockholder Matters</w:t>
              </w:r>
            </w:hyperlink>
          </w:p>
        </w:tc>
        <w:tc>
          <w:tcPr>
            <w:tcW w:w="170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6">
              <w:r>
                <w:rPr>
                  <w:rFonts w:ascii="Arial" w:cs="Arial" w:eastAsia="Arial" w:hAnsi="Arial"/>
                  <w:sz w:val="18"/>
                  <w:szCs w:val="18"/>
                  <w:color w:val="0000FF"/>
                  <w:w w:val="79"/>
                </w:rPr>
                <w:t>115</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16">
              <w:r>
                <w:rPr>
                  <w:rFonts w:ascii="Arial" w:cs="Arial" w:eastAsia="Arial" w:hAnsi="Arial"/>
                  <w:sz w:val="18"/>
                  <w:szCs w:val="18"/>
                  <w:color w:val="0000FF"/>
                  <w:w w:val="89"/>
                </w:rPr>
                <w:t>Certain Relationships and Related Transactions, and Director Independence</w:t>
              </w:r>
            </w:hyperlink>
          </w:p>
        </w:tc>
        <w:tc>
          <w:tcPr>
            <w:tcW w:w="3540" w:type="dxa"/>
            <w:vAlign w:val="bottom"/>
            <w:gridSpan w:val="5"/>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6">
              <w:r>
                <w:rPr>
                  <w:rFonts w:ascii="Arial" w:cs="Arial" w:eastAsia="Arial" w:hAnsi="Arial"/>
                  <w:sz w:val="18"/>
                  <w:szCs w:val="18"/>
                  <w:color w:val="0000FF"/>
                  <w:w w:val="79"/>
                </w:rPr>
                <w:t>115</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000" w:type="dxa"/>
            <w:vAlign w:val="bottom"/>
            <w:gridSpan w:val="18"/>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Principal Accounting Fees and Services</w:t>
              </w:r>
            </w:hyperlink>
          </w:p>
        </w:tc>
        <w:tc>
          <w:tcPr>
            <w:tcW w:w="1180" w:type="dxa"/>
            <w:vAlign w:val="bottom"/>
            <w:gridSpan w:val="4"/>
          </w:tcPr>
          <w:p>
            <w:pPr>
              <w:jc w:val="right"/>
              <w:spacing w:after="0"/>
              <w:rPr>
                <w:rFonts w:ascii="Arial" w:cs="Arial" w:eastAsia="Arial" w:hAnsi="Arial"/>
                <w:sz w:val="18"/>
                <w:szCs w:val="18"/>
                <w:color w:val="0000FF"/>
              </w:rPr>
            </w:pPr>
            <w:hyperlink w:anchor="page116">
              <w:r>
                <w:rPr>
                  <w:rFonts w:ascii="Arial" w:cs="Arial" w:eastAsia="Arial" w:hAnsi="Arial"/>
                  <w:sz w:val="18"/>
                  <w:szCs w:val="18"/>
                  <w:color w:val="0000FF"/>
                </w:rPr>
                <w:t>115</w:t>
              </w:r>
            </w:hyperlink>
          </w:p>
        </w:tc>
      </w:tr>
      <w:tr>
        <w:trPr>
          <w:trHeight w:val="574"/>
        </w:trPr>
        <w:tc>
          <w:tcPr>
            <w:tcW w:w="1140" w:type="dxa"/>
            <w:vAlign w:val="bottom"/>
            <w:gridSpan w:val="5"/>
          </w:tcPr>
          <w:p>
            <w:pPr>
              <w:spacing w:after="0"/>
              <w:rPr>
                <w:rFonts w:ascii="Arial" w:cs="Arial" w:eastAsia="Arial" w:hAnsi="Arial"/>
                <w:sz w:val="18"/>
                <w:szCs w:val="18"/>
                <w:b w:val="1"/>
                <w:bCs w:val="1"/>
                <w:color w:val="0000FF"/>
              </w:rPr>
            </w:pPr>
            <w:hyperlink w:anchor="page116">
              <w:r>
                <w:rPr>
                  <w:rFonts w:ascii="Arial" w:cs="Arial" w:eastAsia="Arial" w:hAnsi="Arial"/>
                  <w:sz w:val="18"/>
                  <w:szCs w:val="18"/>
                  <w:b w:val="1"/>
                  <w:bCs w:val="1"/>
                  <w:color w:val="0000FF"/>
                </w:rPr>
                <w:t>PART IV</w:t>
              </w:r>
            </w:hyperlink>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50"/>
        </w:trPr>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440" w:type="dxa"/>
            <w:vAlign w:val="bottom"/>
            <w:gridSpan w:val="2"/>
          </w:tcPr>
          <w:p>
            <w:pPr>
              <w:spacing w:after="0"/>
              <w:rPr>
                <w:sz w:val="21"/>
                <w:szCs w:val="21"/>
                <w:color w:val="auto"/>
              </w:rPr>
            </w:pPr>
          </w:p>
        </w:tc>
        <w:tc>
          <w:tcPr>
            <w:tcW w:w="9000" w:type="dxa"/>
            <w:vAlign w:val="bottom"/>
            <w:gridSpan w:val="18"/>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Exhibits, Financial Statement Schedules</w:t>
              </w:r>
            </w:hyperlink>
          </w:p>
        </w:tc>
        <w:tc>
          <w:tcPr>
            <w:tcW w:w="1180" w:type="dxa"/>
            <w:vAlign w:val="bottom"/>
            <w:gridSpan w:val="4"/>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gridSpan w:val="9"/>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Signatures</w:t>
              </w:r>
            </w:hyperlink>
          </w:p>
        </w:tc>
        <w:tc>
          <w:tcPr>
            <w:tcW w:w="6100" w:type="dxa"/>
            <w:vAlign w:val="bottom"/>
            <w:gridSpan w:val="9"/>
          </w:tcPr>
          <w:p>
            <w:pPr>
              <w:spacing w:after="0"/>
              <w:rPr>
                <w:sz w:val="21"/>
                <w:szCs w:val="21"/>
                <w:color w:val="auto"/>
              </w:rPr>
            </w:pPr>
          </w:p>
        </w:tc>
        <w:tc>
          <w:tcPr>
            <w:tcW w:w="1180" w:type="dxa"/>
            <w:vAlign w:val="bottom"/>
            <w:gridSpan w:val="4"/>
          </w:tcPr>
          <w:p>
            <w:pPr>
              <w:jc w:val="right"/>
              <w:spacing w:after="0"/>
              <w:rPr>
                <w:rFonts w:ascii="Arial" w:cs="Arial" w:eastAsia="Arial" w:hAnsi="Arial"/>
                <w:sz w:val="18"/>
                <w:szCs w:val="18"/>
                <w:color w:val="0000FF"/>
              </w:rPr>
            </w:pPr>
            <w:hyperlink w:anchor="page121">
              <w:r>
                <w:rPr>
                  <w:rFonts w:ascii="Arial" w:cs="Arial" w:eastAsia="Arial" w:hAnsi="Arial"/>
                  <w:sz w:val="18"/>
                  <w:szCs w:val="18"/>
                  <w:color w:val="0000FF"/>
                </w:rPr>
                <w:t>121</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60"/>
          </w:cols>
          <w:pgMar w:left="240" w:top="118" w:right="2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requires otherwise, all references in this Form 10-K to “Republic,” “the Company,” “we,” “us” and “our” refer to Republic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consolidated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Republic is the second largest provider of non-hazardous solid waste collection, transfer, disposal, recycling, and energy services in the United States, as measured by revenue. As of December 31, 2015, we operated in 41 states and Puerto Rico through 340 collection operations, 201 transfer stations, 193 active landfills, 67 recycling centers, 8 treatment, recovery and disposal facilities, and 12 salt water disposal wells. We also operated 69 landfill gas and renewable energy projects and had post-closure responsibility for 126 closed landfills. We were incorporated in Delaware in 1996.</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an industry trade publication, the United States non-hazardous solid waste services industry generates annual revenue of approximately $60 billion, of which approximately 45% is generated by publicly owned waste companies. Industry data also indicates that the non-hazardous solid waste services industry in the United States remains fragmented as privately held companies and municipal and other local governmental authorities generate approximately 35% and 20%, respectively, of total industry revenue. We believe growth in the solid waste industry historically has been linked primarily to population growth and growth in the overall economy, including the level of new household and business formation and changes in residential and commercial construction activity.</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operations are national in scope, but the physical collection and disposal of waste is very much a local business and the dynamics and opportunities differ in each of our markets. By combining local operating management with standardized business practices, we drive greater overall operating efficiency across the Company while maintaining day-to-day operating decisions at the local level, closest to the customer.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Five Pillars of Our Strategy - Profitable Growth through Differentiation</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that our products and services are valuable, and that by developing a superior team and delivering superior products, we can differentiate ourselves from our competitors. Differentiation allows us to attract and retain the best talent, win more customers, increase loyalty, and ultimately drive higher revenue and profits. Our strategy of Profitable Growth through Differentiation is built on five key pillars including (1) market position, (2) operating model, (3) people and talent agenda, (4) customer zeal, and (5) digital platform.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Position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goal of our market position pillar is to develop the best vertically integrated market position to enable us to build density and improve returns. We strive to have a number one or number two market position in each of the markets we serve, or have a clear path on how we will achieve a leading market position over time. In situations where we cannot establish a leading market position, or where operations are not generating acceptable returns, we may decide to divest certain assets and reallocate resources to other markets.</w:t>
      </w:r>
    </w:p>
    <w:p>
      <w:pPr>
        <w:spacing w:after="0" w:line="133"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We have a robust market planning process to identify opportunities to grow internally through capital investments and infrastructure development, and externally through acquisitions and public-private partnerships. Additionally, our market planning process allows us to analyze market conditions and proactively adjust to trends as they emerge, including the effects of demographic shifts, market changes and the competitive landscape.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Growth</w:t>
      </w:r>
    </w:p>
    <w:p>
      <w:pPr>
        <w:spacing w:after="0" w:line="171" w:lineRule="exact"/>
        <w:rPr>
          <w:sz w:val="20"/>
          <w:szCs w:val="20"/>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Volume Growth </w:t>
      </w:r>
      <w:r>
        <w:rPr>
          <w:rFonts w:ascii="Arial" w:cs="Arial" w:eastAsia="Arial" w:hAnsi="Arial"/>
          <w:sz w:val="18"/>
          <w:szCs w:val="18"/>
          <w:i w:val="1"/>
          <w:iCs w:val="1"/>
          <w:color w:val="auto"/>
        </w:rPr>
        <w:t>-</w:t>
      </w:r>
      <w:r>
        <w:rPr>
          <w:rFonts w:ascii="Arial" w:cs="Arial" w:eastAsia="Arial" w:hAnsi="Arial"/>
          <w:sz w:val="18"/>
          <w:szCs w:val="18"/>
          <w:color w:val="auto"/>
        </w:rPr>
        <w:t xml:space="preserve"> We believe waste volumes are driven by population growth, household formation and new business formation. Volume growth through increases in our customer base and service offerings is the most capital efficient method to grow our business. We seek to obtain long-term contracts for collecting solid waste under residential collection contracts with municipalities, exclusive franchise agreements, and small-container commercial and large-container industrial contracts. By obtaining such long-term agreements, we can grow our contracted revenue base at the same rate as the underlying economic growth in these markets. In addition, by securing a base of long-term recurring revenue, we are better able to protect our market position from competition. We work to increase volumes while ensuring that prices charged for services provide an appropriate return on our capital investment.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18" w:right="2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Price Increases </w:t>
      </w:r>
      <w:r>
        <w:rPr>
          <w:rFonts w:ascii="Arial" w:cs="Arial" w:eastAsia="Arial" w:hAnsi="Arial"/>
          <w:sz w:val="18"/>
          <w:szCs w:val="18"/>
          <w:i w:val="1"/>
          <w:iCs w:val="1"/>
          <w:color w:val="auto"/>
        </w:rPr>
        <w:t>-</w:t>
      </w:r>
      <w:r>
        <w:rPr>
          <w:rFonts w:ascii="Arial" w:cs="Arial" w:eastAsia="Arial" w:hAnsi="Arial"/>
          <w:sz w:val="18"/>
          <w:szCs w:val="18"/>
          <w:color w:val="auto"/>
        </w:rPr>
        <w:t xml:space="preserve"> We seek to secure price increases necessary to offset increased costs, improve our operating margins and earn an adequate return on our substantial investments in vehicles, equipment, landfills, transfer stations and recycling centers.</w:t>
      </w:r>
    </w:p>
    <w:p>
      <w:pPr>
        <w:spacing w:after="0" w:line="116"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Recycling Capabilities - Based on an industry trade publication, we believe approximately 34% of municipal solid waste is recycled. Communities have increasingly committed to their residents to enhance and expand their recycling programs. We continue to focus on innovative waste disposal processes and programs to help our customers achieve their goals related to sustainability and environmentally sound waste practices while also generating an acceptable return. During 2015, we invested approximately $36 million to develop and upgrade our recycling centers. We will continue to look for opportunities to expand our recycling capabilities in markets where these services are desired and provide an appropriate return on our investment.</w:t>
      </w:r>
    </w:p>
    <w:p>
      <w:pPr>
        <w:spacing w:after="0" w:line="139"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Infrastructure Development - We seek to identify opportunities to further our position as an integrated service provider in markets where we are not fully integrated. Our goal is to create market-specific, vertically integrated operations typically consisting of one or more collection operations, transfer stations, landfills and recycling centers. Where appropriate, we obtain permits to build transfer stations, recycling centers and landfills that would vertically integrate our waste services or expand the service areas for our existing disposal sites. Development projects, while generally less capital intensive than acquisitions, typically require extensive permitting efforts that can take years to complete with no assurance of success. We undertake development projects when we believe there is a reasonable probability of success and where reasonably priced acquisition opportunities are not available.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Growth</w:t>
      </w:r>
    </w:p>
    <w:p>
      <w:pPr>
        <w:spacing w:after="0" w:line="171" w:lineRule="exact"/>
        <w:rPr>
          <w:sz w:val="20"/>
          <w:szCs w:val="20"/>
          <w:color w:val="auto"/>
        </w:rPr>
      </w:pPr>
    </w:p>
    <w:p>
      <w:pPr>
        <w:ind w:left="660" w:right="60" w:hanging="328"/>
        <w:spacing w:after="0" w:line="29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Acquisitions and Public-Private Partnerships - Our acquisition growth strategy focuses primarily on acquiring privately held solid waste and recycling companies that complement our existing business platform. We believe our ability to successfully complete these acquisitions is enhanced by the challenges facing many privately held companies, including increasing competition in the solid waste industry, increasing capital requirements due to changes in solid waste regulatory requirements and the limited number of exit strategies for privately held companies. We also evaluate opportunities to acquire operations and facilities that are being divested by other publicly owned waste companies.</w:t>
      </w:r>
    </w:p>
    <w:p>
      <w:pPr>
        <w:spacing w:after="0" w:line="104" w:lineRule="exact"/>
        <w:rPr>
          <w:rFonts w:ascii="Arial" w:cs="Arial" w:eastAsia="Arial" w:hAnsi="Arial"/>
          <w:sz w:val="16"/>
          <w:szCs w:val="16"/>
          <w:color w:val="auto"/>
        </w:rPr>
      </w:pPr>
    </w:p>
    <w:p>
      <w:pPr>
        <w:ind w:left="660" w:right="80"/>
        <w:spacing w:after="0" w:line="259" w:lineRule="auto"/>
        <w:rPr>
          <w:rFonts w:ascii="Arial" w:cs="Arial" w:eastAsia="Arial" w:hAnsi="Arial"/>
          <w:sz w:val="16"/>
          <w:szCs w:val="16"/>
          <w:color w:val="auto"/>
        </w:rPr>
      </w:pPr>
      <w:r>
        <w:rPr>
          <w:rFonts w:ascii="Arial" w:cs="Arial" w:eastAsia="Arial" w:hAnsi="Arial"/>
          <w:sz w:val="18"/>
          <w:szCs w:val="18"/>
          <w:color w:val="auto"/>
        </w:rPr>
        <w:t>We continue to invest in accretive acquisitions in existing markets. Generally, we expect to maintain a steady pace of tuck-in acquisition investment of approximately $100 million annually. Given our free cash flow, availability under our credit facilities and our ability to access the public capital markets, we have the flexibility to make additional acquisitions that will complement our existing business platform, including larger acquisitions if the right opportunities present themselves.</w:t>
      </w:r>
    </w:p>
    <w:p>
      <w:pPr>
        <w:spacing w:after="0" w:line="132" w:lineRule="exact"/>
        <w:rPr>
          <w:rFonts w:ascii="Arial" w:cs="Arial" w:eastAsia="Arial" w:hAnsi="Arial"/>
          <w:sz w:val="16"/>
          <w:szCs w:val="16"/>
          <w:color w:val="auto"/>
        </w:rPr>
      </w:pPr>
    </w:p>
    <w:p>
      <w:pPr>
        <w:ind w:left="660" w:right="60"/>
        <w:spacing w:after="0" w:line="264" w:lineRule="auto"/>
        <w:rPr>
          <w:rFonts w:ascii="Arial" w:cs="Arial" w:eastAsia="Arial" w:hAnsi="Arial"/>
          <w:sz w:val="16"/>
          <w:szCs w:val="16"/>
          <w:color w:val="auto"/>
        </w:rPr>
      </w:pPr>
      <w:r>
        <w:rPr>
          <w:rFonts w:ascii="Arial" w:cs="Arial" w:eastAsia="Arial" w:hAnsi="Arial"/>
          <w:sz w:val="18"/>
          <w:szCs w:val="18"/>
          <w:color w:val="auto"/>
        </w:rPr>
        <w:t>We also focus on growth through public-private partnerships, which include the waste and recycling operations and facilities of municipal and other local governments. We believe we have an opportunity to acquire operations and facilities from municipalities, as they increasingly seek to raise capital and reduce risk.</w:t>
      </w:r>
    </w:p>
    <w:p>
      <w:pPr>
        <w:spacing w:after="0" w:line="12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We realize synergies from consolidating businesses into our existing operations, whether through acquisitions or public-private partnerships, which allow us to reduce capital and expense requirements associated with truck routing, personnel, fleet maintenance, inventories and back-office administration.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Model</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The goal of our operating model pillar is to deliver a consistent, high quality service to all of our customers through the Republic Way: </w:t>
      </w:r>
      <w:r>
        <w:rPr>
          <w:rFonts w:ascii="Arial" w:cs="Arial" w:eastAsia="Arial" w:hAnsi="Arial"/>
          <w:sz w:val="16"/>
          <w:szCs w:val="16"/>
          <w:i w:val="1"/>
          <w:iCs w:val="1"/>
          <w:color w:val="auto"/>
        </w:rPr>
        <w:t>One Way. Everywhere.</w:t>
      </w:r>
      <w:r>
        <w:rPr>
          <w:rFonts w:ascii="Arial" w:cs="Arial" w:eastAsia="Arial" w:hAnsi="Arial"/>
          <w:sz w:val="16"/>
          <w:szCs w:val="16"/>
          <w:color w:val="auto"/>
        </w:rPr>
        <w:t xml:space="preserve"> </w:t>
      </w:r>
      <w:r>
        <w:rPr>
          <w:rFonts w:ascii="Arial" w:cs="Arial" w:eastAsia="Arial" w:hAnsi="Arial"/>
          <w:sz w:val="16"/>
          <w:szCs w:val="16"/>
          <w:i w:val="1"/>
          <w:iCs w:val="1"/>
          <w:color w:val="auto"/>
        </w:rPr>
        <w:t>Every day</w:t>
      </w:r>
      <w:r>
        <w:rPr>
          <w:rFonts w:ascii="Arial" w:cs="Arial" w:eastAsia="Arial" w:hAnsi="Arial"/>
          <w:sz w:val="16"/>
          <w:szCs w:val="16"/>
          <w:color w:val="auto"/>
        </w:rPr>
        <w:t>. This approach of developing standardized processes with rigorous controls and tracking allows us to leverage our scale and deliver durable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operational excellence. The Republic Way is the key to harnessing the best of what we do as operators and translating that across all facets of our business.</w:t>
      </w:r>
    </w:p>
    <w:p>
      <w:pPr>
        <w:spacing w:after="0" w:line="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key enabler of the Republic Way is our organizational structure that fosters a high performance culture by maintaining 360 degree accountability and full profit and loss responsibility with general management, supported by a functional structure to provide subject matter expertise. This structure allows us to take advantage of our scale by coordinating functionally across all of our markets, while empowering local management to respond to unique market dynamics.</w:t>
      </w:r>
    </w:p>
    <w:p>
      <w:pPr>
        <w:spacing w:after="0" w:line="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rolled out several productivity and cost control initiatives designed to deliver the best service possible to our customers in the most efficient and environmentally sound way.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18" w:right="2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Automation</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Approximately 72% of our residential routes have been converted to automated single driver trucks. By converting our residential routes to automated service, we reduce labor costs, improve driver productivity, decrease emissions and create a safer work environment for our employees. Additionally, communities using automated vehicles have higher participation rates in recycling programs, thereby complementing our initiative to expand our recycling capabilities.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Conversion to Compressed Natural Gas (CNG)</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Approximately 16% of our fleet operates on CNG. We expect to continue our gradual fleet conversion to CNG, our preferred alternative fuel technology, as part of our ordinary annual fleet replacement process. We believe a gradual fleet conversion is most prudent to realize the full value of our previous fleet investments. Approximately 33% of our replacement vehicle purchases during 2015 were CNG vehicles. We believe using CNG vehicles provides us a competitive advantage in communities with strict clean emission initiatives that focus on protecting the environment. Although upfront costs are higher, using CNG reduces our overall fleet operating costs through lower fuel expenses. As of December 31, 2015, we operated 38 CNG fueling stations.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Standardized Maintenance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Based on an industry trade publication, we operate the ninth largest vocational fleet in the United States. As of December 31, 2015, our average fleet age in years, by line of business, was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Approximate Number of</w:t>
            </w:r>
          </w:p>
        </w:tc>
        <w:tc>
          <w:tcPr>
            <w:tcW w:w="1360" w:type="dxa"/>
            <w:vAlign w:val="bottom"/>
          </w:tcPr>
          <w:p>
            <w:pPr>
              <w:ind w:left="200"/>
              <w:spacing w:after="0"/>
              <w:rPr>
                <w:sz w:val="20"/>
                <w:szCs w:val="20"/>
                <w:color w:val="auto"/>
              </w:rPr>
            </w:pPr>
            <w:r>
              <w:rPr>
                <w:rFonts w:ascii="Arial" w:cs="Arial" w:eastAsia="Arial" w:hAnsi="Arial"/>
                <w:sz w:val="18"/>
                <w:szCs w:val="18"/>
                <w:color w:val="auto"/>
              </w:rPr>
              <w:t>Approximate</w:t>
            </w:r>
          </w:p>
        </w:tc>
      </w:tr>
      <w:tr>
        <w:trPr>
          <w:trHeight w:val="230"/>
        </w:trPr>
        <w:tc>
          <w:tcPr>
            <w:tcW w:w="790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Vehicles</w:t>
            </w:r>
          </w:p>
        </w:tc>
        <w:tc>
          <w:tcPr>
            <w:tcW w:w="1360" w:type="dxa"/>
            <w:vAlign w:val="bottom"/>
          </w:tcPr>
          <w:p>
            <w:pPr>
              <w:ind w:left="200"/>
              <w:spacing w:after="0"/>
              <w:rPr>
                <w:sz w:val="20"/>
                <w:szCs w:val="20"/>
                <w:color w:val="auto"/>
              </w:rPr>
            </w:pPr>
            <w:r>
              <w:rPr>
                <w:rFonts w:ascii="Arial" w:cs="Arial" w:eastAsia="Arial" w:hAnsi="Arial"/>
                <w:sz w:val="18"/>
                <w:szCs w:val="18"/>
                <w:color w:val="auto"/>
              </w:rPr>
              <w:t>Average Age</w:t>
            </w:r>
          </w:p>
        </w:tc>
      </w:tr>
      <w:tr>
        <w:trPr>
          <w:trHeight w:val="27"/>
        </w:trPr>
        <w:tc>
          <w:tcPr>
            <w:tcW w:w="79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Small-container Commercial</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7"/>
        </w:trPr>
        <w:tc>
          <w:tcPr>
            <w:tcW w:w="7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Large-container Industrial</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15,600</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7.5</w:t>
            </w:r>
          </w:p>
        </w:tc>
      </w:tr>
      <w:tr>
        <w:trPr>
          <w:trHeight w:val="20"/>
        </w:trPr>
        <w:tc>
          <w:tcPr>
            <w:tcW w:w="79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20"/>
        <w:spacing w:after="0" w:line="297" w:lineRule="auto"/>
        <w:rPr>
          <w:sz w:val="20"/>
          <w:szCs w:val="20"/>
          <w:color w:val="auto"/>
        </w:rPr>
      </w:pPr>
      <w:r>
        <w:rPr>
          <w:rFonts w:ascii="Arial" w:cs="Arial" w:eastAsia="Arial" w:hAnsi="Arial"/>
          <w:sz w:val="16"/>
          <w:szCs w:val="16"/>
          <w:color w:val="auto"/>
        </w:rPr>
        <w:t>OneFleet, our standardized vehicle maintenance program, enables us to use best practices for fleet management, truck care and maintenance. Through standardization of core functions, we believe we can minimize variability in our maintenance processes, resulting in higher vehicle quality and a lower environmental footprint, while extending the average service life of our fleet by one year. We believe operating a more reliable, greener, safer and more efficient fleet will lower our operating costs. We have implemented standardized maintenance programs for approximately 78% of our fleet maintenance operations as of December 31, 2015. We expect to finish implementing our standardized maintenance program in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Organizational Structure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During 2015, we managed and evaluated our operations through three geographic regions - East, Central and West - which we identified as our reportable segments. Each region was organized into several areas and each area contained multiple business units or operating locations. Each of our regions and all of our areas provided collection, transfer, recycling and landfill services. See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 to our consolidated financial statements in Item 8 of this Form 10-K for further discussion of our operating segments.</w:t>
      </w:r>
    </w:p>
    <w:p>
      <w:pPr>
        <w:spacing w:after="0" w:line="13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January 2016, we realigned our field support functions by combining two organizational layers into one. This included the elimination of our three regions, the consolidation of our 20 areas into 10 and the streamlining of select roles at our Phoenix headquarters. We will reinvest and deploy resources into our areas by creating 10 area offices equipped with enhanced teams of operators and functional support roles. These area teams will be the resource epicenter for the Company’s business units that are closest to and serve our customers. The areas will be grouped and overseen by two Executive Vice Presidents of Operations. In connection with our restructuring, we will further evaluate our 2016 reporting segments.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 and Talent Agenda</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goal of our people and talent agenda pillar is to create an environment to attract and retain the best talent. Our people continue to be the most critical component in successfully executing our strategy. We strive to make Republic a desirable place to work for our approximately 33,000 full-time employees by creating learning experiences, programs, compensation and benefits that attract, develop, train, engage, motivate, reward and retain the best workforce. We aspire to be a company where the best people want to work and are engaged every day. We accomplish this through our focus on safety, learning and talent development, and diversity and inclusion.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Republic is dedicated to the safety of our employees, customers and the communities we serve. Due to the nature of our industry, we prioritize safety above all else and we recognize and reward employees for outstanding safety records. Over the past 8 years, our safety performance (based on OSHA recordable rates) has been 42% better than the industry average. Our </w:t>
      </w:r>
      <w:r>
        <w:rPr>
          <w:rFonts w:ascii="Arial" w:cs="Arial" w:eastAsia="Arial" w:hAnsi="Arial"/>
          <w:sz w:val="17"/>
          <w:szCs w:val="17"/>
          <w:i w:val="1"/>
          <w:iCs w:val="1"/>
          <w:color w:val="auto"/>
        </w:rPr>
        <w:t>Think, Choose, Live</w:t>
      </w:r>
      <w:r>
        <w:rPr>
          <w:rFonts w:ascii="Arial" w:cs="Arial" w:eastAsia="Arial" w:hAnsi="Arial"/>
          <w:sz w:val="17"/>
          <w:szCs w:val="17"/>
          <w:color w:val="auto"/>
        </w:rPr>
        <w:t xml:space="preserve"> slogan encapsulates our everyday safety messaging to our employees to: </w:t>
      </w:r>
      <w:r>
        <w:rPr>
          <w:rFonts w:ascii="Arial" w:cs="Arial" w:eastAsia="Arial" w:hAnsi="Arial"/>
          <w:sz w:val="17"/>
          <w:szCs w:val="17"/>
          <w:i w:val="1"/>
          <w:iCs w:val="1"/>
          <w:color w:val="auto"/>
        </w:rPr>
        <w:t>Think</w:t>
      </w:r>
      <w:r>
        <w:rPr>
          <w:rFonts w:ascii="Arial" w:cs="Arial" w:eastAsia="Arial" w:hAnsi="Arial"/>
          <w:sz w:val="17"/>
          <w:szCs w:val="17"/>
          <w:color w:val="auto"/>
        </w:rPr>
        <w:t xml:space="preserve"> about what you are doing, </w:t>
      </w:r>
      <w:r>
        <w:rPr>
          <w:rFonts w:ascii="Arial" w:cs="Arial" w:eastAsia="Arial" w:hAnsi="Arial"/>
          <w:sz w:val="17"/>
          <w:szCs w:val="17"/>
          <w:i w:val="1"/>
          <w:iCs w:val="1"/>
          <w:color w:val="auto"/>
        </w:rPr>
        <w:t>Choose</w:t>
      </w:r>
      <w:r>
        <w:rPr>
          <w:rFonts w:ascii="Arial" w:cs="Arial" w:eastAsia="Arial" w:hAnsi="Arial"/>
          <w:sz w:val="17"/>
          <w:szCs w:val="17"/>
          <w:color w:val="auto"/>
        </w:rPr>
        <w:t xml:space="preserve"> the safe answer, and </w:t>
      </w:r>
      <w:r>
        <w:rPr>
          <w:rFonts w:ascii="Arial" w:cs="Arial" w:eastAsia="Arial" w:hAnsi="Arial"/>
          <w:sz w:val="17"/>
          <w:szCs w:val="17"/>
          <w:i w:val="1"/>
          <w:iCs w:val="1"/>
          <w:color w:val="auto"/>
        </w:rPr>
        <w:t>Live</w:t>
      </w:r>
      <w:r>
        <w:rPr>
          <w:rFonts w:ascii="Arial" w:cs="Arial" w:eastAsia="Arial" w:hAnsi="Arial"/>
          <w:sz w:val="17"/>
          <w:szCs w:val="17"/>
          <w:color w:val="auto"/>
        </w:rPr>
        <w:t xml:space="preserve"> to go home to your family. With the phrase printed on numerous items, including hard hats and equipment our employees touch, there are constant reminders for employees to go home in the same condition that they came to work. Our goal is to ensure every one of our employees returns home safely each night.</w:t>
      </w:r>
    </w:p>
    <w:p>
      <w:pPr>
        <w:spacing w:after="0" w:line="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proud of our two safety incentive programs: Dedicated to Safety and Dedicated to Excellence. For Dedicated to Safety, employees must meet all safety requirements for the year, including no preventable accidents and no safety warnings. For Dedicated to Excellence, employees must earn the Dedicated to Safety Award and meet additional criteria for customer service, attendance and other performance metrics. Further, our industry-leading safety training program, Focus 6, provides employees with tips and techniques to prevent the six most common types of serious accidents: backing, intersections, push-pull-lift, rear collisions, rollover, and pedestrian.</w:t>
      </w:r>
    </w:p>
    <w:p>
      <w:pPr>
        <w:spacing w:after="0" w:line="5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take pride in recognizing employees who demonstrate a relentless commitment to safety. Employees with the best driving records are eligible for the industry’s most prestigious award, the National Waste &amp; Recycling Association’s Driver of the Year. Republic drivers have won 14 of the 18 Driver of the Year awards issued for the large truck category since 2009.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and Talent Development</w:t>
      </w:r>
    </w:p>
    <w:p>
      <w:pPr>
        <w:spacing w:after="0" w:line="1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committed to developing our employees throughout their careers. Targeted onboarding experiences, including our Driver Training Center, Supervisor Onboarding and Sales Acceleration programs, focus on providing the fundamental skills each employee needs to succeed in his or her role. Our Leadership Trainee Program, an 18-month rotational experience for recent graduates, is another example of our commitment to providing opportunities for growth.</w:t>
      </w:r>
    </w:p>
    <w:p>
      <w:pPr>
        <w:spacing w:after="0" w:line="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Developing our leaders is also a critical part of our people and talent agenda. From Leadership Fundamentals, a program for new front line supervisors, to our Republic Services Executive Institute, a program for our highest potential executives, we have developed programs and experiences to ensure that as our leaders progress, they are accumulating the skills necessary to be successful at each level. Over the last year, more than 1,000 leaders have completed our Leadership Fundamentals program, creating a common language and toolkit for how we coach and develop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7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are actively and intentionally creating an environment in which all individuals are welcomed and valued. In 2013, we launched Mosaic as our renewed approach and commitment to diversity and inclusion. Through Mosaic, we have developed new strategies and activities to continue creating a more diverse workforce and inclusive work environment. In this way, we can leverage our best thinking to improve our culture and better serve our customers.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We believe there is no better way to protect our planet than to recruit and hire the heroes who have protected our country. We actively recruit and hire veterans</w:t>
      </w:r>
    </w:p>
    <w:p>
      <w:pPr>
        <w:spacing w:after="0" w:line="46" w:lineRule="exact"/>
        <w:rPr>
          <w:sz w:val="20"/>
          <w:szCs w:val="20"/>
          <w:color w:val="auto"/>
        </w:rPr>
      </w:pPr>
    </w:p>
    <w:p>
      <w:pPr>
        <w:ind w:right="40" w:firstLine="8"/>
        <w:spacing w:after="0" w:line="254"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transitioning from military life as well as those long discharged from active duty. We value the skills, experience and operational excellence they bring to our organization, as well as their commitment to a better tomorrow. Historically, we have had great success hiring veterans. In 2015, for example, 28% of general managers, 27% of operations managers, and 35% of maintenance managers that we hired self-identified as having served in the U.S. Army, Navy, Marines Air Force or Coast Guard.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Zeal</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goal of our customer zeal pillar is to drive customer loyalty by offering differentiated products and services specifically designed to meet our customers’ needs. We believe this increases customer loyalty and willingness to pay for a higher value service.</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help our sales team with their ability to identify specific customer needs and configure the right offering, we launched Priority Based Selling (PBS) and our Capture pricing tool nationwide.</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PBS enables us to identify and segment customers’ buying priorities, and attract customers that are willing to pay for enhanced offerings.</w:t>
      </w:r>
    </w:p>
    <w:p>
      <w:pPr>
        <w:spacing w:after="0" w:line="182"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Capture is a cloud-based pricing tool that creates a more professional sales experience, helps realize better pricing levels at the point of sale and provides enhanced controls over the quoting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To ensure a consistent customer experience we are investing in our customer service capabilities and are in the process of consolidating over 100 customer service locations into three Customer Resource Centers. The new state-of-the-art facilities and the technology deployed will provide our customer service employees with the tools and capabilities they need to provide better levels of service across a myriad of touch points, including voice, email, text, social media channels and live chat.</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 ensure our efforts are making an impact and building customer loyalty, we also have enhanced the way we receive feedback from our customers, including net promoter score, to ensure that every General Manager receives recent, relevant feedback that allows him or her the ability to reach out to customers directly and address issues immediately.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Platform</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goal of our digital platform pillar is to allow us to provide a consistent experience across our business while enabling our customers to do business with us through more channels and with better access to information.</w:t>
      </w:r>
    </w:p>
    <w:p>
      <w:pPr>
        <w:spacing w:after="0" w:line="11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responding to our customers' requests for options to do business with us digitally. By increasing the ease of use and functionality of our web-based market presence, we believe we enhance customer satisfaction, interaction, and connectivity while lowering our costs. These tools reinforce to our customers that they can rely on us to handle their recycling and waste needs in a way that is easy and convenient for them.</w:t>
      </w:r>
    </w:p>
    <w:p>
      <w:pPr>
        <w:spacing w:after="0" w:line="111" w:lineRule="exact"/>
        <w:rPr>
          <w:sz w:val="20"/>
          <w:szCs w:val="20"/>
          <w:color w:val="auto"/>
        </w:rPr>
      </w:pPr>
    </w:p>
    <w:p>
      <w:pPr>
        <w:ind w:left="660" w:right="3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MyResource customer portal and mobile app are online account management tools, allowing customers access to their accounts and our services. Approximately 1.2 million customers have enrolled in MyResource, significantly enhancing our customer interaction and connectivity.</w:t>
      </w:r>
    </w:p>
    <w:p>
      <w:pPr>
        <w:spacing w:after="0" w:line="69" w:lineRule="exact"/>
        <w:rPr>
          <w:rFonts w:ascii="Arial" w:cs="Arial" w:eastAsia="Arial" w:hAnsi="Arial"/>
          <w:sz w:val="16"/>
          <w:szCs w:val="16"/>
          <w:color w:val="auto"/>
        </w:rPr>
      </w:pPr>
    </w:p>
    <w:p>
      <w:pPr>
        <w:ind w:left="660" w:right="8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click-to-buy channel allows customers to secure services on a real-time basis, and provides capabilities to meet our customer's buying preferences.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that leveraging technology to improve our core business strengthens our existing model and customer relationships, and will serve to solidify our differentiated offering.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175"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color w:val="auto"/>
        </w:rPr>
        <w:t>In addition to being committed to our customers and employees, we are also committed to the communities we serve and to the environment. We strive to be America’s preferred recycling and waste services partner. At Republic, we believe in the preservation of our Blue Planet - a cleaner, safer and healthier world.</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believe we have a responsibility to regenerate our planet with the materials we are entrusted to handle every day by driving increased recycling, generating renewable energy, and helping our customers be more resourceful. Additionally, we must lead by example, working diligently to improve our relationship with the environment and society through decreased vehicle emissions, innovative landfill technologies, use of renewable energy, community engagement and employee growth opportunities. Sustainability contributes to a cleaner world, while also providing opportunities to improve brand awareness, to increase customer loyalty, to grow our business, to motivate our employees and to differentiate Republic from our competitors.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To maximize our efforts, we have chosen to focus our sustainability platform around the following five areas:</w:t>
      </w:r>
    </w:p>
    <w:p>
      <w:pPr>
        <w:spacing w:after="0" w:line="171" w:lineRule="exact"/>
        <w:rPr>
          <w:sz w:val="20"/>
          <w:szCs w:val="20"/>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are working to minimize the impact of our operations around our fleet, our landfills and our buildings. Whenever we reduce waste</w:t>
      </w:r>
      <w:r>
        <w:rPr>
          <w:rFonts w:ascii="Arial" w:cs="Arial" w:eastAsia="Arial" w:hAnsi="Arial"/>
          <w:sz w:val="18"/>
          <w:szCs w:val="18"/>
          <w:i w:val="1"/>
          <w:iCs w:val="1"/>
          <w:color w:val="auto"/>
        </w:rPr>
        <w:t xml:space="preserve"> </w:t>
      </w:r>
      <w:r>
        <w:rPr>
          <w:rFonts w:ascii="Arial" w:cs="Arial" w:eastAsia="Arial" w:hAnsi="Arial"/>
          <w:sz w:val="18"/>
          <w:szCs w:val="18"/>
          <w:color w:val="auto"/>
        </w:rPr>
        <w:t>and inefficiency, we become more sustainable and we reduce our costs.</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Materials Management. </w:t>
      </w:r>
      <w:r>
        <w:rPr>
          <w:rFonts w:ascii="Arial" w:cs="Arial" w:eastAsia="Arial" w:hAnsi="Arial"/>
          <w:sz w:val="18"/>
          <w:szCs w:val="18"/>
          <w:color w:val="auto"/>
        </w:rPr>
        <w:t>We recognize we have an opportunity to extract value from materials in the waste stream in the form of commodities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energy and also reduce greenhouse gas emission from those materials.</w:t>
      </w:r>
    </w:p>
    <w:p>
      <w:pPr>
        <w:spacing w:after="0" w:line="116"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Communities. </w:t>
      </w:r>
      <w:r>
        <w:rPr>
          <w:rFonts w:ascii="Arial" w:cs="Arial" w:eastAsia="Arial" w:hAnsi="Arial"/>
          <w:sz w:val="17"/>
          <w:szCs w:val="17"/>
          <w:color w:val="auto"/>
        </w:rPr>
        <w:t>We are devoted to being a good neighbor through customer engagement, philanthropic giving, and infrastructure investments.</w:t>
      </w:r>
    </w:p>
    <w:p>
      <w:pPr>
        <w:spacing w:after="0" w:line="182" w:lineRule="exact"/>
        <w:rPr>
          <w:rFonts w:ascii="Arial" w:cs="Arial" w:eastAsia="Arial" w:hAnsi="Arial"/>
          <w:sz w:val="17"/>
          <w:szCs w:val="17"/>
          <w:i w:val="1"/>
          <w:i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We are committed to creating a safe environment for our employees, our customers and the communities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People</w:t>
      </w:r>
      <w:r>
        <w:rPr>
          <w:rFonts w:ascii="Arial" w:cs="Arial" w:eastAsia="Arial" w:hAnsi="Arial"/>
          <w:sz w:val="18"/>
          <w:szCs w:val="18"/>
          <w:color w:val="auto"/>
        </w:rPr>
        <w:t>. We employ and develop talented professionals who are committed to our planet, our customers and our Company.</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Each of these areas has a significant impact on the environment and society and contributes to preserving our Blue Planet, while forming the foundation of our business going forward. We have developed programs that will enable us to reduce our emissions by 2.5 million tons of carbon dioxide equivalent over the next four years, including developing at least two landfill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gas-to-energy projects each year, adding at least 150,000 tons per year of recycling capacity, and reducing the greenhouse gas emissions from our fleet by 3% by 2018.</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tracking our progress and performance and benchmarking against our industry peers and other companies outside of our industry. In 2015, we participated in the Carbon Disclosure Project (CDP) S&amp;P 500 Climate Change Assessment. The resulting report represents the progress companies achieve in reducing emissions, responding to climate-related risks and opportunities, and mobilizing influence to manage climate change. Our 2015 CDP Report score improved strongly from the prior year. In 2014, our inaugural year, we established our baseline for future submissions. In 2015, we earned a disclosure score of 98 out of 100, which reflects our strong commitment to transparency, thoroughness and responsibility, and an A- band in performance, which is one of the highest performance scores possible. We also released a Sustainability Report that modeled the GRI G4 protocol which is available on our website at www.republicservices.com.</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Additionally, our board of directors formed a Sustainability and Corporate Responsibility Committee during 2015. This committee has oversight responsibility with respect to our sustainability performance, our corporate responsibilities, our role as a socially responsible organization and our enterprise risk, including cyber security, environmental and reputational risks.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Cash Utilization Strategy</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our ability to consistently increase free cash flow drives shareholder value and also provides useful information regarding the recurring cash provided by our operations. Free cash flow also demonstrates our ability to execute our cash utilization strategy, which includes investments in acquisitions and returning a majority of free cash flow to our shareholders through dividends and share repurchases. We are committed to an efficient capital structure and maintaining our investment grade credit ratings on our senior debt, which was rated BBB+ by Standard &amp; Poor’s Ratings Services, BBB by Fitch Ratings, Inc. and Baa3 by Moody’s Investors Service, Inc. as of December 31, 2015. Such ratings have allowed us, and should continue to allow us, to readily access capital markets at competitive rates.</w:t>
      </w:r>
    </w:p>
    <w:p>
      <w:pPr>
        <w:spacing w:after="0" w:line="13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manage our free cash flow by ensuring that capital expenditures and operating asset levels are appropriate in light of our existing business and growth opportunities, and by closely managing our working capital, which consists primarily of accounts receivable, accounts payable, and accrued landfill and environmental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July 2015, our board of directors approved an increase in the quarterly dividend to $0.30 per share, representing a 7.1% increase over the prior year. Over the last 5 years, our dividend has increased at a compounded annual growth rate of 8.4%. We expect to continue paying quarterly cash dividends and may consider additional dividend increases if we believe they will enhance shareholder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October 2015, our board of directors added $900 million to the existing share repurchase authorization. As of December 31, 2015, there were $855.5 million remaining under our share repurchase authorization. At least annually, our board of directors reviews the intrinsic value of our stock. During 2016, we expect to use approximately $400 million of our remaining authorization to repurchase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Value</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committed to creating long-term shareholder value by generating consistent earnings and cash flow growth, while continually improving returns on invested capital. Our incentive compensation programs are aligned with these objectives at all levels of management. We have an active shareholder outreach program and routinely interact with shareholders on a number of matters, including governance and executive compensation.</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Management Team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one of the most experienced management teams in the solid waste industry.</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Donald W. Slager </w:t>
      </w:r>
      <w:r>
        <w:rPr>
          <w:rFonts w:ascii="Arial" w:cs="Arial" w:eastAsia="Arial" w:hAnsi="Arial"/>
          <w:sz w:val="17"/>
          <w:szCs w:val="17"/>
          <w:color w:val="auto"/>
        </w:rPr>
        <w:t>became our Chief Executive Officer (CEO) and remained our President on January 1, 2011, after having served as our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Officer (COO) from the Allied Waste Industries, Inc. (Allied) acquisition in December 2008 until then. In addition to his duties as CEO, Mr. Slager resumed the role of principal operating executive from November 2011 until August 2012 and then from October 2013 to June 2014. Prior to the Allied acquisition, Mr. Slager worked for Allied from 1992 through 2008 and served in various management positions, including President and COO from 2004 through 2008 and Executive Vice President and COO from 2003 to 2004. From 2001 to 2003, Mr. Slager served as Senior Vice President, Operations. Mr. Slager held various management positions at Allied from 1992 to 2003, and was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previously General Manager at National Waste Services, where he served in various management positions since 1985. Mr. Slager has over 35 years of experience in the solid waste industry. Mr. Slager has been a member of our Board of Directors since June 24, 2010.</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Jeffrey A. Hughes </w:t>
      </w:r>
      <w:r>
        <w:rPr>
          <w:rFonts w:ascii="Arial" w:cs="Arial" w:eastAsia="Arial" w:hAnsi="Arial"/>
          <w:sz w:val="18"/>
          <w:szCs w:val="18"/>
          <w:color w:val="auto"/>
        </w:rPr>
        <w:t>was named Executive Vice President, Chief Administrative Officer in December 2008. Before that, Mr. Hughes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Eastern Region Operations for Allied from 2004 until the Allied acquisition in December 2008. Mr. Hughes served as Assistant Vice President of Operations Support for Allied from 1999 to 2004 and as a District Manager for Allied from 1988 to 1999. Mr. Hughes has over 28 years of experience in the solid waste industry.</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Robert A. Maruster </w:t>
      </w:r>
      <w:r>
        <w:rPr>
          <w:rFonts w:ascii="Arial" w:cs="Arial" w:eastAsia="Arial" w:hAnsi="Arial"/>
          <w:sz w:val="18"/>
          <w:szCs w:val="18"/>
          <w:color w:val="auto"/>
        </w:rPr>
        <w:t>was elected Executive Vice President, Chief Operating Officer in June 2014. Mr. Maruster has years of broad-based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the airline industry. He joined Republic from JetBlue Airways Corporation, where he was its COO/Executive Vice President from 2009 to April 2014. Prior to that, Mr. Maruster served JetBlue as its Senior Vice President, Customer Service and Vice President, Operational Planning. Before joining JetBlue in 2005, he served for 12 years in various management roles for Delta Air Lines, culminating in his role running the Atlanta Hub as Vice President, Operations and Customer Service.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Michael P. Rissman </w:t>
      </w:r>
      <w:r>
        <w:rPr>
          <w:rFonts w:ascii="Arial" w:cs="Arial" w:eastAsia="Arial" w:hAnsi="Arial"/>
          <w:sz w:val="18"/>
          <w:szCs w:val="18"/>
          <w:color w:val="auto"/>
        </w:rPr>
        <w:t>has served as our Executive Vice President, Chief Legal Officer and Corporate Secretary since August 2009. Previously, Mr. Rissman had</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acting General Counsel and Corporate Secretary from March 2009. Mr. Rissman joined Allied as Vice President and Deputy General Counsel in July 2007 and continued in the same positions at Republic following the Allied acquisition in December 2008. Prior to joining Allied, Mr. Rissman was a partner at Mayer Brown LLP in Chicago, where he worked from 1990 until coming to Allied.</w:t>
      </w:r>
    </w:p>
    <w:p>
      <w:pPr>
        <w:spacing w:after="0" w:line="1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Charles F. Serianni </w:t>
      </w:r>
      <w:r>
        <w:rPr>
          <w:rFonts w:ascii="Arial" w:cs="Arial" w:eastAsia="Arial" w:hAnsi="Arial"/>
          <w:sz w:val="17"/>
          <w:szCs w:val="17"/>
          <w:color w:val="auto"/>
        </w:rPr>
        <w:t>was appointed Executive Vice President, Chief Financial Officer in August 2014. Mr. Serianni is a seasoned senior executive with 31</w:t>
      </w:r>
      <w:r>
        <w:rPr>
          <w:rFonts w:ascii="Arial" w:cs="Arial" w:eastAsia="Arial" w:hAnsi="Arial"/>
          <w:sz w:val="17"/>
          <w:szCs w:val="17"/>
          <w:i w:val="1"/>
          <w:iCs w:val="1"/>
          <w:color w:val="auto"/>
        </w:rPr>
        <w:t xml:space="preserve"> </w:t>
      </w:r>
      <w:r>
        <w:rPr>
          <w:rFonts w:ascii="Arial" w:cs="Arial" w:eastAsia="Arial" w:hAnsi="Arial"/>
          <w:sz w:val="17"/>
          <w:szCs w:val="17"/>
          <w:color w:val="auto"/>
        </w:rPr>
        <w:t>years of experience in a variety of progressively more responsible roles. He was named Vice President, Region Controller for the Company's former West Region in July 2013. Before that, Mr. Serianni served as our Assistant Controller starting in June 1998 and progressed to Senior Vice President, Chief Accounting Officer in December 2008. He served as the Accounting Operations Director for Republic Industries, Inc. (AutoNation) from February 1997 to June 1998. Before that, Mr. Serianni served as the Accounting Operations Director for Sunglass Hut International, Inc. from May 1993 to February 1997, and as Manager, Accounting and Auditing Services for Deloitte &amp; Touche from September 1984 to May 1993.</w:t>
      </w:r>
    </w:p>
    <w:p>
      <w:pPr>
        <w:spacing w:after="0" w:line="1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local and area management teams have extensive industry experience in growing, operating and managing solid waste companies and have substantial experience in their local geographic markets. This allows us to quickly respond to and meet our customers’ needs and stay in touch with local businesses and municipalities. We believe our strong area management teams allow us to effectively and efficiently drive our initiatives and help ensure consistency throughout the organization. Our area management teams and area presidents have extensive authority, responsibility and autonomy for operations within their respective geographic markets. As a result of retaining experienced managers with extensive knowledge of and involvement in their local communities, we are proactive in anticipating customers’ needs and adjusting to changes in our markets. We also seek to implement the best practices of our various business units throughout our operations to continue improving our operations and our operating margins.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Integrated Operations</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Republic is a company with a strong, national operating platform that allows us to compete more effectively and efficiently in the local markets in which we operate. We seek to achieve a high rate of internalization by controlling waste streams from the point of collection through processing or disposal. During the year ended December 31, 2015, approximately 68% of the total waste volume we collected was disposed at landfills we own or operate (internalization). Our fully integrated markets generally have a lower cost of operations and more favorable cash flows than our non-integrated markets. Through acquisitions, landfill operating agreements and other market development activities, we create market-specific, integrated operations typically consisting of one or more collection operations, transfer stations and landfills. We also operate recycling centers in markets where diversion of waste is a priority, it is profitable to do so, and we can earn an appropriate return on our investment.</w:t>
      </w:r>
    </w:p>
    <w:p>
      <w:pPr>
        <w:spacing w:after="0" w:line="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operations primarily consist of providing collection, transfer and disposal of non-hazardous solid waste, recovering and recycling of certain materials, and energy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Services</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provide residential, small-container commercial, and large-container industrial solid waste collection services through 340 collection operations. In 2015, approximately 76% of our revenue was derived from our collection business. Within collection, approximately 25% of our revenue relates to residential services, approximately 31% relates to small-container commercial services, and approximately 21% relates to large-container industrial services.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residential collection business involves the curbside collection of waste for transport to transfer stations, or directly to landfills or recycling centers. We typically perform residential solid waste collection services under contracts with municipalities, which we generally secure by competitive bid and which give us exclusive rights to service all or a portion of the homes in the municipalities. These contracts usually range in duration from one to five years, although some of our exclusive franchises are for significantly longer periods. We also perform residential services on a subscription basis, in which individual households contract directly with us. The fees received for subscription residential collection are based primarily on the market, collection frequency, type of service, the distance to the disposal facility and the cost of disposal. In general, subscription residential collection fees are paid quarterly in advance by the customers receiving the service.</w:t>
      </w:r>
    </w:p>
    <w:p>
      <w:pPr>
        <w:spacing w:after="0" w:line="1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small-container commercial business, we supply our customers with waste containers of varying sizes. We typically perform commercial collection services under one- to three-year service agreements, and fees are determined based on a number of factors including the market, collection frequency, type of equipment furnished, type and volume or weight of the waste collected, transportation costs and the cost of disposal. Our small-container commercial services are typically offered to small business complexes, multi-family housing and strip malls, and include industries such as restaurants, retail, real-estate, and professional and other services.</w:t>
      </w:r>
    </w:p>
    <w:p>
      <w:pPr>
        <w:spacing w:after="0" w:line="13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large-container industrial collection business includes both recurring and temporary customer relationships. For the recurring portion, we supply our customers with waste containers of varying sizes and rent compactors to large waste generators. We typically perform the collection services under one- to three-year service agreements, and fees are determined based on a number of factors including the market, collection frequency, type of equipment furnished, type and volume or weight of the waste collected, transportation costs and the cost of disposal. Our recurring large-container industrial services are typically offered to larger facilities, hotels and office buildings, and include industries such as manufacturing, retail, hospitality and professional and other services.</w:t>
      </w:r>
    </w:p>
    <w:p>
      <w:pPr>
        <w:spacing w:after="0" w:line="10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temporary portion of our large-container industrial collection business, the majority of the waste relates to construction and demolition activities and is typically event-driven. We provide temporary waste collection services on a contractual basis with terms ranging from a single pickup to one-year or longer.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also provide recycling collection services tailored to our customers' requirements to complete our service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Services</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own or operate 201 transfer stations. Revenue at our transfer stations is primarily generated by charging tipping or disposal fees, which accounted for approximately 5% of our revenue during 2015. Our collection operations deposit waste at these transfer stations, as do other private and municipal haulers, for compaction and transfer to disposal sites or recycling centers. Transfer stations provide collection operations with a cost effective means to consolidate waste and reduce transportation costs while providing our landfills with an additional "gate" to extend their geographic reach.</w:t>
      </w:r>
    </w:p>
    <w:p>
      <w:pPr>
        <w:spacing w:after="0" w:line="10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When our own collection operations use our transfer stations, this improves internalization by allowing us to retain fees we would otherwise pay to third-party disposal sites. It also allows us to manage costs associated with waste disposal because: (1) transfer trucks have larger capacities than collection trucks, allowing us to deliver more waste to the landfill in each trip; (2) waste is accumulated and compacted at strategically located transfer stations to increase efficiency; and (3) we can retain volume by managing the waste to one of our own landfills rather than to a competitor’s.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Services</w:t>
      </w:r>
    </w:p>
    <w:p>
      <w:pPr>
        <w:spacing w:after="0" w:line="17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own or operate 193 active landfills. We charge tipping fees to third parties, which accounted for approximately 12% of our revenue during 2015. As of December 31, 2015, we had approximately 37,100 permitted acres and total available permitted and probable expansion disposal capacity of approximately 5 billion in-place cubic yards. The in-place capacity of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 Some of our landfills accept non-hazardous special waste, including utility ash, asbestos and contaminated soils.</w:t>
      </w:r>
    </w:p>
    <w:p>
      <w:pPr>
        <w:spacing w:after="0" w:line="10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Most of our active landfill sites have the potential for expanded disposal capacity beyond the currently permitted acreage. We monitor the availability of permitted disposal capacity at each of our landfills and evaluate whether to pursue an expansion at a given landfill based on estimated future waste volumes and prices, market needs, remaining capacity and the likelihood of obtaining an expansion. To satisfy future disposal demand, we are currently seeking to expand permitted capacity at certain landfills; however, we cannot assure you that all proposed or future expansions will be permitted as designed.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Republic is committed to harnessing landfill gas, the natural byproduct of decomposing waste, and converting it to energy. The use of landfill gas provides our economy with benefits, including reducing air pollution through the capture and use of methane. As of December 31, 2015, we operated 69 landfill gas and renewable energy projects.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also have responsibility for 126 closed landfills, for which we have associated closure and post-closure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 Services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own or operate 67 recycling centers. These facilities generate revenue through the processing and sale of old corrugated cardboard (OCC), old newspaper (ONP), aluminum, glass and other materials, which accounted for approximately 4% of our revenue during 2015. Approximately 70% of our recycling center volume relates to OCC, ONP and other mixed paper. Of the 5.1 million tons we sold during 2015, 2.5 million moved through our recycling centers and 2.6 million we collected and delivered to third parties.</w:t>
      </w:r>
    </w:p>
    <w:p>
      <w:pPr>
        <w:spacing w:after="0" w:line="1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Changing market demand for recycled commodities causes volatility in commodity prices. At current volumes and mix of materials, we believe a $10 per ton change in the price of recycled commodities will change annual revenue and operating income by approximately $27 million and $18 million, respectively.</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certain instances we issue recycling rebates to municipalities or large industrial customers, which can be based on the price we receive upon the final sale of recycled commodities, a fixed contractual rate or other measures. We also receive rebates when we dispose of recycled commodities at third-party facilities.</w:t>
      </w:r>
    </w:p>
    <w:p>
      <w:pPr>
        <w:spacing w:after="0" w:line="12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As consumer demand for recycling services has increased, we have met that demand by integrating recycling components to each of our collection service offerings. Our goal is to provide a complete waste stream management solution to our customers in an environmentally sustainable way.</w:t>
      </w:r>
    </w:p>
    <w:p>
      <w:pPr>
        <w:spacing w:after="0" w:line="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continue to invest in proven technologies to control costs and to simplify and streamline recycling for our customers. For example, advanced sorting equipment, such as disk screens, magnets and optical sorters, identifies and separates different kinds of paper, metals, plastics and other materials to increase efficiency and maximize our recycling efforts.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Services</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addition to certain of our landfill disposal sites, we own or operate 8 treatment, recovery and disposal facilities and 12 salt water disposal wells. Energy services waste is generated from the by-products of oil and natural gas exploration and production activity, including waste created throughout the initial drilling and completion of an oil or natural gas well, production wastes and water produced during a well's operating life, contaminated soils that require treatment during site reclamation, substances that require clean-up after a spill, as well as waste generated by coal-fired power plants. Revenue is therefore primarily generated through vertical and horizontal drilling, hydraulic fracturing, production and clean-up activity, as well as other complementary services including closed loop collection systems and the sale of recovered products. In 2015, approximately 1% of our revenue was derived from energy services. Energy services activity varies across market areas that are tied to the natural resource basins in which the drilling activity occurs and reflects the regulatory environment, pricing and disposal alternatives available in any given market.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revenue consists primarily of National Accounts revenue generated from nationwide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operate in a competitive industry. Competition in the non-hazardous solid waste industry comes from a few other large, national publicly owned companies, several regional publicly and privately owned companies, and thousands of small privately-owned companies. In any given market, competitors may have larger operations and greater resources. In addition, we compete with municipalities that maintain waste collection or disposal operations. These municipalities may have financial advantages due to the availability of tax revenue and tax-exempt financing.</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compete for collection accounts primarily on the basis of price and the quality of our services. From time-to-time, our competitors reduce the price of their services in an effort to expand market share or to win a competitively bid municipal contract. Our ability to maintain and increase prices in certain markets may be impacted by our competitors’ pricing policies. This may have an impact on our future revenue and profitability.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18" w:right="29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 and Severe Weather</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operating revenues tend to be somewhat higher in the summer months, primarily due to higher volumes of construction and demolition waste. The volumes of large-container industrial and residential waste in certain regions of the country also tend to increase during the summer months. Our second and third quarter revenues and results of operations typically reflect this seasonality.</w:t>
      </w:r>
    </w:p>
    <w:p>
      <w:pPr>
        <w:spacing w:after="0" w:line="12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operations can be adversely affected by periods of inclement or severe weather, which could increase the volume of waste collected under our existing contracts (without corresponding compensation), delay the collection and disposal of waste, reduce the volume of waste delivered to our disposal sites or delay the construction or expansion of our landfill sites and other facilities. Our operations also can be favorably affected by severe weather, which could increase the volume of waste in situations where we are able to charge for our additional services.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facilities and operations are subject to a variety of federal, state and local requirements that regulate, among other things, the environment, public health, safety, zoning and land use. Operating and other permits, licenses and other approvals generally are required for landfills and transfer stations, certain solid waste collection vehicles, fuel storage tanks and other facilities that we own or operate. These permits are subject to denial, revocation, modification and renewal in certain circumstances. Federal, state and local laws and regulations vary, but generally govern wastewater or storm water discharges, air emissions, the handling, transportation, treatment, storage and disposal of hazardous and non-hazardous waste, and the remediation of contamination associated with the release or threatened release of hazardous substances. These laws and regulations provide governmental authorities with strict powers of enforcement, which include the ability to revoke or decline to renew any of our operating permits, obtain injunctions, or impose fines or penalties in the event of violations, including criminal penalties. The U.S. Environmental Protection Agency (EPA) and various other federal, state and local authorities administer these regulations.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We cannot assure you that citations and notices will not be issued in the future despite our strong regulatory compliance efforts. We have established final capping, closure, post-closure and remediation reserves that we believe, based on currently available information, will be adequate to cover our current estimates of regulatory costs; however, we cannot assure you that actual costs will not exceed our reserves.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primary federal environmental and occupational health and safety-related statutes that affect our facilities and operations:</w:t>
      </w:r>
    </w:p>
    <w:p>
      <w:pPr>
        <w:spacing w:after="0" w:line="129" w:lineRule="exact"/>
        <w:rPr>
          <w:sz w:val="20"/>
          <w:szCs w:val="20"/>
          <w:color w:val="auto"/>
        </w:rPr>
      </w:pPr>
    </w:p>
    <w:p>
      <w:pPr>
        <w:ind w:left="660" w:right="140" w:hanging="328"/>
        <w:spacing w:after="0" w:line="264" w:lineRule="auto"/>
        <w:tabs>
          <w:tab w:leader="none" w:pos="701" w:val="left"/>
        </w:tabs>
        <w:numPr>
          <w:ilvl w:val="0"/>
          <w:numId w:val="10"/>
        </w:numPr>
        <w:rPr>
          <w:rFonts w:ascii="Arial" w:cs="Arial" w:eastAsia="Arial" w:hAnsi="Arial"/>
          <w:sz w:val="16"/>
          <w:szCs w:val="16"/>
          <w:color w:val="auto"/>
        </w:rPr>
      </w:pPr>
      <w:r>
        <w:rPr>
          <w:rFonts w:ascii="Arial" w:cs="Arial" w:eastAsia="Arial" w:hAnsi="Arial"/>
          <w:sz w:val="18"/>
          <w:szCs w:val="18"/>
          <w:i w:val="1"/>
          <w:iCs w:val="1"/>
          <w:color w:val="auto"/>
        </w:rPr>
        <w:t xml:space="preserve">The Solid Waste Disposal Act, including the Resource Conservation and Recovery Act </w:t>
      </w:r>
      <w:r>
        <w:rPr>
          <w:rFonts w:ascii="Arial" w:cs="Arial" w:eastAsia="Arial" w:hAnsi="Arial"/>
          <w:sz w:val="18"/>
          <w:szCs w:val="18"/>
          <w:color w:val="auto"/>
        </w:rPr>
        <w:t>(RCRA). RCRA establishes a framework for regulating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transportation, treatment, storage and disposal of hazardous and non-hazardous solid waste, and requires states to develop programs to ensure the safe disposal of solid waste in sanitary landfills.</w:t>
      </w:r>
    </w:p>
    <w:p>
      <w:pPr>
        <w:spacing w:after="0" w:line="73"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Subtitle D of RCRA establishes a framework for regulating the disposal of municipal solid waste. Regulations under Subtitle D currently include minimum comprehensive solid waste management criteria and guidelines, including location restrictions, facility design and operating criteria, final capping, closure and post-closure requirements, financial assurance standards, groundwater monitoring requirements and corrective action standards. All of the states in which we operate have implemented permit programs pursuant to RCRA and Subtitle D. These state permit programs may include landfill requirements that are more stringent than those of Subtitle D. Our failure to comply with any of these environmental requirements at any of our locations may lead to temporary or permanent loss of an operating permit, which would result in costs in connection with securing new permits and reduced revenue from lost operational time.</w:t>
      </w:r>
    </w:p>
    <w:p>
      <w:pPr>
        <w:spacing w:after="0" w:line="70"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All of our planned landfill expansions and new landfill development projects have been engineered to meet or exceed Subtitle D requirements. Operating and design criteria for existing operations have been modified to comply with these regulations. Compliance with Subtitle D regulations has resulted in increased costs and may in the future require substantial additional expenditures in addition to other costs normally associated with our waste management activities.</w:t>
      </w:r>
    </w:p>
    <w:p>
      <w:pPr>
        <w:spacing w:after="0" w:line="79" w:lineRule="exact"/>
        <w:rPr>
          <w:sz w:val="20"/>
          <w:szCs w:val="20"/>
          <w:color w:val="auto"/>
        </w:rPr>
      </w:pPr>
    </w:p>
    <w:p>
      <w:pPr>
        <w:jc w:val="both"/>
        <w:ind w:left="660" w:right="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The Comprehensive Environmental Response, Compensation and Liability Act of 1980 </w:t>
      </w:r>
      <w:r>
        <w:rPr>
          <w:rFonts w:ascii="Arial" w:cs="Arial" w:eastAsia="Arial" w:hAnsi="Arial"/>
          <w:sz w:val="18"/>
          <w:szCs w:val="18"/>
          <w:color w:val="auto"/>
        </w:rPr>
        <w:t>(CERCLA). CERCLA, among other things, provides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cleanup of sites from which there is a release or threatened release of a hazardous substance into the environment. CERCLA may impose strict joint and several liability for the costs of cleanup and for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660" w:right="20"/>
        <w:spacing w:after="0" w:line="319" w:lineRule="auto"/>
        <w:rPr>
          <w:sz w:val="20"/>
          <w:szCs w:val="20"/>
          <w:color w:val="auto"/>
        </w:rPr>
      </w:pPr>
      <w:r>
        <w:rPr>
          <w:rFonts w:ascii="Arial" w:cs="Arial" w:eastAsia="Arial" w:hAnsi="Arial"/>
          <w:sz w:val="17"/>
          <w:szCs w:val="17"/>
          <w:color w:val="auto"/>
        </w:rPr>
        <w:t>damages to natural resources upon current owners and operators of a site, parties who were owners or operators of a site at the time the hazardous substances were disposed of, parties who transported the hazardous substances to a site, and parties who arranged for the disposal of the hazardous substances at a site. Under the authority of CERCLA and its implementing regulations, detailed requirements apply to the manner and degree of investigation and remediation of facilities and sites where hazardous substances have been or are threatened to be released into the environment. Liability under CERCLA is not dependent on the existence or disposal of only “hazardous wastes,” but also can be based upon the existence of small quantities of more than 700 “substances” characterized by the EPA as “hazardous,” many of which are found in common household waste. Among other things, CERCLA authorizes the federal government to investigate and remediate sites at which hazardous substances have been or are threatened to be released into the environment, or to order persons potentially liable for the cleanup of the hazardous substances to do so themselves. In addition, the EPA has established a National Priorities List of sites at which hazardous substances have been, or are threatened to be, released and which require investigation or cleanup.</w:t>
      </w:r>
    </w:p>
    <w:p>
      <w:pPr>
        <w:spacing w:after="0" w:line="49"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CERCLA liability is strict liability. It can be founded upon the release or threatened release, even as a result of unintentional, non-negligent or lawful action, of hazardous substances, including very small quantities of such substances. Thus, even if we have never knowingly transported or received hazardous substances, it is likely that hazardous substances have been deposited or “released” at landfills or other facilities that we presently or historically have owned or operated, or at properties owned by third parties to which we have transported waste. Therefore, we could be liable under CERCLA for the cost of cleaning up such hazardous substances at such sites and for damages to natural resources, even if those substances were deposited at our facilities before we acquired or operated them. The costs of a CERCLA cleanup can be very expensive and can include the costs of disposing of hazardous substances at appropriately-licensed facilities. Given the difficulty of obtaining insurance for environmental impairment liability, any such liability could have a material impact on our business, financial condition, results of operations and cash flows.</w:t>
      </w:r>
    </w:p>
    <w:p>
      <w:pPr>
        <w:spacing w:after="0" w:line="58" w:lineRule="exact"/>
        <w:rPr>
          <w:sz w:val="20"/>
          <w:szCs w:val="20"/>
          <w:color w:val="auto"/>
        </w:rPr>
      </w:pPr>
    </w:p>
    <w:p>
      <w:pPr>
        <w:ind w:left="660" w:right="40" w:hanging="328"/>
        <w:spacing w:after="0" w:line="270" w:lineRule="auto"/>
        <w:tabs>
          <w:tab w:leader="none" w:pos="6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Federal Water Pollution Control Act of 1972 </w:t>
      </w:r>
      <w:r>
        <w:rPr>
          <w:rFonts w:ascii="Arial" w:cs="Arial" w:eastAsia="Arial" w:hAnsi="Arial"/>
          <w:sz w:val="17"/>
          <w:szCs w:val="17"/>
          <w:color w:val="auto"/>
        </w:rPr>
        <w:t>(the Clean Water Act). This act regulates the discharge of pollutants from a variety of sources,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solid waste disposal sites, into streams, rivers and other waters of the United States. Runoff from our landfills and transfer stations that is discharged into surface waters through discrete conveyances must be covered by discharge permits that generally require us to conduct sampling and monitoring, and, under certain circumstances, to reduce the quantity of pollutants in those discharges. Storm water discharge regulations under the Clean Water Act require a permit for certain construction activities and for runoff from industrial operations and facilities, which may affect our operations. If a landfill or transfer station discharges wastewater through a sewage system to a publicly owned treatment works, the facility must comply with discharge limits imposed by that treatment works. In addition, states may adopt groundwater protection programs under the Clean Water Act or the Safe Drinking Water Act that could affect the manner in which our landfills monitor and control their waste management activities. Furthermore, if development at any of our facilities alters or affects wetlands, we may be required to secure permits before such development starts. In these situations, permitting agencies may require mitigation of wetland impacts.</w:t>
      </w:r>
    </w:p>
    <w:p>
      <w:pPr>
        <w:spacing w:after="0" w:line="69" w:lineRule="exact"/>
        <w:rPr>
          <w:rFonts w:ascii="Arial" w:cs="Arial" w:eastAsia="Arial" w:hAnsi="Arial"/>
          <w:sz w:val="17"/>
          <w:szCs w:val="17"/>
          <w:i w:val="1"/>
          <w:iCs w:val="1"/>
          <w:color w:val="auto"/>
        </w:rPr>
      </w:pPr>
    </w:p>
    <w:p>
      <w:pPr>
        <w:ind w:left="660" w:hanging="328"/>
        <w:spacing w:after="0" w:line="28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The Clean Air Act. </w:t>
      </w:r>
      <w:r>
        <w:rPr>
          <w:rFonts w:ascii="Arial" w:cs="Arial" w:eastAsia="Arial" w:hAnsi="Arial"/>
          <w:sz w:val="16"/>
          <w:szCs w:val="16"/>
          <w:color w:val="auto"/>
        </w:rPr>
        <w:t>The Clean Air Act imposes limitations on emissions from various sources, including landfills. In March 1996, the EPA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promulgated regulations that require large municipal solid waste landfills to install landfill gas monitoring systems. These regulations apply to landfills that commenced construction, reconstruction or modification on or after May 30, 1991, and, principally, to landfills that can accommodate 2.5 million cubic meters or more of municipal solid waste. The regulations apply whether the landfills are active or closed. The date by which each affected landfill must have a gas collection and control system installed and made operational varies depending on calculated emission rates at the landfill. On August 14, 2015, the EPA issued proposed amendments to its regulations that would require large landfills that commenced construction, reconstruction, or modification on or after July 17, 2014 to capture additional landfill gas to reduce emissions of methane and certain non-methane gases, which are recognized as greenhouse gases. In a separate action commenced that same day, the EPA proposed updates to its 1996 Emission Guidelines to reduce emissions of landfill gas from existing active landfills. Both actions are part of the Obama Administration's Climate Action Plan - Strategy to Reduce Methane Emissions. These and other efforts to curtail the emission of greenhouse gases and to ameliorate the effect of climate change may require our landfills to deploy more stringent emission controls and monitoring systems, with resulting capital or operating costs. Many state regulatory agencies also currently require monitoring systems for the collection and control of certain landfill gas. Certain of these state agencies are also implementing greenhouse gas control regulations that would also apply to landfill gas emissions.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Regulation of greenhouse gas emissions could impose costs on our operations, the magnitude of which we cannot yet estimate</w:t>
      </w:r>
      <w:r>
        <w:rPr>
          <w:rFonts w:ascii="Arial" w:cs="Arial" w:eastAsia="Arial" w:hAnsi="Arial"/>
          <w:sz w:val="16"/>
          <w:szCs w:val="16"/>
          <w:color w:val="auto"/>
        </w:rPr>
        <w:t>,” in this Form 10-K.</w:t>
      </w:r>
    </w:p>
    <w:p>
      <w:pPr>
        <w:spacing w:after="0" w:line="63" w:lineRule="exact"/>
        <w:rPr>
          <w:rFonts w:ascii="Arial" w:cs="Arial" w:eastAsia="Arial" w:hAnsi="Arial"/>
          <w:sz w:val="16"/>
          <w:szCs w:val="16"/>
          <w:color w:val="auto"/>
        </w:rPr>
      </w:pPr>
    </w:p>
    <w:p>
      <w:pPr>
        <w:ind w:left="660" w:right="180"/>
        <w:spacing w:after="0" w:line="264" w:lineRule="auto"/>
        <w:rPr>
          <w:rFonts w:ascii="Arial" w:cs="Arial" w:eastAsia="Arial" w:hAnsi="Arial"/>
          <w:sz w:val="16"/>
          <w:szCs w:val="16"/>
          <w:color w:val="auto"/>
        </w:rPr>
      </w:pPr>
      <w:r>
        <w:rPr>
          <w:rFonts w:ascii="Arial" w:cs="Arial" w:eastAsia="Arial" w:hAnsi="Arial"/>
          <w:sz w:val="18"/>
          <w:szCs w:val="18"/>
          <w:color w:val="auto"/>
        </w:rPr>
        <w:t>In addition, our vehicle fleet also may become subject to higher efficiency standards or other carbon-emission restrictions. Over the past two years, the EPA and the National Highway Traffic Safety Administration (NHTSA) have adopted regulations mandating the reduction of vehicle tail pipe emissions as a means of reducing greenhouse gas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emissions. The regulations take the form of fuel economy standards. The EPA and the NHTSA have developed fuel economy standards in two vehicle categories: (1) conventional automobiles and light-duty trucks; and (2) heavy-duty trucks, including solid waste collection vehicles and tractor trailers. We own and operate vehicles in both categories. For conventional automobiles and light-duty trucks, in May 2010 the EPA and the NHTSA finalized fuel economy standards for model years 2012 through 2016. In October 2011, the EPA and the NHTSA initiated a second round of rulemaking for conventional automobiles and pick-up trucks in model years 2017 through 2025. In August 2011, the EPA and the NHTSA finalized standards for heavy-duty trucks, including solid waste collection vehicles and tractor trailers, for model years 2014 through 2018. On June 19, 2015, EPA and NHTSA proposed additional regulations that would impose more stringent standards for heavy-duty vehicles through model-year 2027. In issuing the proposed fuel economy standards for heavy-duty trucks and tractor trailers, the government estimated that the increased equipment cost would be recouped over a period of two years for a tractor/trailer combo, and over a period of 6 years for a garbage truck, and each vehicle would continue to save fuel costs over its operating life.</w:t>
      </w:r>
    </w:p>
    <w:p>
      <w:pPr>
        <w:spacing w:after="0" w:line="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Occupational Safety and Health Act of 1970 </w:t>
      </w:r>
      <w:r>
        <w:rPr>
          <w:rFonts w:ascii="Arial" w:cs="Arial" w:eastAsia="Arial" w:hAnsi="Arial"/>
          <w:sz w:val="18"/>
          <w:szCs w:val="18"/>
          <w:color w:val="auto"/>
        </w:rPr>
        <w:t>(OSHA). This act authorizes the Occupational Safety and Health Administration of the</w:t>
      </w:r>
    </w:p>
    <w:p>
      <w:pPr>
        <w:spacing w:after="0" w:line="23" w:lineRule="exact"/>
        <w:rPr>
          <w:rFonts w:ascii="Arial" w:cs="Arial" w:eastAsia="Arial" w:hAnsi="Arial"/>
          <w:sz w:val="18"/>
          <w:szCs w:val="18"/>
          <w:color w:val="auto"/>
        </w:rPr>
      </w:pPr>
    </w:p>
    <w:p>
      <w:pPr>
        <w:ind w:left="660" w:right="220"/>
        <w:spacing w:after="0" w:line="261" w:lineRule="auto"/>
        <w:rPr>
          <w:rFonts w:ascii="Arial" w:cs="Arial" w:eastAsia="Arial" w:hAnsi="Arial"/>
          <w:sz w:val="18"/>
          <w:szCs w:val="18"/>
          <w:color w:val="auto"/>
        </w:rPr>
      </w:pPr>
      <w:r>
        <w:rPr>
          <w:rFonts w:ascii="Arial" w:cs="Arial" w:eastAsia="Arial" w:hAnsi="Arial"/>
          <w:sz w:val="18"/>
          <w:szCs w:val="18"/>
          <w:color w:val="auto"/>
        </w:rPr>
        <w:t>U.S. Department of Labor to promulgate occupational safety and health standards. A number of these standards, including standards for notices of hazardous chemicals and the handling of asbestos, apply to our facilities and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and Local Regulation</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Each state in which we operate has its own laws and regulations governing solid waste disposal, water and air pollution, and, in most cases, releases and cleanup of hazardous substances and liabilities for such matters. States also have adopted regulations governing the design, operation, maintenance and closure of landfills and transfer stations. Some counties, municipalities and other local governments have adopted similar laws and regulations. In addition, our operations may be affected by the trend in many states toward requiring solid waste reduction and recycling programs. For example, several states have enacted laws that require counties or municipalities to adopt comprehensive plans to reduce, through solid waste planning, composting, recycling or other programs, the volume of solid waste deposited in landfills. Additionally, laws and regulations restricting the disposal of certain waste in solid waste landfills, including yard waste, newspapers, beverage containers, unshredded tires, lead-acid batteries, electronic wastes and household appliances, have been adopted in several states and are being considered in others. Legislative and regulatory measures to mandate or encourage waste reduction at the source and waste recycling also have been considered, or are under consideration by, the U.S. Congress and the EPA.</w:t>
      </w:r>
    </w:p>
    <w:p>
      <w:pPr>
        <w:spacing w:after="0" w:line="11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construct, operate and expand a landfill, we must obtain one or more construction or operating permits, as well as zoning and land use approvals. These permits and approvals may be burdensome to obtain and to comply with, are often opposed by neighboring landowners and citizens’ groups, may be subject to periodic renewal, and are subject to denial, modification, non-renewal and revocation by the issuing agency. Significant compliance disclosure obligations often accompany these processes. In connection with our acquisition of existing landfills, we may be required to spend considerable time, effort and money to bring the acquired facilities into compliance with applicable requirements and to obtain the permits and approvals necessary to increase their capacity.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7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Many of our facilities own and operate underground storage tanks that are generally used to store petroleum-based products. These tanks are subject to federal, state and local laws and regulations that mandate their periodic testing, upgrading, closure and removal. In the event of leaks or releases from these tanks, these regulations require that polluted groundwater and soils be remediated. We believe that all of our underground storage tanks meet all applicable regulations. If underground storage tanks we own or operate leak, we could be liable for response costs and, if the leakage migrates onto the property of others, we could be liable for damages to third parties. We are unaware of facts indicating that issues of compliance with regulations related to underground storage tanks will have a material adverse effect on our consolidated financial condition, results of operations or cash flows.</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With regard to our solid waste transportation operations, we are subject to the jurisdiction of the Surface Transportation Board and are regulated by the Federal Highway Administration, Office of Motor Carriers, and by regulatory agencies in states that regulate such matters. Various state and local government authorities have adopted, or are considering adopting, laws and regulations that would restrict the transportation of solid waste across state, county, or other jurisdictional lines. In 1978, the U.S. Supreme Court ruled that a law that restricts the importation of out-of-state solid waste is unconstitutional; however, states have attempted to distinguish proposed laws from those involved in and implicated by that ruling. In 1994, the U.S. Supreme Court ruled that a flow control law, which attempted to restrict solid waste from leaving its place of generation, imposes an impermissible burden upon interstate commerce and is unconstitutional. In 2007, however, the U.S. Supreme Court upheld the right of a local government to direct the flow of solid waste to a publicly-owned and publicly-operated waste facility.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number of county and other local jurisdictions have enacted ordinances or other regulations restricting the free movement of solid waste across jurisdictional boundaries. Other governments may enact similar regulations in the future. These regulations may cause a decline in volumes of waste delivered to our landfills or transfer stations and may increase our costs of disposal, thereby adversely affecting our operations and our financial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Established for Landfill and Environmental Costs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We have established reserves for landfill and environmental costs, which include landfill site final capping, closure and post-closure costs. We periodically reassess such costs based on various methods and assumptions regarding landfill airspace and the technical requirements of Subtitle D of RCRA, and we adjust our rates used to expense final capping, closure and post-closure costs accordingly. Based on current information and regulatory requirements, we believe that our recorded reserves for such landfill and environmental expenditures are adequate; however, environmental laws may change, and we cannot assure you that our recorded reserves will be adequate to cover requirements under existing or new environmental laws and regulations, future changes or interpretations of existing laws and regulations, or adverse environmental conditions previously unknown to us. Refer to the </w:t>
      </w:r>
      <w:r>
        <w:rPr>
          <w:rFonts w:ascii="Arial" w:cs="Arial" w:eastAsia="Arial" w:hAnsi="Arial"/>
          <w:sz w:val="16"/>
          <w:szCs w:val="16"/>
          <w:i w:val="1"/>
          <w:iCs w:val="1"/>
          <w:color w:val="auto"/>
        </w:rPr>
        <w:t>"Contractual Obligations"</w:t>
      </w:r>
      <w:r>
        <w:rPr>
          <w:rFonts w:ascii="Arial" w:cs="Arial" w:eastAsia="Arial" w:hAnsi="Arial"/>
          <w:sz w:val="16"/>
          <w:szCs w:val="16"/>
          <w:color w:val="auto"/>
        </w:rPr>
        <w:t xml:space="preserve"> section of our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contained in Item 7 of this Form 10-K and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our consolidated financial statements in Item 8 of this Form 10-K for further information.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Liability Insurance and Bonding</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nature of our business exposes us to the possible risk of liabilities arising out of our operations, including damages to the environment, property, employees or the general public. Although we focus on operating safely and prudently, we occasionally receive claims, alleging damages, negligence or other wrongdoing in the planning or performance of work, which resulted in harm to the environment, property, employees or the general public. These liabilities can be significant. We also could be subject to fines and civil and criminal penalties in connection with alleged violations of regulatory requirements. We maintain various policies of insurance that, subject to limitations, exclusions, or deductibles, provide coverage for these types of claims. While we believe the amount of insurance is appropriate for our type of business, we can neither assure you that such insurance would be adequate, in scope or amount, in the event of a major loss, nor that we will not be exposed to uninsured liabilities that could have a material adverse effect on our consolidated financial condition, results of operations or cash flows. We also cannot assure you that we would continue to maintain the insurance should market conditions in the insurance industry make such coverage cost prohibitive.</w:t>
      </w:r>
    </w:p>
    <w:p>
      <w:pPr>
        <w:spacing w:after="0" w:line="12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Accruals for deductibles are based on claims filed and actuarial estimates of claims development and claims incurred but not reported. Due to the variable condition of the insurance market, we have experienced, and may experience in the future, increased deductible retention levels and increased premiums or unavailability of insurance. As we assume more risk through higher retention levels, we may experience more variability in our insurance reserves and expense.</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normal course of business, we also purchase surety bonds, insurance policies, letters of credit or marketable securities deposits in connection with municipal residential collection contracts, financial assurance for closure and post-closure of landfills, environmental remediation, environmental permits, and business licenses and permits as a financial guarantee of our performance.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and Other Information</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Our corporate website is </w:t>
      </w:r>
      <w:r>
        <w:rPr>
          <w:rFonts w:ascii="Arial" w:cs="Arial" w:eastAsia="Arial" w:hAnsi="Arial"/>
          <w:sz w:val="16"/>
          <w:szCs w:val="16"/>
          <w:u w:val="single" w:color="auto"/>
          <w:color w:val="auto"/>
        </w:rPr>
        <w:t>www.republicservices.com</w:t>
      </w:r>
      <w:r>
        <w:rPr>
          <w:rFonts w:ascii="Arial" w:cs="Arial" w:eastAsia="Arial" w:hAnsi="Arial"/>
          <w:sz w:val="16"/>
          <w:szCs w:val="16"/>
          <w:color w:val="auto"/>
        </w:rPr>
        <w:t>. We make available on that website, free of charge, access to our Annual Reports on Form 10-K, Quarterly Reports on Form 10-Q, Current Reports on Form 8-K, Proxy Statements on Schedule 14A, and amendments to those materials filed or furnished with the Securities and Exchange Commission (SEC) pursuant to Section 13(a) or 15(d) of the Securities Exchange Act of 1934. We make such materials available as soon as reasonably practicable after we electronically submit them to the SEC. Our corporate website also contains our Certificate of Incorporation, Bylaws, Corporate Governance Guidelines, Code of Ethics, Political Contributions Policy, and Charters of the Audit Committee, Management Development and Compensation Committee, Nominating and Corporate Governance Committee, and Sustainability and Corporate Responsibility Committee of the board of directors. In addition, the SEC makes available at its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free of charge, reports, proxy statements, and other information regarding issuers, such as us, that file electronically with the SEC. Information on our website or the SEC website is not part of this Form 10-K. We intend to satisfy the disclosure requirements under Item 5.05 of Form 8-K and applicable New York Stock Exchange (NYSE) rules regarding amendments to or waivers of our Code of Ethics by posting this information on our website at </w:t>
      </w:r>
      <w:r>
        <w:rPr>
          <w:rFonts w:ascii="Arial" w:cs="Arial" w:eastAsia="Arial" w:hAnsi="Arial"/>
          <w:sz w:val="16"/>
          <w:szCs w:val="16"/>
          <w:u w:val="single" w:color="auto"/>
          <w:color w:val="auto"/>
        </w:rPr>
        <w:t>www.republicservices.com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Form 10-K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“believe” and similar expressions are intended to identify forward-looking statements. These statements include statements about our plans, strategies and prospects. Forward-looking statements are not guarantees of performance. These statements are based upon our management's current beliefs and expectations and are subject to risk and uncertainties, including the risks set forth below in these Risk Factors, which could cause actual results to differ materially from those expressed in, or implied or projected by, the forward-looking information and statements. Although we believe that the expectations reflected in the forward-looking statements are reasonable, we cannot assure you that the expectations will prove to be correct. Accordingly, you should not place undue reliance on the forward-looking statements, which speak only as of the date of this Form 10-K. Except to the extent required by applicable law or regulation, we undertake no obligation to update or publish revised forward-looking statements to reflect events or circumstances after the date of this Form 10-K or to reflect the occurrence of unanticipated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can directly and adversely affect our operating results.</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business is directly affected by changes in national and general economic factors and overall economic activity that are outside of our control, including consumer confidence and interest rates. A weak economy generally results in decreases in volumes of waste generated, which adversely affects our revenues. In addition, we have a relatively high fixed-cost structure, which is difficult to adjust quickly to match declining waste volume levels. Consumer uncertainty and the loss of consumer confidence may decrease overall economic activity and thereby limit the amount of services we provide. Additionally, the decline in waste volumes may result in increased competitive pricing pressure and increased customer turnover, resulting in lower revenue and increased operating costs. We cannot assure you that worsening economic conditions would not have a significant adverse impact on our consolidated financial condition, results of operations or cash flows. Further, recovery in the solid waste industry historically has lagged behind recovery in the general economy. Accordingly, we cannot assure you that an improvement in general economic conditions will result in an immediate, or any, improvement in our consolidated financial condition, results of operations or cash flows.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Weakness in the U.S. economy may expose us to credit risk for amounts due from governmental agencies, large national accounts, industrial customers and others.</w:t>
      </w:r>
    </w:p>
    <w:p>
      <w:pPr>
        <w:spacing w:after="0" w:line="3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Weakness in the U.S. economy reduces the amount of taxes collected by various governmental agencies. We provide services to a number of these agencies, including numerous municipalities. These governmental agencies may suffer financial difficulties resulting from a decrease in tax revenue and may ultimately be unable or unwilling to pay amounts owed to us. In addition, weakness in the economy may cause other customers, including our large national accounts, or industrial or energy services clients, to suffer financial difficulties and ultimately to be unable or unwilling to pay amounts owed to us. This could negatively impact our consolidated financial condition, results of operations and cash flows.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includes competitors that may have greater financial and operational resources, flexibility to reduce prices or other competitive advantages that could make it difficult for us to compete effectively.</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principally compete with large national waste management companies, numerous municipalities, and numerous regional and local companies. Competition for collection accounts is primarily based on price and the quality of services. Competition for disposal business is primarily based on price, geographic location and quality of operations. One of our competitors may have greater financial and operational resources than we do. Further, many counties and municipalities that operate their own waste collection and disposal facilities have the benefits of tax revenue or tax-exempt financing. Our ability to obtain solid waste volume for our landfills also may be limited by the fact that some major collection operations also own or operate landfills to which they send their waste. In certain markets in which we do not own or operate a landfill, from time to time our collection operations may have difficulty competing effectively. If we were to lose market share or if we were to lower prices to address competitive issues, it could negatively impact our consolidated financial condition,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increases may not be adequate to offset the impact of increased costs and may cause us to lose volume.</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seek to secure price increases necessary to offset higher costs, to maintain or improve operating margins, and to obtain adequate returns on our substantial investments in assets such as our landfills. From time to time, our competitors reduce their prices in an effort to expand their market share. Contractual, general economic or market-specific conditions also may limit our ability to raise prices. For example, many of our contracts have price adjustment provisions that are tied to an index such as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consumer price index. Particularly in a weak U.S. economy such as the current one, our costs may increase in excess of the increase, if any, in the consumer price index. This may continue to be the case even when the U.S. economy recovers because a recovery in the solid waste industry historically has lagged behind a recovery in the general economy. As a result, we may be unable to offset increases in costs, improve our operating margins and obtain adequate investment returns through price increases. Price increases also might cause us to lose volume to lower-cost competitors.</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Increases in the cost of fuel or petrochemicals would increase our operating expenses, and we cannot assure you that we would be able to recover such cost increases from our customers.</w:t>
      </w:r>
    </w:p>
    <w:p>
      <w:pPr>
        <w:spacing w:after="0" w:line="3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depend on fuel purchased in the open market to operate our collection and transfer trucks and other equipment used for collection, transfer and disposal. Fuel prices are unpredictable and fluctuate significantly based on events beyond our control, including geopolitical developments, actions by the Organization of the Petroleum Exporting Countries and other oil and gas producers, supply and demand for oil and gas, war, terrorism and unrest in oil-producing countries, adverse weather and regional production patterns. Due to contractual or market factors, we may not be able to offset such volatility through fuel recovery fees. Our fuel costs were $362.4 million in 2015, or 4.0% of revenue, compared to $500.0 million in 2014, or 5.7% of revenue.</w:t>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To manage our exposure to volatility in fuel prices, we have entered into multiple swap agreements whereby we receive or make payments to counter-parties should the price of fuel vary from a specified amount. During 2015, approximately 20% of our fuel volume purchases were hedged with swap agreements. Additionally, we are able to collect fuel recovery fees from some customers. In general, we recover approximately 80% of our fuel costs with fuel recovery fees. At current consumption levels, a twenty-cent per gallon change in the price of diesel fuel changes our fuel costs by approximately $22 million on an annual basis. Offsetting these changes in fuel expense would be changes in our fuel recovery fee charged to our customers. At current participation rates, we believe a twenty-cent per gallon change in the price of diesel fuel changes our fuel recovery fee by approximately $22 million. Accordingly, a substantial rise or drop in fuel costs could result in a material impact to our revenue and cost of operations.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Over the last several years, regulations have been adopted mandating changes in the composition of fuels for motor vehicles. The renewable fuel standards that the EPA sets annually affect the type of fuel our motor vehicle fleet uses. Pursuant to the Energy Independence and Security Act of 2007, the EPA establishes annual renewable fuel volume requirements for four different categories of renewable fuels (renewable fuel, advanced biofuel, cellulosic biofuel, and biomass-based diesel). These volume requirements set standards for the proportion of refiners' or importers' total fuel volume that must contain renewable fuels (as designated by regulation). The total volume metrics for each year vary based upon a number of factors (e.g., the availability of such fuels), and it is difficult to predict the ultimate quantity that the EPA will eventually mandate for 2016 and beyond. These regulations are one of many factors that may affect the cost of the fuel we use.</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require the use of products (such as liners at our landfills) whose costs may vary with the price of petrochemicals. An increase in the price of petrochemicals could increase the cost of those products, which would increase our operating and capital costs. Petrochemical prices, and hence our operating and capital costs, may be further affected by regulatory efforts to reduce greenhouse gases from the industries that produce such petrochemicals. We are also susceptible to increases in indirect fuel recovery fees from our vendors.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Fluctuations in prices for recycled commodities that we sell to customers may adversely affect our consolidated financial condition, results of operations and cash flows.</w:t>
      </w:r>
    </w:p>
    <w:p>
      <w:pPr>
        <w:spacing w:after="0" w:line="3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purchase or collect and process recyclable materials such as paper, cardboard, plastics, aluminum and other metals for sale to third parties. Our results of operations may be affected by changing prices or market requirements for recyclable materials. The resale and purchase prices of, and market demand for, recyclable materials are volatile due to changes in economic conditions and numerous other factors beyond our control. These fluctuations may affect our consolidated financial condition, results of operations and cash flows. Approximately 70% of our recycling center volume relates to OCC, ONP and other mixed paper.</w:t>
      </w:r>
    </w:p>
    <w:p>
      <w:pPr>
        <w:spacing w:after="0" w:line="13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Historically, to manage our exposure to fluctuations in prices for recycled commodities, we have entered into multiple hedging arrangements whereby we receive or make payments to counter-parties should the price of recycled commodities vary from a specified amount or range. We currently have no hedges outstanding. At current volumes and mix of materials, we believe a $10 per ton change in the price of recycled commodities will change annual revenue and operating income by approximately $27 million and $18 million, respectively, on an annual basis. Accordingly, a substantial rise or drop in recycled commodity prices could result in a material impact to our revenue and cost of operations.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weather conditions, including those brought about by climate change, may limit our operations and increase the costs of collection and disposal.</w:t>
      </w:r>
    </w:p>
    <w:p>
      <w:pPr>
        <w:spacing w:after="0" w:line="1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collection and landfill operations could be adversely impacted by extended periods of inclement weather, or by increased severity of weather and climate extremes resulting from climate change, some of which we may already be experiencing. Recent studies suggest that global warming is occurring faster than previously projected, with the EPA projecting a 3° to 12° Fahrenheit temperature increase in the United States by the end of the century. In addition to sea level rise, this temperature increase is expected to result in more severe droughts, floods, and other extreme weather events. Any of these factors could increase the volume of waste collected under our existing contracts (without corresponding compensation), interfere with collection and landfill operations, delay the development of landfill capacity or reduce the volume of waste generated by our customers. In addition, adverse weather conditions may result in the temporary suspension of our operations, which can significantly affect our operating results in the affected regions during those periods.</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solid waste industry is a capital-intensive industry and our capital expenditures may exceed current expectations, which could require us to obtain additional funding for our operations or impair our ability to grow our business.</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remain competitive and to grow our business largely depends on our cash flow from operations and access to capital. If our capital efficiency programs cannot offset the impact of inflation and business growth, it may be necessary to increase the amount we spend. Additionally, if we make acquisitions or further expand our operations, the amount we spend on capital, capping, closure, post-closure, environmental remediation and other items will increase. Our cash needs also will increase if the expenditures for capping, closure, post-closure and remediation activities increase above our current estimates, which may occur over a long period due to changes in federal, state or local government requirements and other factors beyond our control. Increases in expenditures would negatively impact our cash flows.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cannot assure you that we will be able to obtain or maintain the permits we require to operate because permits to operate new landfills and transfer stations, or to expand the permitted capacity of existing landfills,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 landfills and transfer stations and expanding existing landfills. In addition, failure to receive regulatory and zoning approval may prohibit us from establishing new landfills or transfer stations or expanding existing landfills. Our failure to obtain the required permits to operate our landfills and transfer stations could have a material adverse impact on our consolidated financial condition, results of operations and cash flows. In addition, we may have to dispose collected waste at landfills operated by our competitors or haul the waste long distances at a higher cost to one of our other landfills, either of which could significantly increase our waste disposal costs.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appropriately estimate landfill capping, closure, post-closure and remediation costs, our financial condition and results of operations may be adversely affected.</w:t>
      </w:r>
    </w:p>
    <w:p>
      <w:pPr>
        <w:spacing w:after="0" w:line="3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landfill must be closed and capped, and post-closure maintenance commenced, once the landfill's permitted capacity is reached and additional capacity is not authorized. Further, we undertake remediation activities at some of our solid waste facilities. We have significant financial obligations relating to capping, closure, post-closure and remediation costs at our existing owned or operated landfills, and will have material financial obligations with respect to any future owned or operated landfills. We establish accruals for the estimated costs associated with capping, closure, post-closure and remediation obligations. We could underestimate such costs, and our financial obligations for capping, closure, post-closure or remediation costs could exceed the amounts accrued or amounts otherwise receivable pursuant to trust funds established for this purpose. Additionally, if a landfill must be closed earlier than expected or its remaining airspace is reduced for any other reason, the accruals for capping, closure, post-closure and remediation could be required to be accelerated. If our capping, closure, post-closure or remediation costs exceed the amounts accrued, or if such accruals are required to be accelerated, this could have a material adverse impact on our consolidated financial condition,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Alternatives to landfill disposal could reduce our disposal volumes and cause our revenues and operating results to decline.</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Most of the states in which we operate landfills require counties and municipalities to formulate comprehensive plans to reduce the volume of solid waste deposited in landfills through waste planning, composting, recycling or other programs. Some state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and local governments mandate waste reduction at the source and prohibit the disposal of certain types of wastes, such as yard waste, at landfills. Further, many of our customers voluntarily are diverting waste to alternatives to landfill disposal, such as recycling and composting, while also working to reduce the amount of waste they generate. Many of the largest companies in the U.S. are setting zero-waste goals in which they strive to send no waste to landfills. Although such actions help to protect our environment, they have reduced, and will in the future reduce, the volume of waste going to landfills and may affect the prices that we can charge for landfill disposal. Accordingly, we cannot assure you that we will be able to operate our landfills at their current volumes or charge current prices for landfill disposal services due to possible decreases in demand for such services. If we cannot expand our service offerings and grow lines of business to service waste streams that do not go to landfills and to provide services for customers that wish to reduce waste entirely, this could have a negative impact on our consolidated financial condition, results of operations and cash flows. Further, even if we can develop such service offerings and lines of business, disposal alternatives nonetheless could have a negative impact on our consolidated financial condition, results of operations and cash flows.</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possibility of landfill and transfer station site development projects, or expansion projects not being completed or certain other events could result in material charges to income.</w:t>
      </w:r>
    </w:p>
    <w:p>
      <w:pPr>
        <w:spacing w:after="0" w:line="3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accordance with U.S. GAAP, we capitalize certain expenditures relating to development, expansion and other projects. If a facility or operation is permanently shut down or determined to be impaired, or a development, expansion or other project is not completed or is determined to be impaired, we will charge against earnings any unamortized capitalized expenditures relating to such facility or project that we are unable to recover through sale, transfer or otherwise. We also carry a significant amount of goodwill on our consolidated balance sheets, which we must assess for impairment annually, and more frequently in the case of certain triggering events. We may incur charges against earnings in accordance with this policy, or other events may cause impairments. Such charges could have a material adverse impact on our results of operations.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costly environmental regulations and flow-control regulations that may affect our operating margins, restrict our operations and subject us to additional liability.</w:t>
      </w:r>
    </w:p>
    <w:p>
      <w:pPr>
        <w:spacing w:after="0" w:line="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Complying with laws and regulations governing the collection, treatment, storage, transfer and disposal of solid and hazardous wastes and materials, air quality and emissions of greenhouse gases, water quality and the remediation of contamination associated with the release of hazardous substances is costly. Laws and regulations often require us to enhance or replace our equipment and to modify landfill operations or initiate final closure of a landfill. We cannot assure you that we will be able to implement price increases sufficient to offset the costs of complying with these laws and regulations. In addition, environmental regulatory changes could accelerate or increase expenditures for capping, closure, post-closure and environmental and remediation activities at solid waste facilities and obligate us to spend sums in addition to those presently accrued for such purposes.</w:t>
      </w:r>
    </w:p>
    <w:p>
      <w:pPr>
        <w:spacing w:after="0" w:line="1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collection, transfer, and landfill operations are and will continue to be affected by state or local laws or regulations that restrict the transportation of solid waste across state, county or other jurisdictional lines or that direct the flow of waste to a specified facility or facilities. Such laws and regulations could negatively affect our operations, resulting in declines in landfill volumes and increased costs of alternate disposal.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greenhouse gas emissions could impose costs on our operations, the magnitude of which we cannot yet estimate.</w:t>
      </w:r>
    </w:p>
    <w:p>
      <w:pPr>
        <w:spacing w:after="0" w:line="9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Efforts to curtail the emission of greenhouse gases and to ameliorate the effects of climate change continue to progress. Our landfill operations emit anthropogenic methane, identified as a greenhouse gas, and our vehicle fleet emits, among other things, carbon dioxide, which also is a greenhouse gas. Conventional wisdom still suggests that passage of comprehensive, federal climate change legislation is highly unlikely. Nonetheless, should comprehensive federal climate change legislation be enacted, we expect it to impose costs on our operations, the materiality of which we cannot predict.</w:t>
      </w:r>
    </w:p>
    <w:p>
      <w:pPr>
        <w:spacing w:after="0" w:line="10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Absent comprehensive federal legislation to control greenhouse gas emissions, the EPA is moving ahead administratively under its existing Clean Air Act authority. The EPA is compelled to issue rules by the U.S. Supreme Court's April 2007 </w:t>
      </w:r>
      <w:r>
        <w:rPr>
          <w:rFonts w:ascii="Arial" w:cs="Arial" w:eastAsia="Arial" w:hAnsi="Arial"/>
          <w:sz w:val="16"/>
          <w:szCs w:val="16"/>
          <w:i w:val="1"/>
          <w:iCs w:val="1"/>
          <w:color w:val="auto"/>
        </w:rPr>
        <w:t>Massachusetts v. EPA</w:t>
      </w:r>
      <w:r>
        <w:rPr>
          <w:rFonts w:ascii="Arial" w:cs="Arial" w:eastAsia="Arial" w:hAnsi="Arial"/>
          <w:sz w:val="16"/>
          <w:szCs w:val="16"/>
          <w:color w:val="auto"/>
        </w:rPr>
        <w:t xml:space="preserve"> ruling that greenhouse gases are “pollutants” for purposes of the Clean Air Act and the EPA's December 2009 finding that continued emissions of greenhouse gases endanger human health and welfare. With respect to our light- and heavy-duty vehicle fleet, the EPA has since finalized regulations limiting greenhouse gas emissions and increasing fuel economy standards. The EPA and the NHTSA have finalized such regulations applicable to heavy-duty vehicles through model-year 2018 and to light-duty vehicles through model-year 2025. On June 19, 2015, EPA and NHTSA proposed additional regulations that would impose more stringent standards for heavy-duty vehicles through model-year 2027. We cannot assure you that federal efforts to curtail greenhouse gas emissions and to increase the fuel efficiency of light-duty and heavy-duty vehicles will not have a material effect on our consolidated financial condition, results of operations or cash flows.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regard to greenhouse gas emissions from our landfills, on August 14, 2015, the EPA issued proposed amendments to its regulations that would require large landfills that commenced construction, reconstruction or modification on or after July 17, 2014 to capture additional landfill gas to reduce emissions of methane and certain non-methane gases, which are recognized as greenhouse gases. In a separate action commenced that same day, the EPA proposed updates to its 1996 Emission Guidelines to reduce emissions of landfill gas from existing active landfills. Both actions are part of the Obama Administration's Climate Action Plan - Strategy to Reduce Methane Emissions. These regulations, if finally adopted, may require our landfills to deploy more stringent emission controls and monitoring systems, with resulting capital or operating costs. We cannot assure you that the application of these or other greenhouse gas regulations to our landfills will not have a material effect on our landfill operations or on our consolidated financial condition,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environmental liabilities that are not covered by our insurance. Changes in insurance markets also may impact our financial results.</w:t>
      </w:r>
    </w:p>
    <w:p>
      <w:pPr>
        <w:spacing w:after="0" w:line="11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may incur environmental liabilities arising from our operations or properties. We maintain high deductibles for our environmental liability insurance coverage. If we were to incur substantial liability for environmental damage, our insurance coverage may be inadequate to cover such liability. This could have a material adverse impact on our consolidated financial condition, results of operations and cash flows.</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Also, due to the variable condition of the insurance market, we have experienced, and may experience in the future, increased insurance retention levels and increased premiums or unavailability of insurance. As we assume more risk for insurance through higher retention levels, we may experience more variability in our insurance reserves and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efforts, we may incur additional liability under environmental laws in excess of amounts presently known and accrued.</w:t>
      </w:r>
    </w:p>
    <w:p>
      <w:pPr>
        <w:spacing w:after="0" w:line="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are a potentially responsible party at many sites under CERCLA, which provides for the remediation of contaminated facilities and imposes strict, joint and several liability for the cost of remediation on current owners and operators of a facility at which there has been a release or a threatened release of a “hazardous substance.” CERCLA liability also extends to parties who were site owners and operators at the time hazardous substances were disposed, and on persons who arrange for the disposal of such substances at the facility (i.e., generators of the waste and transporters who selected the disposal site). Hundreds of substances are defined as “hazardous” under CERCLA and their presence, even in minute amounts, can result in substantial liability.</w:t>
      </w:r>
    </w:p>
    <w:p>
      <w:pPr>
        <w:spacing w:after="0" w:line="2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Notwithstanding our efforts to comply with applicable environmental laws, we may have additional liability under environmental laws in excess of our current reserves because, among other things, hazardous substances may be present in waste collected by us or disposed of in our landfills (or in waste collected, transported or disposed of in the past by companies we have acquired), environmental laws may change, or there may be adverse environmental conditions that develop or were otherwise previously unknown to us. For example, during 2012 through 2014, we recorded an aggregate of approximately $400 million in charges relating to environmental remediation at our closed landfill in Bridgeton, Missouri. Actual costs for liabilities at Bridgeton or other sites could be significantly greater than amounts we have accrued for these purposes. Environmental liabilities in excess of our current reserves could have a material adverse impact on our consolidated financial position,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indebtedness, which may limit our financial flexibility.</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December 31, 2015, we had approximately $7.6 billion in principal value of debt and capital leases outstanding.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of our debt instruments. Further, our ability to comply with these financial and other covenants may be affected by changes in economic or business conditions or other events that are beyond our control. If we do not comply with these covenants, we may be required to take actions such as reducing or delaying capital expenditures, reducing or eliminating dividends or stock repurchases, selling assets, restructuring or refinancing all or part of our existing debt, or seeking additional equity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our credit ratings or execute our financial strategy.</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ability to execute our financial strategy depends in part on our ability to maintain investment grade ratings on our debt. The credit rating process is contingent upon a number of factors, many of which are beyond our control. We cannot assure you that we will be able to maintain our investment grade ratings in the future. If we were unable to do so, our interest expense would increase and our ability to obtain financing on favorable terms may be adversely affected.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financial strategy also depends on our ability to generate sufficient cash flow to reinvest in our existing business, fund internal growth, acquire other solid waste businesses, pay dividends, repurchase stock, and take other actions to enhance shareholder value. We cannot assure you that we will succeed in executing our broad-based pricing initiatives, that we will generate sufficient cash flow to execute our financial strategy, that we will be able to pay cash dividends at our present rate, or increase them, or that we will be able to continue our share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and will continue to be involved in lawsuits, regulatory inquiries, and governmental and other legal proceedings arising out of the ordinary course of our business. Many of these matters raise complicated factual and legal issues and are subject to uncertainties. The timing of the final resolutions to lawsuits, regulatory inquiries, and governmental and other legal proceedings is uncertain. Further, the possible outcomes or resolutions to these matters could include adverse judgments or settlements, either of which could require substantial payments and adversely affect our consolidated financial condition, results of operations and cash flows.</w:t>
      </w:r>
    </w:p>
    <w:p>
      <w:pPr>
        <w:spacing w:after="0" w:line="13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example, we incur costs to defend against litigation brought by government agencies and private parties who allege we are in violation of our permits and applicable environmental laws and regulations, or who assert claims alleging nuisance, environmental damage, personal injury or property damage. As a result, we may be required to pay fines or judgments or implement corrective measures, or we may have our permits and licenses modified or revoked. A significant judgment against us, the loss of a significant permit or license, or the imposition of a significant fine could have a material adverse impact on our consolidated financial condition, results of operations and cash flows. We establish accruals for our estimates of the costs associated with our litigation matters obligations. We could underestimate such accruals. Such shortfalls could result in significant unanticipated charges to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growth effectively.</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growth strategy places significant demands on our financial, operational and management resources. To continue our growth, we may need to add administrative and other personnel, and may need to make additional investments in operations and systems. We cannot assure you that we will be able to find and train qualified personnel, or do so on a timely basis, or to expand our operations and systems to the extent, and in the time,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our acquisition growth strategy.</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ability to execute our growth strategy depends in part on our ability to identify and acquire desirable acquisition candidates and on our ability to successfully integrate acquired operations into our business. The integration of our operations with those of acquired companies may present significant challenges to our management. In addition, competition for acquisition candidates may prevent us from acquiring certain acquisition candidates. Thus, we cannot assure you that:</w:t>
      </w:r>
    </w:p>
    <w:p>
      <w:pPr>
        <w:spacing w:after="0" w:line="7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desirable acquisition candidates exist or will be identified;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be able to acquire any of the candidates identified;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effectively integrate and manage companies we acquire;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acquisitions will be profitable or accretive to our earnings.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factors force us to alter our growth strategy, our growth prospects could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Businesses we acquire may have undisclosed liabilities.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due diligence investigations of acquisition candidates may fail to discover certain undisclosed liabilities. If we acquire a company having undisclosed liabilities such as environmental, remediation or contractual liabilities, as a successor owner we may be responsible for such undisclosed liabilities. We try to minimize our exposure to such liabilities by conducting due diligence, by obtaining indemnification from each seller of the acquired companies, by deferring payment of a portion of the purchase price as security for the indemnification and by acquiring only specified assets. However, we cannot assure you that we will be able to obtain indemnification or that any indemnification obtained will be enforceable, collectible or sufficient in amount, scope or duration to fully offset any undisclosed liabilities arising from our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consolidated financial statements are based on estimates and assumptions that may differ from actual results.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consolidated financial statements have been prepared in accordance with U.S. GAAP and necessarily include amounts based on management's estimates. Actual results may differ from these amounts. Significant items requiring management to make subjective or complex judgments about matters that are inherently uncertain include the recoverability of long-lived assets, the depletion and amortization of landfill development costs, accruals for final capping, closure and post-closure costs,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valuation allowances for accounts receivable and deferred tax assets, liabilities for potential litigation, claims and assessments, and liabilities for environmental remediation, multiemployer pension plans, employee benefit plans, deferred taxes, uncertain tax positions, insurance and our estimates of the fair values of assets acquired and liabilities assumed in any acquisition. We cannot assure you that the liabilities recorded for items such as these will be adequate to cover the costs we ultimately will face.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introduction of new accounting rules, laws or regulations could adversely impact our reported results of operations.</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Complying with new accounting rules, laws or regulations could adversely impact our results of operations or cause unanticipated fluctuations in our results of operations or financial conditions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workforce influences, including work stoppages, which could increase our operating costs and disrupt our operations.</w:t>
      </w:r>
    </w:p>
    <w:p>
      <w:pPr>
        <w:spacing w:after="0" w:line="1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December 31, 2015, approximately 26% of our workforce was represented by various local labor unions. If our unionized workers were to engage in strikes, work stoppages or other slowdowns, we could experience a significant disruption of our operations and an increase in our operating costs, which could have an adverse impact on our consolidated financial condition, results of operations and cash flows. Additional groups of employees may seek union representation in the future and, if successful, the negotiation of collective bargaining agreements could divert management's attention and result in increased operating costs. If a greater percentage of our workforce becomes unionized, our consolidated financial condition, results of operations and cash flows could be adversely impacted due to the potential for increased operating costs.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obligation to fund multiemployer pension plans to which we contribute, or our withdrawal from such plans, may have an adverse impact on us.</w:t>
      </w:r>
    </w:p>
    <w:p>
      <w:pPr>
        <w:spacing w:after="0" w:line="11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contribute to 27 multiemployer pension plans under collective bargaining agreements (CBAs) covering union-represented employees. Approximately 21% of our total current employees participate in such multiemployer plans. We do not administer these plans and generally are not represented on the boards of trustees of these plans. The Pension Protection Act enacted in 2006 (the PPA) requires under-funded pension plans to improve their funding ratios. Based on the information available to us, we believe that some of the multiemployer plans to which we contribute are either “critical” or “endangered” as those terms are defined in the PPA. We cannot presently determine the amount of additional funding, if any, we may be required to make to these plans. However, plan assessments could have an adverse impact on our results of operations or cash flows for a given period.</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Further, under current law, upon the termination of a multiemployer pension plan, or in the event of a withdrawal by us (which we consider from time to time) or a mass withdrawal of contributing employers (each, a Withdrawal Event), we would be required to make payments to the plan for our proportionate share of the plan's unfunded vested liabilities. We cannot assure you that there will not be a Withdrawal Event with respect to any of the multiemployer pension plans to which we contribute or that, in the event of such a Withdrawal Event, the amounts we would be required to contribute would not have a material adverse impact on our consolidated financial condition, results of operations and cash flows.</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For additional discussion and detail regarding multiemployer pension plans see,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 Item 8 of this Form 10-K.</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costs of providing for pension benefits and related funding requirements are subject to changes in pension fund values and fluctuating actuarial assumptions, and may have a material adverse impact on our results of operations and cash flows.</w:t>
      </w:r>
    </w:p>
    <w:p>
      <w:pPr>
        <w:spacing w:after="0" w:line="3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sponsor a defined benefit pension plan that is funded with trustee assets invested in a diversified portfolio of debt and equity securities. Our costs for providing such benefits and related funding requirements are subject to changes in the market value of plan assets. Our pension expenses and related funding requirements are also subject to various actuarial calculations and assumptions, which may differ materially from actual results due to changing market and economic conditions, interest rates and other factors. A significant increase in our pension obligations and funding requirements could have a material adverse impact on our consolidated financial condition, results of operations and cash flows.</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loss of key personnel could have a material adverse effect on our consolidated financial condition, results of operations, cash flows and growth prospects.</w:t>
      </w:r>
    </w:p>
    <w:p>
      <w:pPr>
        <w:spacing w:after="0" w:line="3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future success depends on the continued contributions of several key employees and officers. The loss of the services of key employees and officers, whether such loss is through resignation or other causes, or the inability to attract additional qualified personnel, could have a material adverse effect on our financial condition, results of operations, cash flows and growth prospects.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 security incident could negatively impact our business and our relationships with customers.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use computers in substantially all aspects of our business operations. We also use mobile devices, social networking and other online activities to connect with our employees and our customers. Such uses give rise to cyber 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 While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 security risk. If we fail to assess and identify cyber security risks associated with acquisitions and new initiatives, we may become increasingly vulnerable to such risks. Additionally, while we have implemented measures to prevent security breaches and cyber incidents, our preventive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corporate office is located at 18500 North Allied Way, Phoenix, Arizona 85054, where we currently lease approximately 145,000 square feet of office space.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principal property and equipment consists of land, landfills, buildings, vehicles and equipment. We own or lease real property in the states in which we conduct operations. As of December 31, 2015, we owned or operated 340 collection operations, 201 transfer stations, 193 active landfills, 67 recycling centers, 8 treatment, recovery and disposal facilities, and 12 salt water disposal wells in 41 states and Puerto Rico. In the aggregate, our active solid waste landfills total approximately 106,000 acres, including approximately 37,100 permitted acres. We also have post-closure responsibility for 126 closed landfills. We believe that our property and equipment are adequate for our current needs.</w:t>
      </w:r>
    </w:p>
    <w:p>
      <w:pPr>
        <w:spacing w:after="0" w:line="1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Legal Proceedings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100" w:lineRule="exact"/>
        <w:rPr>
          <w:sz w:val="20"/>
          <w:szCs w:val="20"/>
          <w:color w:val="auto"/>
        </w:rPr>
      </w:pPr>
    </w:p>
    <w:p>
      <w:pPr>
        <w:jc w:val="both"/>
        <w:ind w:right="320"/>
        <w:spacing w:after="0" w:line="257" w:lineRule="auto"/>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7,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to our consolidated financial statements in Item 8 of this Form 10-K; and (2) environmental remediation liabilities, which are discussed in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to our consolidated financial statements in Item 8 of this Form 10-K</w:t>
      </w:r>
      <w:r>
        <w:rPr>
          <w:rFonts w:ascii="Arial" w:cs="Arial" w:eastAsia="Arial" w:hAnsi="Arial"/>
          <w:sz w:val="18"/>
          <w:szCs w:val="18"/>
          <w:i w:val="1"/>
          <w:iCs w:val="1"/>
          <w:color w:val="auto"/>
        </w:rPr>
        <w:t>.</w:t>
      </w:r>
    </w:p>
    <w:p>
      <w:pPr>
        <w:spacing w:after="0" w:line="13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accrue for legal proceedings when losses become probable and reasonably estimable. We have recorded an aggregate accrual of approximately $65 million relating to our outstanding legal proceedings as of December 31, 2015. As of the end of each applicable reporting period, we review each of our legal proceedings and, where it is probable that a liability has been incurred, we accrue for all probable and reasonably estimable losses. Where we are able to reasonably estimate a range of losses we may incur with respect to such a matter, we record an accrual for the amount within the range that constitutes our best estimate. If we are able to reasonably estimate a range but no amount within the range appears to be a better estimate than any other, we use the amount that is the low end of such range. If we had used the high ends of such ranges, our aggregate potential liability would be approximately $62 million higher than the amount recorded as of December 31, 2015.</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18" w:right="2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over Certain Environmental Matters Involving Governmental Authorities with Possible Sanctions of $100,000 or More</w:t>
      </w:r>
    </w:p>
    <w:p>
      <w:pPr>
        <w:spacing w:after="0" w:line="10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$100,000. We are disclosing the following matters in accordance with that requirement: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Bridgeton Landfill Matters - Regulatory</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July 23, 2012, the Missouri Department of Natural Resources (MDNR) issued a notice of violation (NOV) to the closed Bridgeton Landfill in Bridgeton, Missouri after it determined that a sub-surface smoldering event (SSE) was occurring at the landfill. The NOV specified required actions intended to prevent the spread of the SSE, offsite odors, and environmental pollution. On March 27, 2013, the Missouri Attorney General's Office, on behalf of MDNR, sued Republic Services, Inc., and our subsidiaries Allied Services, LLC, and Bridgeton Landfill, LLC in the Circuit Court of St. Louis County in connection with odors and leachate from the landfill. The action alleges, among other things, violations of the Missouri Solid Waste Management, Hazardous Waste Management, Clean Water, and Air Conservation Laws, and claims for nuisance, civil penalties, costs, and natural resource damages. The suit seeks a preliminary and permanent injunction requiring us to take measures to remedy the alleged resulting nuisance, civil penalties of approximately $37 million, and other relief. On May 13, 2013, the court entered a stipulated preliminary injunction under which, the Bridgeton Landfill, LLC agreed, among other things, to continue remedial work plans previously approved by MDNR and to continue reporting to MDNR. On June 19, 2014, the court entered an agreed amendment to the injunction providing for increased frequency in some carbon monoxide monitoring, three new rounds of air sampling, implementation of an Odor Management Plan, and cost reimbursement to MDNR. On October 1, 2015, we removed the case to the United States District Court for the Eastern District of Missouri. The Missouri Attorney General’s motion to remand the case to the Circuit Court of St. Louis County is pending.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Sunshine Canyon Landfill Matter</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Sunshine Canyon Landfill, in Sylmar, California, entered into settlement agreements with the South Coast Air Quality Management District (SCAQMD) in 2012 and 2013. The settlement agreements resolved claims for excess emission charges, civil penalties, and investigative and administrative costs relating to odor-related and surface emissions NOVs received from SCAQMD. Since the period covered by the 2013 settlement agreement through February 5, 2016, Sunshine Canyon has received an additional 84 NOVs from SCAQMD for odors and excess surface emissions. We have not received a demand from the SCAQMD for the payment of any further amounts, nor have we received from SCAQMD any proposed abatement order or other demand in connection with these NOVs.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Rainbow AQMD Matter</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Rainbow Transfer/Recycling, Inc. (Rainbow) has entered into a Stipulated Order of Abatement and a separate Settlement Agreement with the SCAQMD. The settlement agreement resolves Rainbow's potential liability for civil penalties under several NOVs issued by the SCAQMD against Rainbow for alleged violations of SCAQMD rules relating to facility enclosure requirements, odors, vehicle track-out and equipment emissions. Rainbow paid $170,000 to resolve these NOVs in January 2016.</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20" w:right="44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principal market for our common stock is the New York Stock Exchange, and it is traded under the symbol RSG. The following table sets forth the range of the high and low sale prices per share of our common stock on the New York Stock Exchange and the cash dividends declared per share of common stock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Dividends</w:t>
            </w:r>
          </w:p>
        </w:tc>
      </w:tr>
      <w:tr>
        <w:trPr>
          <w:trHeight w:val="230"/>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High</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Low</w:t>
            </w:r>
          </w:p>
        </w:tc>
        <w:tc>
          <w:tcPr>
            <w:tcW w:w="2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Declared</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2015:</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42.05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0.28</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43.71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Year Ended December 31, 2014:</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38.13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0.26</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0.28</w:t>
            </w:r>
          </w:p>
        </w:tc>
      </w:tr>
    </w:tbl>
    <w:p>
      <w:pPr>
        <w:spacing w:after="0" w:line="17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There were 662 holders of record of our common stock at February 4, 2016, which does not include beneficial owners for whom Cede &amp; Co. or others act as nominees.</w:t>
      </w:r>
    </w:p>
    <w:p>
      <w:pPr>
        <w:spacing w:after="0" w:line="11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February 2016, our board of directors declared a regular quarterly dividend of $0.30 per share for shareholders of record on April 1, 2016. We expect to continue to pay quarterly cash dividends, and we may consider increasing our dividends if we believe it will enhance shareholder value.</w:t>
      </w:r>
    </w:p>
    <w:p>
      <w:pPr>
        <w:spacing w:after="0" w:line="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the ability under our credit facilities to pay dividends and repurchase our common stock if we are in compliance with the financial covenants in our credit facilities. As of December 31, 2015, we were in compliance with those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relating to our purchases of shares of our common stock during the three months ended December 31, 2015:</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94"/>
              </w:rPr>
              <w:t>Approximate Dollar</w:t>
            </w:r>
          </w:p>
        </w:tc>
      </w:tr>
      <w:tr>
        <w:trPr>
          <w:trHeight w:val="216"/>
        </w:trPr>
        <w:tc>
          <w:tcPr>
            <w:tcW w:w="3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4"/>
              </w:rPr>
              <w:t>Shares Purchased as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90"/>
              </w:rPr>
              <w:t>Value of Shares that</w:t>
            </w:r>
          </w:p>
        </w:tc>
      </w:tr>
      <w:tr>
        <w:trPr>
          <w:trHeight w:val="216"/>
        </w:trPr>
        <w:tc>
          <w:tcPr>
            <w:tcW w:w="3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 Price Paid</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Part of Publicly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89"/>
              </w:rPr>
              <w:t>May Yet Be Purchased</w:t>
            </w:r>
          </w:p>
        </w:tc>
      </w:tr>
      <w:tr>
        <w:trPr>
          <w:trHeight w:val="230"/>
        </w:trPr>
        <w:tc>
          <w:tcPr>
            <w:tcW w:w="3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Purchased (a)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per Share (a)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Announced Program (b)</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91"/>
              </w:rPr>
              <w:t>Under the Program (c)</w:t>
            </w:r>
          </w:p>
        </w:tc>
      </w:tr>
      <w:tr>
        <w:trPr>
          <w:trHeight w:val="27"/>
        </w:trPr>
        <w:tc>
          <w:tcPr>
            <w:tcW w:w="3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2015</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810,000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932,585,438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November 2015</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854,900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854,900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895,138,013</w:t>
            </w:r>
          </w:p>
        </w:tc>
      </w:tr>
      <w:tr>
        <w:trPr>
          <w:trHeight w:val="27"/>
        </w:trPr>
        <w:tc>
          <w:tcPr>
            <w:tcW w:w="3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2015</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900,800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43.97</w:t>
            </w:r>
          </w:p>
        </w:tc>
        <w:tc>
          <w:tcPr>
            <w:tcW w:w="1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855,525,797</w:t>
            </w:r>
          </w:p>
        </w:tc>
      </w:tr>
      <w:tr>
        <w:trPr>
          <w:trHeight w:val="237"/>
        </w:trPr>
        <w:tc>
          <w:tcPr>
            <w:tcW w:w="310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2,565,700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2,565,700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40" w:hanging="652"/>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October 2015, our board of directors added $900.0 million to the existing share repurchase authorization that now extends through December 31, 2017.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to be purchased will be determined by our management, at its discretion, and will depend upon market conditions and other factors. The share repurchase program may be extended, suspended or discontinued at any time. As of December 31, 2015, 0.1 million repurchased shares were pending settlement and $3.7 million were unpaid and included within other accrued liabilities.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right="10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number of shares purchased as part of the publicly announced program were all purchased pursuant to the October 2013 and October 2015 authorizations.</w:t>
      </w:r>
    </w:p>
    <w:p>
      <w:pPr>
        <w:spacing w:after="0" w:line="62" w:lineRule="exact"/>
        <w:rPr>
          <w:rFonts w:ascii="Arial" w:cs="Arial" w:eastAsia="Arial" w:hAnsi="Arial"/>
          <w:sz w:val="18"/>
          <w:szCs w:val="18"/>
          <w:color w:val="auto"/>
        </w:rPr>
      </w:pPr>
    </w:p>
    <w:p>
      <w:pPr>
        <w:ind w:left="660" w:right="70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that may be purchased under the program exclude shares of common stock that may be surrendered to satisfy statutory minimum tax withholding obligations in connection with the vesting of restricted stock units issued to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three months ended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graph compares the performance of our common stock to the Standard &amp; Poor’s 500 Stock Index (S&amp;P 500 Index) and the Dow Jones</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Waste &amp; Disposal Services Index (DJ W&amp;DS Index). The graph covers the period from December 31, 2010 to December 31, 2015 and assumes that the value of the investment in our common stock and in each index was $100 as of December 31, 2010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77470</wp:posOffset>
            </wp:positionV>
            <wp:extent cx="5840095" cy="3344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009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20" w:type="dxa"/>
            <w:vAlign w:val="bottom"/>
            <w:gridSpan w:val="9"/>
          </w:tcPr>
          <w:p>
            <w:pPr>
              <w:jc w:val="right"/>
              <w:spacing w:after="0"/>
              <w:rPr>
                <w:sz w:val="20"/>
                <w:szCs w:val="20"/>
                <w:color w:val="auto"/>
              </w:rPr>
            </w:pPr>
            <w:r>
              <w:rPr>
                <w:rFonts w:ascii="Arial" w:cs="Arial" w:eastAsia="Arial" w:hAnsi="Arial"/>
                <w:sz w:val="18"/>
                <w:szCs w:val="18"/>
                <w:color w:val="auto"/>
              </w:rPr>
              <w:t>Indexed Returns for the Years Ended December 31,</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w w:val="84"/>
              </w:rPr>
              <w:t>2014</w:t>
            </w:r>
          </w:p>
        </w:tc>
        <w:tc>
          <w:tcPr>
            <w:tcW w:w="4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3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Republic Services,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151.99</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172.08</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102.11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156.82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178.28</w:t>
            </w: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180.75</w:t>
            </w:r>
          </w:p>
        </w:tc>
      </w:tr>
      <w:tr>
        <w:trPr>
          <w:trHeight w:val="27"/>
        </w:trPr>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DJ W&amp;DS Index</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108.70</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135.80</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154.48</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160.95</w:t>
            </w:r>
          </w:p>
        </w:tc>
      </w:tr>
      <w:tr>
        <w:trPr>
          <w:trHeight w:val="27"/>
        </w:trPr>
        <w:tc>
          <w:tcPr>
            <w:tcW w:w="3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 xml:space="preserve">You should read the following Selected Financial Data in conjunction with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which includes our consolidated financial statements and notes thereto as of December 31, 2015 and 2014 and for each of the three years ended December 31, 2015, 2014 and 2013 and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in this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See Notes 1, 2, 3, 8, 9, 10 and 12 to our consolidated financial statements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Form 10-K for a discussion of basis of presentation, significant accounting policies, business acquisitions and divestitures, landfill and environmental costs, debt, income taxes and stockholders’ equity and their effect on comparability of year-to-year data. These historical results are not necessarily indicative of the results to be expected in the future. Amounts are in millions, except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6"/>
          </w:tcPr>
          <w:p>
            <w:pPr>
              <w:jc w:val="right"/>
              <w:ind w:right="39"/>
              <w:spacing w:after="0"/>
              <w:rPr>
                <w:sz w:val="20"/>
                <w:szCs w:val="20"/>
                <w:color w:val="auto"/>
              </w:rPr>
            </w:pPr>
            <w:r>
              <w:rPr>
                <w:rFonts w:ascii="Arial" w:cs="Arial" w:eastAsia="Arial" w:hAnsi="Arial"/>
                <w:sz w:val="16"/>
                <w:szCs w:val="16"/>
                <w:color w:val="auto"/>
              </w:rPr>
              <w:t>Years Ended December 31,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9,115.0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8,803.3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8,417.2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8,118.3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8,192.9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Cost of operations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5,518.6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5,643.1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5,234.7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5,005.7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4,865.1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amortization and depletion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843.6</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Accretion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825.4</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w w:val="94"/>
              </w:rPr>
              <w:t>Negotiation and withdrawal costs - Central States Pension and Other Funds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(gain) on disposition of assets and impairments,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1,552.7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5260" w:type="dxa"/>
            <w:vAlign w:val="bottom"/>
          </w:tcPr>
          <w:p>
            <w:pPr>
              <w:ind w:left="38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1,195.9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885.3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823.9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7"/>
        </w:trPr>
        <w:tc>
          <w:tcPr>
            <w:tcW w:w="52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750.4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589.1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588.9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7"/>
        </w:trPr>
        <w:tc>
          <w:tcPr>
            <w:tcW w:w="5260" w:type="dxa"/>
            <w:vAlign w:val="bottom"/>
          </w:tcPr>
          <w:p>
            <w:pPr>
              <w:ind w:left="380"/>
              <w:spacing w:after="0"/>
              <w:rPr>
                <w:sz w:val="20"/>
                <w:szCs w:val="20"/>
                <w:color w:val="auto"/>
              </w:rPr>
            </w:pPr>
            <w:r>
              <w:rPr>
                <w:rFonts w:ascii="Arial" w:cs="Arial" w:eastAsia="Arial" w:hAnsi="Arial"/>
                <w:sz w:val="16"/>
                <w:szCs w:val="16"/>
                <w:color w:val="auto"/>
              </w:rPr>
              <w:t>Net income attributable to Republic Services, Inc.</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749.9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588.9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571.8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589.2</w:t>
            </w:r>
          </w:p>
        </w:tc>
        <w:tc>
          <w:tcPr>
            <w:tcW w:w="0" w:type="dxa"/>
            <w:vAlign w:val="bottom"/>
          </w:tcPr>
          <w:p>
            <w:pPr>
              <w:spacing w:after="0"/>
              <w:rPr>
                <w:sz w:val="1"/>
                <w:szCs w:val="1"/>
                <w:color w:val="auto"/>
              </w:rPr>
            </w:pPr>
          </w:p>
        </w:tc>
      </w:tr>
      <w:tr>
        <w:trPr>
          <w:trHeight w:val="73"/>
        </w:trPr>
        <w:tc>
          <w:tcPr>
            <w:tcW w:w="52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60" w:type="dxa"/>
            <w:vAlign w:val="bottom"/>
            <w:shd w:val="clear" w:color="auto" w:fill="CCEEFF"/>
          </w:tcPr>
          <w:p>
            <w:pPr>
              <w:ind w:left="180"/>
              <w:spacing w:after="0" w:line="177" w:lineRule="exact"/>
              <w:rPr>
                <w:sz w:val="20"/>
                <w:szCs w:val="20"/>
                <w:color w:val="auto"/>
              </w:rPr>
            </w:pPr>
            <w:r>
              <w:rPr>
                <w:rFonts w:ascii="Arial" w:cs="Arial" w:eastAsia="Arial" w:hAnsi="Arial"/>
                <w:sz w:val="16"/>
                <w:szCs w:val="16"/>
                <w:color w:val="auto"/>
                <w:w w:val="92"/>
              </w:rPr>
              <w:t>Basic earnings per share attributable to Republic Services, Inc. stockholders: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600"/>
              <w:spacing w:after="0"/>
              <w:rPr>
                <w:sz w:val="20"/>
                <w:szCs w:val="20"/>
                <w:color w:val="auto"/>
              </w:rPr>
            </w:pPr>
            <w:r>
              <w:rPr>
                <w:rFonts w:ascii="Arial" w:cs="Arial" w:eastAsia="Arial" w:hAnsi="Arial"/>
                <w:sz w:val="16"/>
                <w:szCs w:val="16"/>
                <w:color w:val="auto"/>
              </w:rPr>
              <w:t>Basic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73"/>
        </w:trPr>
        <w:tc>
          <w:tcPr>
            <w:tcW w:w="52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260" w:type="dxa"/>
            <w:vAlign w:val="bottom"/>
            <w:tcBorders>
              <w:bottom w:val="single" w:sz="8" w:color="CCEEFF"/>
            </w:tcBorders>
            <w:shd w:val="clear" w:color="auto" w:fill="CCEEFF"/>
          </w:tcPr>
          <w:p>
            <w:pPr>
              <w:ind w:left="600"/>
              <w:spacing w:after="0" w:line="177" w:lineRule="exact"/>
              <w:rPr>
                <w:sz w:val="20"/>
                <w:szCs w:val="20"/>
                <w:color w:val="auto"/>
              </w:rPr>
            </w:pPr>
            <w:r>
              <w:rPr>
                <w:rFonts w:ascii="Arial" w:cs="Arial" w:eastAsia="Arial" w:hAnsi="Arial"/>
                <w:sz w:val="16"/>
                <w:szCs w:val="16"/>
                <w:color w:val="auto"/>
              </w:rPr>
              <w:t>Weighted average common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earnings per share attributable to Republic Services, Inc.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340"/>
              <w:spacing w:after="0"/>
              <w:rPr>
                <w:sz w:val="20"/>
                <w:szCs w:val="20"/>
                <w:color w:val="auto"/>
              </w:rPr>
            </w:pPr>
            <w:r>
              <w:rPr>
                <w:rFonts w:ascii="Arial" w:cs="Arial" w:eastAsia="Arial" w:hAnsi="Arial"/>
                <w:sz w:val="16"/>
                <w:szCs w:val="16"/>
                <w:color w:val="auto"/>
              </w:rPr>
              <w:t>stockholders: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Diluted earnings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600"/>
              <w:spacing w:after="0"/>
              <w:rPr>
                <w:sz w:val="20"/>
                <w:szCs w:val="20"/>
                <w:color w:val="auto"/>
              </w:rPr>
            </w:pPr>
            <w:r>
              <w:rPr>
                <w:rFonts w:ascii="Arial" w:cs="Arial" w:eastAsia="Arial" w:hAnsi="Arial"/>
                <w:sz w:val="16"/>
                <w:szCs w:val="16"/>
                <w:color w:val="auto"/>
                <w:w w:val="91"/>
              </w:rPr>
              <w:t>Weighted average common and common equivalent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363.4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368.0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73"/>
        </w:trPr>
        <w:tc>
          <w:tcPr>
            <w:tcW w:w="52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2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Cash dividends per common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Other Operating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1,766.7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862.5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903.5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936.5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sales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Restricted cash and marketable securities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20,577.2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19,949.2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19,551.5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7,574.2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7,061.2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7,018.1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7,070.5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6,921.8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7,776.6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7,747.8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7,906.1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7,705.7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7,683.4</w:t>
            </w:r>
          </w:p>
        </w:tc>
        <w:tc>
          <w:tcPr>
            <w:tcW w:w="0" w:type="dxa"/>
            <w:vAlign w:val="bottom"/>
          </w:tcPr>
          <w:p>
            <w:pPr>
              <w:spacing w:after="0"/>
              <w:rPr>
                <w:sz w:val="1"/>
                <w:szCs w:val="1"/>
                <w:color w:val="auto"/>
              </w:rPr>
            </w:pPr>
          </w:p>
        </w:tc>
      </w:tr>
      <w:tr>
        <w:trPr>
          <w:trHeight w:val="33"/>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You should read the following discussion in conjunction with our audited consolidated financial statements and the notes thereto included elsewhere in Item 8 of this Form 10-K. This discussion may contain forward-looking statements that anticipate results that are subject to uncertainty. We discuss in more detail various factors that could cause actual results to differ from expectations in Item 1A, Risk Factors in this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Republic is the second largest provider of services in the domestic non-hazardous solid waste industry, as measured by revenue. As of December 31, 2015, we operated in 41 states and Puerto Rico through 340 collection operations, 201 transfer stations, 193 active landfills, 67 recycling centers, 8 treatment, recovery and disposal facilities, and 12 salt water disposal wells. We also operated 69 landfill gas and renewable energy projects and had post-closure responsibility for 126 closed landfills.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 for the year ended December 31, 2015 increased by 3.5% to $9,115.0 million compared to $8,803.3 million in 2014. This change in revenue is due to increases in average yield of 2.3%, volume of 1.1%, and acquisitions, net of divestitures of 2.2%, partially offset by decreases in fuel recovery fees of 1.4% and recycled commodities of 0.7%.</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summarizes our revenue, costs and expenses for the years ended December 31, 2015, 2014 and 2013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2015</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2014</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2013</w:t>
            </w:r>
          </w:p>
        </w:tc>
        <w:tc>
          <w:tcPr>
            <w:tcW w:w="860" w:type="dxa"/>
            <w:vAlign w:val="bottom"/>
          </w:tcPr>
          <w:p>
            <w:pPr>
              <w:spacing w:after="0"/>
              <w:rPr>
                <w:sz w:val="20"/>
                <w:szCs w:val="20"/>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62.2</w:t>
            </w: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2"/>
              </w:rPr>
              <w:t>Depreciation, amortization and depletion of</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22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898.7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9.6</w:t>
            </w: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Amortization of other intangible assets and</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Accretion</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w:t>
            </w: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3"/>
              </w:rPr>
              <w:t>Negotiation and withdrawal costs - Central</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220" w:type="dxa"/>
            <w:vAlign w:val="bottom"/>
          </w:tcPr>
          <w:p>
            <w:pPr>
              <w:ind w:left="280"/>
              <w:spacing w:after="0"/>
              <w:rPr>
                <w:sz w:val="20"/>
                <w:szCs w:val="20"/>
                <w:color w:val="auto"/>
              </w:rPr>
            </w:pPr>
            <w:r>
              <w:rPr>
                <w:rFonts w:ascii="Arial" w:cs="Arial" w:eastAsia="Arial" w:hAnsi="Arial"/>
                <w:sz w:val="18"/>
                <w:szCs w:val="18"/>
                <w:color w:val="auto"/>
              </w:rPr>
              <w:t>States Pension and Other Funds</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Loss (gain) on disposition of assets and</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impairments, net</w:t>
            </w:r>
          </w:p>
        </w:tc>
        <w:tc>
          <w:tcPr>
            <w:tcW w:w="3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21"/>
                <w:szCs w:val="21"/>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3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pre-tax income was $1,195.9 million, $885.3 million and $851.2 million for 2015, 2014 and 2013, respectively. Our net income attributable to Republic Services, Inc. was $749.9 million, or $2.13 per diluted share for 2015, compared to $547.6 million, or $1.53 per diluted share, for 2014, and $588.9 million, or $1.62 per diluted share, for 2013.</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each of 2015, 2014 and 2013, we recorded a number of charges, other expenses and benefits that impacted our pre-tax income, net income attributable to Republic Services, Inc. (net income – Republic) and diluted earnings per share as noted in the following table (in millions, except per share data). Additionally, see our “</w:t>
      </w:r>
      <w:r>
        <w:rPr>
          <w:rFonts w:ascii="Arial" w:cs="Arial" w:eastAsia="Arial" w:hAnsi="Arial"/>
          <w:sz w:val="18"/>
          <w:szCs w:val="18"/>
          <w:i w:val="1"/>
          <w:iCs w:val="1"/>
          <w:color w:val="auto"/>
        </w:rPr>
        <w:t>Cost of Operations</w:t>
      </w:r>
      <w:r>
        <w:rPr>
          <w:rFonts w:ascii="Arial" w:cs="Arial" w:eastAsia="Arial" w:hAnsi="Arial"/>
          <w:sz w:val="18"/>
          <w:szCs w:val="18"/>
          <w:color w:val="auto"/>
        </w:rPr>
        <w:t>,”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and “</w:t>
      </w:r>
      <w:r>
        <w:rPr>
          <w:rFonts w:ascii="Arial" w:cs="Arial" w:eastAsia="Arial" w:hAnsi="Arial"/>
          <w:sz w:val="18"/>
          <w:szCs w:val="18"/>
          <w:i w:val="1"/>
          <w:iCs w:val="1"/>
          <w:color w:val="auto"/>
        </w:rPr>
        <w:t>Income Taxes</w:t>
      </w:r>
      <w:r>
        <w:rPr>
          <w:rFonts w:ascii="Arial" w:cs="Arial" w:eastAsia="Arial" w:hAnsi="Arial"/>
          <w:sz w:val="18"/>
          <w:szCs w:val="18"/>
          <w:color w:val="auto"/>
        </w:rPr>
        <w:t>” discussions contained in the Results of Operations section of this Management’s Discussion and Analysis of Financial Condition and Results of Operations for a discussion of other items that impacted our earnings.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8"/>
          </w:tcPr>
          <w:p>
            <w:pPr>
              <w:jc w:val="center"/>
              <w:ind w:right="240"/>
              <w:spacing w:after="0"/>
              <w:rPr>
                <w:sz w:val="20"/>
                <w:szCs w:val="20"/>
                <w:color w:val="auto"/>
              </w:rPr>
            </w:pPr>
            <w:r>
              <w:rPr>
                <w:rFonts w:ascii="Arial" w:cs="Arial" w:eastAsia="Arial" w:hAnsi="Arial"/>
                <w:sz w:val="16"/>
                <w:szCs w:val="16"/>
                <w:color w:val="auto"/>
                <w:w w:val="90"/>
              </w:rPr>
              <w:t>Year Ended December 31, 2015</w:t>
            </w:r>
          </w:p>
        </w:tc>
        <w:tc>
          <w:tcPr>
            <w:tcW w:w="160" w:type="dxa"/>
            <w:vAlign w:val="bottom"/>
          </w:tcPr>
          <w:p>
            <w:pPr>
              <w:spacing w:after="0"/>
              <w:rPr>
                <w:sz w:val="17"/>
                <w:szCs w:val="17"/>
                <w:color w:val="auto"/>
              </w:rPr>
            </w:pPr>
          </w:p>
        </w:tc>
        <w:tc>
          <w:tcPr>
            <w:tcW w:w="2900" w:type="dxa"/>
            <w:vAlign w:val="bottom"/>
            <w:gridSpan w:val="8"/>
          </w:tcPr>
          <w:p>
            <w:pPr>
              <w:jc w:val="center"/>
              <w:ind w:right="220"/>
              <w:spacing w:after="0"/>
              <w:rPr>
                <w:sz w:val="20"/>
                <w:szCs w:val="20"/>
                <w:color w:val="auto"/>
              </w:rPr>
            </w:pPr>
            <w:r>
              <w:rPr>
                <w:rFonts w:ascii="Arial" w:cs="Arial" w:eastAsia="Arial" w:hAnsi="Arial"/>
                <w:sz w:val="16"/>
                <w:szCs w:val="16"/>
                <w:color w:val="auto"/>
                <w:w w:val="90"/>
              </w:rPr>
              <w:t>Year Ended December 31, 2014</w:t>
            </w:r>
          </w:p>
        </w:tc>
        <w:tc>
          <w:tcPr>
            <w:tcW w:w="160" w:type="dxa"/>
            <w:vAlign w:val="bottom"/>
          </w:tcPr>
          <w:p>
            <w:pPr>
              <w:spacing w:after="0"/>
              <w:rPr>
                <w:sz w:val="17"/>
                <w:szCs w:val="17"/>
                <w:color w:val="auto"/>
              </w:rPr>
            </w:pPr>
          </w:p>
        </w:tc>
        <w:tc>
          <w:tcPr>
            <w:tcW w:w="2740" w:type="dxa"/>
            <w:vAlign w:val="bottom"/>
            <w:gridSpan w:val="7"/>
          </w:tcPr>
          <w:p>
            <w:pPr>
              <w:jc w:val="center"/>
              <w:ind w:right="39"/>
              <w:spacing w:after="0"/>
              <w:rPr>
                <w:sz w:val="20"/>
                <w:szCs w:val="20"/>
                <w:color w:val="auto"/>
              </w:rPr>
            </w:pPr>
            <w:r>
              <w:rPr>
                <w:rFonts w:ascii="Arial" w:cs="Arial" w:eastAsia="Arial" w:hAnsi="Arial"/>
                <w:sz w:val="16"/>
                <w:szCs w:val="16"/>
                <w:color w:val="auto"/>
                <w:w w:val="89"/>
              </w:rPr>
              <w:t>Year Ended December 31, 2013</w:t>
            </w: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Diluted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Diluted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color w:val="auto"/>
                <w:w w:val="96"/>
              </w:rPr>
              <w:t>Diluted</w:t>
            </w:r>
          </w:p>
        </w:tc>
      </w:tr>
      <w:tr>
        <w:trPr>
          <w:trHeight w:val="203"/>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Net</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Earnings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Net</w:t>
            </w: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Earnings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Net</w:t>
            </w:r>
          </w:p>
        </w:tc>
        <w:tc>
          <w:tcPr>
            <w:tcW w:w="140" w:type="dxa"/>
            <w:vAlign w:val="bottom"/>
          </w:tcPr>
          <w:p>
            <w:pPr>
              <w:spacing w:after="0"/>
              <w:rPr>
                <w:sz w:val="17"/>
                <w:szCs w:val="17"/>
                <w:color w:val="auto"/>
              </w:rPr>
            </w:pP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1"/>
              </w:rPr>
              <w:t>Earnings</w:t>
            </w:r>
          </w:p>
        </w:tc>
      </w:tr>
      <w:tr>
        <w:trPr>
          <w:trHeight w:val="203"/>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color w:val="auto"/>
              </w:rPr>
              <w:t>Pre-tax</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Income -</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per</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color w:val="auto"/>
              </w:rPr>
              <w:t>Pre-tax</w:t>
            </w: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Income -</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per</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Pre-tax</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Income -</w:t>
            </w:r>
          </w:p>
        </w:tc>
        <w:tc>
          <w:tcPr>
            <w:tcW w:w="14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color w:val="auto"/>
                <w:w w:val="86"/>
              </w:rPr>
              <w:t>per</w:t>
            </w:r>
          </w:p>
        </w:tc>
      </w:tr>
      <w:tr>
        <w:trPr>
          <w:trHeight w:val="206"/>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Republic</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Republic</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Republic</w:t>
            </w:r>
          </w:p>
        </w:tc>
        <w:tc>
          <w:tcPr>
            <w:tcW w:w="140" w:type="dxa"/>
            <w:vAlign w:val="bottom"/>
          </w:tcPr>
          <w:p>
            <w:pPr>
              <w:spacing w:after="0"/>
              <w:rPr>
                <w:sz w:val="17"/>
                <w:szCs w:val="17"/>
                <w:color w:val="auto"/>
              </w:rPr>
            </w:pP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88"/>
              </w:rPr>
              <w:t>Share</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00"/>
        </w:trPr>
        <w:tc>
          <w:tcPr>
            <w:tcW w:w="2300" w:type="dxa"/>
            <w:vAlign w:val="bottom"/>
          </w:tcPr>
          <w:p>
            <w:pPr>
              <w:ind w:left="180"/>
              <w:spacing w:after="0"/>
              <w:rPr>
                <w:sz w:val="20"/>
                <w:szCs w:val="20"/>
                <w:color w:val="auto"/>
              </w:rPr>
            </w:pPr>
            <w:r>
              <w:rPr>
                <w:rFonts w:ascii="Arial" w:cs="Arial" w:eastAsia="Arial" w:hAnsi="Arial"/>
                <w:sz w:val="16"/>
                <w:szCs w:val="16"/>
                <w:color w:val="auto"/>
                <w:w w:val="95"/>
              </w:rPr>
              <w:t>Bridgeton (insurance recovery)</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3"/>
        </w:trPr>
        <w:tc>
          <w:tcPr>
            <w:tcW w:w="2300" w:type="dxa"/>
            <w:vAlign w:val="bottom"/>
          </w:tcPr>
          <w:p>
            <w:pPr>
              <w:ind w:left="340"/>
              <w:spacing w:after="0"/>
              <w:rPr>
                <w:sz w:val="20"/>
                <w:szCs w:val="20"/>
                <w:color w:val="auto"/>
              </w:rPr>
            </w:pPr>
            <w:r>
              <w:rPr>
                <w:rFonts w:ascii="Arial" w:cs="Arial" w:eastAsia="Arial" w:hAnsi="Arial"/>
                <w:sz w:val="16"/>
                <w:szCs w:val="16"/>
                <w:color w:val="auto"/>
              </w:rPr>
              <w:t>/ remediation charge and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2300" w:type="dxa"/>
            <w:vAlign w:val="bottom"/>
          </w:tcPr>
          <w:p>
            <w:pPr>
              <w:ind w:left="3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0.18</w:t>
            </w: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Negotiation and withdrawal</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23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0"/>
              </w:rPr>
              <w:t>costs - Central States Pension</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9"/>
        </w:trPr>
        <w:tc>
          <w:tcPr>
            <w:tcW w:w="2300" w:type="dxa"/>
            <w:vAlign w:val="bottom"/>
            <w:shd w:val="clear" w:color="auto" w:fill="CCEEFF"/>
          </w:tcPr>
          <w:p>
            <w:pPr>
              <w:ind w:left="340"/>
              <w:spacing w:after="0" w:line="239" w:lineRule="exact"/>
              <w:rPr>
                <w:sz w:val="20"/>
                <w:szCs w:val="20"/>
                <w:color w:val="auto"/>
              </w:rPr>
            </w:pPr>
            <w:r>
              <w:rPr>
                <w:rFonts w:ascii="Arial" w:cs="Arial" w:eastAsia="Arial" w:hAnsi="Arial"/>
                <w:sz w:val="16"/>
                <w:szCs w:val="16"/>
                <w:color w:val="auto"/>
              </w:rPr>
              <w:t>and Other Funds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r>
      <w:tr>
        <w:trPr>
          <w:trHeight w:val="270"/>
        </w:trPr>
        <w:tc>
          <w:tcPr>
            <w:tcW w:w="2300" w:type="dxa"/>
            <w:vAlign w:val="bottom"/>
          </w:tcPr>
          <w:p>
            <w:pPr>
              <w:ind w:left="180"/>
              <w:spacing w:after="0"/>
              <w:rPr>
                <w:sz w:val="20"/>
                <w:szCs w:val="20"/>
                <w:color w:val="auto"/>
              </w:rPr>
            </w:pPr>
            <w:r>
              <w:rPr>
                <w:rFonts w:ascii="Arial" w:cs="Arial" w:eastAsia="Arial" w:hAnsi="Arial"/>
                <w:sz w:val="16"/>
                <w:szCs w:val="16"/>
                <w:color w:val="auto"/>
              </w:rPr>
              <w:t>Restructuring charges</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0.02</w:t>
            </w:r>
          </w:p>
        </w:tc>
      </w:tr>
      <w:tr>
        <w:trPr>
          <w:trHeight w:val="220"/>
        </w:trPr>
        <w:tc>
          <w:tcPr>
            <w:tcW w:w="2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extinguishment of</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2300" w:type="dxa"/>
            <w:vAlign w:val="bottom"/>
            <w:shd w:val="clear" w:color="auto" w:fill="CCEEFF"/>
          </w:tcPr>
          <w:p>
            <w:pPr>
              <w:ind w:left="340"/>
              <w:spacing w:after="0" w:line="239" w:lineRule="exact"/>
              <w:rPr>
                <w:sz w:val="20"/>
                <w:szCs w:val="20"/>
                <w:color w:val="auto"/>
              </w:rPr>
            </w:pPr>
            <w:r>
              <w:rPr>
                <w:rFonts w:ascii="Arial" w:cs="Arial" w:eastAsia="Arial" w:hAnsi="Arial"/>
                <w:sz w:val="16"/>
                <w:szCs w:val="16"/>
                <w:color w:val="auto"/>
              </w:rPr>
              <w:t>debt</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300" w:type="dxa"/>
            <w:vAlign w:val="bottom"/>
          </w:tcPr>
          <w:p>
            <w:pPr>
              <w:ind w:left="180"/>
              <w:spacing w:after="0"/>
              <w:rPr>
                <w:sz w:val="20"/>
                <w:szCs w:val="20"/>
                <w:color w:val="auto"/>
              </w:rPr>
            </w:pPr>
            <w:r>
              <w:rPr>
                <w:rFonts w:ascii="Arial" w:cs="Arial" w:eastAsia="Arial" w:hAnsi="Arial"/>
                <w:sz w:val="16"/>
                <w:szCs w:val="16"/>
                <w:color w:val="auto"/>
              </w:rPr>
              <w:t>Loss (gain) on disposition of</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2300" w:type="dxa"/>
            <w:vAlign w:val="bottom"/>
          </w:tcPr>
          <w:p>
            <w:pPr>
              <w:ind w:left="340"/>
              <w:spacing w:after="0"/>
              <w:rPr>
                <w:sz w:val="20"/>
                <w:szCs w:val="20"/>
                <w:color w:val="auto"/>
              </w:rPr>
            </w:pPr>
            <w:r>
              <w:rPr>
                <w:rFonts w:ascii="Arial" w:cs="Arial" w:eastAsia="Arial" w:hAnsi="Arial"/>
                <w:sz w:val="16"/>
                <w:szCs w:val="16"/>
                <w:color w:val="auto"/>
                <w:w w:val="96"/>
              </w:rPr>
              <w:t>assets and impairments, net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 valuation allowance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17"/>
        </w:trPr>
        <w:tc>
          <w:tcPr>
            <w:tcW w:w="2300" w:type="dxa"/>
            <w:vAlign w:val="bottom"/>
          </w:tcPr>
          <w:p>
            <w:pPr>
              <w:ind w:left="280"/>
              <w:spacing w:after="0"/>
              <w:rPr>
                <w:sz w:val="20"/>
                <w:szCs w:val="20"/>
                <w:color w:val="auto"/>
              </w:rPr>
            </w:pPr>
            <w:r>
              <w:rPr>
                <w:rFonts w:ascii="Arial" w:cs="Arial" w:eastAsia="Arial" w:hAnsi="Arial"/>
                <w:sz w:val="16"/>
                <w:szCs w:val="16"/>
                <w:color w:val="auto"/>
              </w:rPr>
              <w:t>Total adjustments</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0.35</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722.3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(1) The aggregate impact of the noted items to adjusted diluted earnings per share totals to $0.01 for the year ended December 31, 2014.</w:t>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presenting adjusted pre-tax income, adjusted net income – Republic, and adjusted diluted earnings per share, which are not measures determined in accordance with accounting principles generally accepted in the United States (U.S. GAAP), provides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and costs and have recorded similar recoveries in prior periods, and similar types of adjustments can reasonably be expected to be recorded in future periods. In the case of the Bridgeton remediation charges and insurance recovery, we are adjusting such amounts due to their significant effect on our operating results; however, in the ordinary course of our business, we often incur remediation charges and recoveries that we do not adjust from our operating results. Our definition of adjusted pre-tax income, adjusted net income – Republic, and adjusted diluted earnings per share may not be comparable to similarly titled measures presented by other companies.</w:t>
      </w:r>
    </w:p>
    <w:p>
      <w:pPr>
        <w:spacing w:after="0" w:line="12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Bridgeton (insurance recovery) / remediation charge and other. </w:t>
      </w:r>
      <w:r>
        <w:rPr>
          <w:rFonts w:ascii="Arial" w:cs="Arial" w:eastAsia="Arial" w:hAnsi="Arial"/>
          <w:sz w:val="18"/>
          <w:szCs w:val="18"/>
          <w:color w:val="auto"/>
        </w:rPr>
        <w:t>During 2015, we collected an insurance recovery of $50.0 million related to our closed</w:t>
      </w:r>
      <w:r>
        <w:rPr>
          <w:rFonts w:ascii="Arial" w:cs="Arial" w:eastAsia="Arial" w:hAnsi="Arial"/>
          <w:sz w:val="18"/>
          <w:szCs w:val="18"/>
          <w:i w:val="1"/>
          <w:iCs w:val="1"/>
          <w:color w:val="auto"/>
        </w:rPr>
        <w:t xml:space="preserve"> </w:t>
      </w:r>
      <w:r>
        <w:rPr>
          <w:rFonts w:ascii="Arial" w:cs="Arial" w:eastAsia="Arial" w:hAnsi="Arial"/>
          <w:sz w:val="18"/>
          <w:szCs w:val="18"/>
          <w:color w:val="auto"/>
        </w:rPr>
        <w:t>Bridgeton Landfill in Missouri. As such, we recorded a reduction of remediation expenses included in our cost of operations. During 2014, we updated our cost and timeline estimates to build and operate a leachate management facility and related infrastructure, manage the remediation area and monitor the site. Accordingly, we recorded environmental remediation charges of $210.6 million. Additionally, we recorded certain remediation charges for the superfund site and ongoing litigation costs. During 2013, we recorded environmental remediation charges in the amount of $108.7 million to manage the remediation area and monitor the site.</w:t>
      </w:r>
    </w:p>
    <w:p>
      <w:pPr>
        <w:spacing w:after="0" w:line="13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Negotiation and withdrawal costs - Central States Pension and Other Funds. </w:t>
      </w:r>
      <w:r>
        <w:rPr>
          <w:rFonts w:ascii="Arial" w:cs="Arial" w:eastAsia="Arial" w:hAnsi="Arial"/>
          <w:sz w:val="18"/>
          <w:szCs w:val="18"/>
          <w:color w:val="auto"/>
        </w:rPr>
        <w:t>During 2015, we recorded charges to earnings of $4.1 million for withdrawal</w:t>
      </w:r>
      <w:r>
        <w:rPr>
          <w:rFonts w:ascii="Arial" w:cs="Arial" w:eastAsia="Arial" w:hAnsi="Arial"/>
          <w:sz w:val="18"/>
          <w:szCs w:val="18"/>
          <w:i w:val="1"/>
          <w:iCs w:val="1"/>
          <w:color w:val="auto"/>
        </w:rPr>
        <w:t xml:space="preserve"> </w:t>
      </w:r>
      <w:r>
        <w:rPr>
          <w:rFonts w:ascii="Arial" w:cs="Arial" w:eastAsia="Arial" w:hAnsi="Arial"/>
          <w:sz w:val="18"/>
          <w:szCs w:val="18"/>
          <w:color w:val="auto"/>
        </w:rPr>
        <w:t>events at the multiemployer pension plan to which we contribute related to our operations in Puerto Rico, as well as $0.4 million of legal charges. During 2014, we recorded charges to earnings of $1.5 million, primarily related to costs associated with our 2013 withdrawal from the Central States, Southeast and Southwest Areas Pension Fund (the Fund). During 2013, we recorded charges to earnings of $157.7 million primarily related to our negotiation and withdrawal liability from the Fund.</w:t>
      </w:r>
    </w:p>
    <w:p>
      <w:pPr>
        <w:spacing w:after="0" w:line="134"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During the fourth quarter of 2012, we announced a restructuring of our field and corporate operations to create a more efficient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company. These changes included consolidating our field regions from four to three and our areas from 28 to 20, relocating office space, and reducing administrative staffing levels. During 2014, we incurred costs of $1.8 million due to a change in estimate of amounts recoverable from sublet income associated with abandoned office space with non-cancellable lease terms. During 2013, we incurred $8.6 million of restructuring charges, which consisted of severance and other employee termination benefits, relocation benefits, and the closure of offices with lease agreements with non-cancelable terms. For a detailed discussion of our 2016 restructuring, see our “</w:t>
      </w:r>
      <w:r>
        <w:rPr>
          <w:rFonts w:ascii="Arial" w:cs="Arial" w:eastAsia="Arial" w:hAnsi="Arial"/>
          <w:sz w:val="17"/>
          <w:szCs w:val="17"/>
          <w:i w:val="1"/>
          <w:iCs w:val="1"/>
          <w:color w:val="auto"/>
        </w:rPr>
        <w:t>Recent Developments</w:t>
      </w:r>
      <w:r>
        <w:rPr>
          <w:rFonts w:ascii="Arial" w:cs="Arial" w:eastAsia="Arial" w:hAnsi="Arial"/>
          <w:sz w:val="17"/>
          <w:szCs w:val="17"/>
          <w:color w:val="auto"/>
        </w:rPr>
        <w:t>” discussion contained in this Management's Discussion and Analysis of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We refinanced our credit facilities and certain of our tax-exempt financings in 2014, resulting in non-cash charges for</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issuance costs of $1.4 million. During 2013, we refinanced certain of our tax-exempt financings that resulted in a $2.1 million non-cash charge for deferred issuance costs. For a more detailed discussion of the components of these costs and the debt series to which they relate, see our “</w:t>
      </w:r>
      <w:r>
        <w:rPr>
          <w:rFonts w:ascii="Arial" w:cs="Arial" w:eastAsia="Arial" w:hAnsi="Arial"/>
          <w:sz w:val="18"/>
          <w:szCs w:val="18"/>
          <w:i w:val="1"/>
          <w:iCs w:val="1"/>
          <w:color w:val="auto"/>
        </w:rPr>
        <w:t>Loss on</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 of Debt</w:t>
      </w:r>
      <w:r>
        <w:rPr>
          <w:rFonts w:ascii="Arial" w:cs="Arial" w:eastAsia="Arial" w:hAnsi="Arial"/>
          <w:sz w:val="18"/>
          <w:szCs w:val="18"/>
          <w:color w:val="auto"/>
        </w:rPr>
        <w:t>” discussion contained in the Results of Operations section of this Management's Discussion and Analysis of Financial Condition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w:t>
      </w:r>
    </w:p>
    <w:p>
      <w:pPr>
        <w:spacing w:after="0" w:line="134"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Loss (gain) on disposition of assets and impairments, net. </w:t>
      </w:r>
      <w:r>
        <w:rPr>
          <w:rFonts w:ascii="Arial" w:cs="Arial" w:eastAsia="Arial" w:hAnsi="Arial"/>
          <w:sz w:val="17"/>
          <w:szCs w:val="17"/>
          <w:color w:val="auto"/>
        </w:rPr>
        <w:t>During 2014, we recorded a charge to earnings of $20.0 million primarily related to costs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one of our divested landfills, of which $14.1 million is related to closure and post-closure costs and $5.9 million is related to remediation expenditures. During 2013, we recorded a net gain on disposition of assets of and impairments related to a divestiture of $1.9 million. For a more detailed discussion of the components of this, see our “</w:t>
      </w:r>
      <w:r>
        <w:rPr>
          <w:rFonts w:ascii="Arial" w:cs="Arial" w:eastAsia="Arial" w:hAnsi="Arial"/>
          <w:sz w:val="17"/>
          <w:szCs w:val="17"/>
          <w:i w:val="1"/>
          <w:iCs w:val="1"/>
          <w:color w:val="auto"/>
        </w:rPr>
        <w:t>Loss (gain) on Disposition of Assets and Impairments, Net</w:t>
      </w:r>
      <w:r>
        <w:rPr>
          <w:rFonts w:ascii="Arial" w:cs="Arial" w:eastAsia="Arial" w:hAnsi="Arial"/>
          <w:sz w:val="17"/>
          <w:szCs w:val="17"/>
          <w:color w:val="auto"/>
        </w:rPr>
        <w:t>” discussion contained in the Results of Operations section of this Management’s Discussion and Analysis of Financial Condition and Results of Operations.</w:t>
      </w:r>
    </w:p>
    <w:p>
      <w:pPr>
        <w:spacing w:after="0" w:line="11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Tax valuation allowance adjustment. </w:t>
      </w:r>
      <w:r>
        <w:rPr>
          <w:rFonts w:ascii="Arial" w:cs="Arial" w:eastAsia="Arial" w:hAnsi="Arial"/>
          <w:sz w:val="16"/>
          <w:szCs w:val="16"/>
          <w:color w:val="auto"/>
        </w:rPr>
        <w:t>During the fourth quarter of 2013, we reduced our valuation allowance related to certain deferred tax assets for state net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loss carryforwards due to our determination that it is more likely than not that a portion of these carryforwards would be utilized in future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Financial Guidance</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2016, we will continue to focus on managing the controllable aspects of our business by enhancing the quality of our revenue, investing in profitable growth opportunities and reducing costs. Our team remains focused on executing our strategy to deliver consistent earnings and free cash flow growth, and improve return on invested capital. We are committed to an efficient capital structure, maintaining our investment grade credit ratings and increasing cash returns to our shareholders.</w:t>
      </w:r>
    </w:p>
    <w:p>
      <w:pPr>
        <w:spacing w:after="0" w:line="1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guidance is based on current economic conditions and does not assume any significant changes in the overall economy in 2016. Specific guidance follows: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expect 2016 revenue to increase by approximately 2.5% to 3.0% comprised of the following: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2220" w:type="dxa"/>
            <w:vAlign w:val="bottom"/>
          </w:tcPr>
          <w:p>
            <w:pPr>
              <w:jc w:val="right"/>
              <w:ind w:right="706"/>
              <w:spacing w:after="0"/>
              <w:rPr>
                <w:sz w:val="20"/>
                <w:szCs w:val="20"/>
                <w:color w:val="auto"/>
              </w:rPr>
            </w:pPr>
            <w:r>
              <w:rPr>
                <w:rFonts w:ascii="Arial" w:cs="Arial" w:eastAsia="Arial" w:hAnsi="Arial"/>
                <w:sz w:val="18"/>
                <w:szCs w:val="18"/>
                <w:color w:val="auto"/>
              </w:rPr>
              <w:t>Increase</w:t>
            </w:r>
          </w:p>
        </w:tc>
      </w:tr>
      <w:tr>
        <w:trPr>
          <w:trHeight w:val="230"/>
        </w:trPr>
        <w:tc>
          <w:tcPr>
            <w:tcW w:w="9160" w:type="dxa"/>
            <w:vAlign w:val="bottom"/>
          </w:tcPr>
          <w:p>
            <w:pPr>
              <w:spacing w:after="0"/>
              <w:rPr>
                <w:sz w:val="20"/>
                <w:szCs w:val="20"/>
                <w:color w:val="auto"/>
              </w:rPr>
            </w:pPr>
          </w:p>
        </w:tc>
        <w:tc>
          <w:tcPr>
            <w:tcW w:w="2220" w:type="dxa"/>
            <w:vAlign w:val="bottom"/>
          </w:tcPr>
          <w:p>
            <w:pPr>
              <w:jc w:val="right"/>
              <w:ind w:right="626"/>
              <w:spacing w:after="0"/>
              <w:rPr>
                <w:sz w:val="20"/>
                <w:szCs w:val="20"/>
                <w:color w:val="auto"/>
              </w:rPr>
            </w:pPr>
            <w:r>
              <w:rPr>
                <w:rFonts w:ascii="Arial" w:cs="Arial" w:eastAsia="Arial" w:hAnsi="Arial"/>
                <w:sz w:val="18"/>
                <w:szCs w:val="18"/>
                <w:color w:val="auto"/>
              </w:rPr>
              <w:t>(Decrease)</w:t>
            </w:r>
          </w:p>
        </w:tc>
      </w:tr>
      <w:tr>
        <w:trPr>
          <w:trHeight w:val="27"/>
        </w:trPr>
        <w:tc>
          <w:tcPr>
            <w:tcW w:w="91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yield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Volume</w:t>
            </w:r>
          </w:p>
        </w:tc>
        <w:tc>
          <w:tcPr>
            <w:tcW w:w="2220" w:type="dxa"/>
            <w:vAlign w:val="bottom"/>
          </w:tcPr>
          <w:p>
            <w:pPr>
              <w:jc w:val="right"/>
              <w:ind w:right="86"/>
              <w:spacing w:after="0"/>
              <w:rPr>
                <w:sz w:val="20"/>
                <w:szCs w:val="20"/>
                <w:color w:val="auto"/>
              </w:rPr>
            </w:pPr>
            <w:r>
              <w:rPr>
                <w:rFonts w:ascii="Arial" w:cs="Arial" w:eastAsia="Arial" w:hAnsi="Arial"/>
                <w:sz w:val="18"/>
                <w:szCs w:val="18"/>
                <w:color w:val="auto"/>
              </w:rPr>
              <w:t>0.5 to 1.0</w:t>
            </w:r>
          </w:p>
        </w:tc>
      </w:tr>
      <w:tr>
        <w:trPr>
          <w:trHeight w:val="27"/>
        </w:trPr>
        <w:tc>
          <w:tcPr>
            <w:tcW w:w="91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97"/>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services</w:t>
            </w:r>
          </w:p>
        </w:tc>
        <w:tc>
          <w:tcPr>
            <w:tcW w:w="2220" w:type="dxa"/>
            <w:vAlign w:val="bottom"/>
            <w:shd w:val="clear" w:color="auto" w:fill="CCEEFF"/>
          </w:tcPr>
          <w:p>
            <w:pPr>
              <w:jc w:val="right"/>
              <w:ind w:right="86"/>
              <w:spacing w:after="0"/>
              <w:rPr>
                <w:sz w:val="20"/>
                <w:szCs w:val="20"/>
                <w:color w:val="auto"/>
              </w:rPr>
            </w:pPr>
            <w:r>
              <w:rPr>
                <w:rFonts w:ascii="Arial" w:cs="Arial" w:eastAsia="Arial" w:hAnsi="Arial"/>
                <w:sz w:val="22"/>
                <w:szCs w:val="22"/>
                <w:color w:val="auto"/>
              </w:rPr>
              <w:t>—</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Fuel recovery fees</w:t>
            </w:r>
          </w:p>
        </w:tc>
        <w:tc>
          <w:tcPr>
            <w:tcW w:w="2220" w:type="dxa"/>
            <w:vAlign w:val="bottom"/>
          </w:tcPr>
          <w:p>
            <w:pPr>
              <w:jc w:val="right"/>
              <w:ind w:right="86"/>
              <w:spacing w:after="0"/>
              <w:rPr>
                <w:sz w:val="20"/>
                <w:szCs w:val="20"/>
                <w:color w:val="auto"/>
              </w:rPr>
            </w:pPr>
            <w:r>
              <w:rPr>
                <w:rFonts w:ascii="Arial" w:cs="Arial" w:eastAsia="Arial" w:hAnsi="Arial"/>
                <w:sz w:val="18"/>
                <w:szCs w:val="18"/>
                <w:color w:val="auto"/>
              </w:rPr>
              <w:t>(1.0)</w:t>
            </w:r>
          </w:p>
        </w:tc>
      </w:tr>
      <w:tr>
        <w:trPr>
          <w:trHeight w:val="27"/>
        </w:trPr>
        <w:tc>
          <w:tcPr>
            <w:tcW w:w="91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97"/>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Recycled commodities</w:t>
            </w:r>
          </w:p>
        </w:tc>
        <w:tc>
          <w:tcPr>
            <w:tcW w:w="2220" w:type="dxa"/>
            <w:vAlign w:val="bottom"/>
            <w:shd w:val="clear" w:color="auto" w:fill="CCEEFF"/>
          </w:tcPr>
          <w:p>
            <w:pPr>
              <w:jc w:val="right"/>
              <w:ind w:right="86"/>
              <w:spacing w:after="0"/>
              <w:rPr>
                <w:sz w:val="20"/>
                <w:szCs w:val="20"/>
                <w:color w:val="auto"/>
              </w:rPr>
            </w:pPr>
            <w:r>
              <w:rPr>
                <w:rFonts w:ascii="Arial" w:cs="Arial" w:eastAsia="Arial" w:hAnsi="Arial"/>
                <w:sz w:val="22"/>
                <w:szCs w:val="22"/>
                <w:color w:val="auto"/>
              </w:rPr>
              <w:t>—</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220" w:type="dxa"/>
            <w:vAlign w:val="bottom"/>
          </w:tcPr>
          <w:p>
            <w:pPr>
              <w:jc w:val="right"/>
              <w:ind w:right="86"/>
              <w:spacing w:after="0"/>
              <w:rPr>
                <w:sz w:val="20"/>
                <w:szCs w:val="20"/>
                <w:color w:val="auto"/>
              </w:rPr>
            </w:pPr>
            <w:r>
              <w:rPr>
                <w:rFonts w:ascii="Arial" w:cs="Arial" w:eastAsia="Arial" w:hAnsi="Arial"/>
                <w:sz w:val="18"/>
                <w:szCs w:val="18"/>
                <w:color w:val="auto"/>
              </w:rPr>
              <w:t>1.0</w:t>
            </w:r>
          </w:p>
        </w:tc>
      </w:tr>
      <w:tr>
        <w:trPr>
          <w:trHeight w:val="27"/>
        </w:trPr>
        <w:tc>
          <w:tcPr>
            <w:tcW w:w="91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69"/>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2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8"/>
                <w:szCs w:val="18"/>
                <w:color w:val="auto"/>
              </w:rPr>
              <w:t>2.5 to 3.0%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price are restricted on approximately 50% of our annual service revenue. Of these restricted pricing arrangements:</w:t>
      </w:r>
    </w:p>
    <w:p>
      <w:pPr>
        <w:spacing w:after="0" w:line="117" w:lineRule="exact"/>
        <w:rPr>
          <w:sz w:val="20"/>
          <w:szCs w:val="20"/>
          <w:color w:val="auto"/>
        </w:rPr>
      </w:pPr>
    </w:p>
    <w:p>
      <w:pPr>
        <w:ind w:left="660" w:right="1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60% of the revenue has price changes based on fluctuations in a specific index (primarily the consumer price index) as defined in the contract;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20% of the revenue has fixed price increases based on stated contract terms;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20% of the revenue has price changes based on a cost plus a specific profit margin or other measurement.</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consumer price index varies from a single historical stated period of time or an average of trailing historical rates over a stated period of time. In addition, the initial impact of pricing resets typically lags 6 to 12 months from the end of the index measurement period to the date the revised pricing goes into effect. As a result, current changes in a specific index may not manifest themselves in our reported pricing for several quarters into the future.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Diluted Earnings per Share</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is a summary of anticipated adjusted diluted earnings per share for the year ending December 31, 2016 compared to the actual adjusted diluted earnings per share for the year ended December 31, 2015. Adjusted diluted earnings per share is not a measure determined in accordance with U.S. GAAP:</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(Anticipated)</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6"/>
              </w:rPr>
              <w:t>(Actual)</w:t>
            </w:r>
          </w:p>
        </w:tc>
      </w:tr>
      <w:tr>
        <w:trPr>
          <w:trHeight w:val="216"/>
        </w:trPr>
        <w:tc>
          <w:tcPr>
            <w:tcW w:w="72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Year Ending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6"/>
              </w:rPr>
              <w:t>Year Ended</w:t>
            </w:r>
          </w:p>
        </w:tc>
      </w:tr>
      <w:tr>
        <w:trPr>
          <w:trHeight w:val="257"/>
        </w:trPr>
        <w:tc>
          <w:tcPr>
            <w:tcW w:w="72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31, 2016</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9"/>
              </w:rPr>
              <w:t>December 31, 2015</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$ 2.07</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- 2.11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Bridgeton insurance recovery</w:t>
            </w:r>
          </w:p>
        </w:tc>
        <w:tc>
          <w:tcPr>
            <w:tcW w:w="15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Withdrawal costs - Other Funds</w:t>
            </w:r>
          </w:p>
        </w:tc>
        <w:tc>
          <w:tcPr>
            <w:tcW w:w="15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Adjusted diluted earnings per share</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$ 2.13</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- 2.17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7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2016 anticipated adjusted diluted earnings per share assumes an effective tax rate of approximately 39.5%.</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believe that the presentation of adjusted diluted earnings per share, which excludes restructuring charges, Bridgeton insurance recovery, and withdrawal costs - Other Funds, provides an understanding of operational activities before the financial impact of certain items. We use this measure, and believe investors will find it helpful, in understanding the ongoing performance of our operations separate from items that have a disproportionate impact on our results for a particular period. We have incurred comparable charges and costs and have recorded similar recoveries in prior periods, and similar types of adjustments can reasonably be expected to be recorded in future periods. Our definition of adjusted diluted earnings per share may not be comparable to similarly titled measures presented by other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2016, we anticipate receiving approximately $900 million of property and equipment, net of proceeds from sales of property and equipment,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Trucks and equipment</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Landfill</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9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Containers</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Facilities and other</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9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received during 2016</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Proceeds from sales of property and equipment</w:t>
            </w:r>
          </w:p>
        </w:tc>
        <w:tc>
          <w:tcPr>
            <w:tcW w:w="9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received, net of proceeds, during 2016</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January 2016, we realigned our field support functions by combining two organizational layers into one. This includes the elimination of our three regions, the consolidation of our 20 areas into 10 and the streamlining of select roles at our Phoenix headquarters. We will reinvest and deploy resources into our areas by creating 10 area offices equipped with enhanced teams of operators and functional support roles. We expect to reduce administrative staffing levels, relocate office space and close certain office locations. As such, we will incur restructuring charges of approximately $25 million primarily for severance benefits, transition costs and lease termination costs. Substantially all of these charges will be recorded in our corporate segment, and we expect the majority of the charges to be incurred in the first half of 2016. We expect the savings realized from these restructuring efforts will be re-invested in our customer-focused programs and other initiatives we recently launched.</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Additionally, as part of these customer initiatives, we also will be consolidating our call center operations. Over the next two years, we will consolidate over 100 customer service locations into three Customer Resource Centers. The new state-of-the-art facilities and the technology deployed will provide our customer service employees with the tools and capabilities they need to provide better service to customers across a myriad of touch points, including voice, email, text, social channels and live chat. We expect severance and other restructuring related charges may approximate $10 million over the consolidation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generate revenue primarily from our solid waste collection operations. Our remaining revenue is from other services, including transfer station, landfill disposal, recycling, and energy services. Our residential and small-container commercial collection operations in some markets are based on long-term contracts with municipalities. Certain of our municipal contracts have annual price escalation clauses that are tied to changes in an underlying base index such as the consumer price index. We generally provide small-container commercial and large-container industrial collection services to customers under contracts with terms up to three years. Our transfer stations, landfills and, to a lesser extent, our recycling facilities generate revenue from disposal or tipping fees charged to third parties. In general, we integrate our recycling operations with our collection operations and obtain revenue from the sale of recycled commodities. Our revenue from energy services consists mainly of fees we charge for the treatment of liquid and solid waste derived from the production of oil and natural gas, as well as waste generated by coal-fired power plants. Other non-core revenue consists primarily of revenue from National Accounts, which represents the portion of revenue generated from nationwide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reflects our revenue by service line for the years ended December 31, 2015, 2014 and 2013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2015</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2014</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2013</w:t>
            </w:r>
          </w:p>
        </w:tc>
        <w:tc>
          <w:tcPr>
            <w:tcW w:w="920" w:type="dxa"/>
            <w:vAlign w:val="bottom"/>
          </w:tcPr>
          <w:p>
            <w:pPr>
              <w:spacing w:after="0"/>
              <w:rPr>
                <w:sz w:val="20"/>
                <w:szCs w:val="20"/>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2,242.3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2,193.6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2,175.5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Small-container commercial</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31.1</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Large-container industrial</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1,890.2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1,784.0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1,639.4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19.5</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7"/>
        </w:trPr>
        <w:tc>
          <w:tcPr>
            <w:tcW w:w="2580" w:type="dxa"/>
            <w:vAlign w:val="bottom"/>
          </w:tcPr>
          <w:p>
            <w:pPr>
              <w:ind w:left="380"/>
              <w:spacing w:after="0"/>
              <w:rPr>
                <w:sz w:val="20"/>
                <w:szCs w:val="20"/>
                <w:color w:val="auto"/>
              </w:rPr>
            </w:pPr>
            <w:r>
              <w:rPr>
                <w:rFonts w:ascii="Arial" w:cs="Arial" w:eastAsia="Arial" w:hAnsi="Arial"/>
                <w:sz w:val="18"/>
                <w:szCs w:val="18"/>
                <w:color w:val="auto"/>
              </w:rPr>
              <w:t>Total collection</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6,972.2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6,738.1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6,466.5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76.8</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Less: intercompany</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 net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Landfill</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2,036.4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1,975.8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1,923.0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intercompany</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2580" w:type="dxa"/>
            <w:vAlign w:val="bottom"/>
          </w:tcPr>
          <w:p>
            <w:pPr>
              <w:ind w:left="180"/>
              <w:spacing w:after="0"/>
              <w:rPr>
                <w:sz w:val="20"/>
                <w:szCs w:val="20"/>
                <w:color w:val="auto"/>
              </w:rPr>
            </w:pPr>
            <w:r>
              <w:rPr>
                <w:rFonts w:ascii="Arial" w:cs="Arial" w:eastAsia="Arial" w:hAnsi="Arial"/>
                <w:sz w:val="18"/>
                <w:szCs w:val="18"/>
                <w:color w:val="auto"/>
              </w:rPr>
              <w:t>Landfill, net</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1,047.7</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12.1</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services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recycled commodities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Other non-core</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9,115.0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8,803.3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8,417.2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changes in components of our revenue, as a percentage of total revenue, for the years ended December 31, 2015, 2014 and 2013: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gridSpan w:val="2"/>
          </w:tcPr>
          <w:p>
            <w:pPr>
              <w:ind w:left="7460"/>
              <w:spacing w:after="0"/>
              <w:rPr>
                <w:sz w:val="20"/>
                <w:szCs w:val="20"/>
                <w:color w:val="auto"/>
              </w:rPr>
            </w:pPr>
            <w:r>
              <w:rPr>
                <w:rFonts w:ascii="Arial" w:cs="Arial" w:eastAsia="Arial" w:hAnsi="Arial"/>
                <w:sz w:val="18"/>
                <w:szCs w:val="18"/>
                <w:color w:val="auto"/>
                <w:w w:val="89"/>
              </w:rPr>
              <w:t>2015</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ind w:left="540"/>
              <w:spacing w:after="0"/>
              <w:rPr>
                <w:sz w:val="20"/>
                <w:szCs w:val="20"/>
                <w:color w:val="auto"/>
              </w:rPr>
            </w:pPr>
            <w:r>
              <w:rPr>
                <w:rFonts w:ascii="Arial" w:cs="Arial" w:eastAsia="Arial" w:hAnsi="Arial"/>
                <w:sz w:val="18"/>
                <w:szCs w:val="18"/>
                <w:color w:val="auto"/>
              </w:rPr>
              <w:t>2013</w:t>
            </w:r>
          </w:p>
        </w:tc>
      </w:tr>
      <w:tr>
        <w:trPr>
          <w:trHeight w:val="27"/>
        </w:trPr>
        <w:tc>
          <w:tcPr>
            <w:tcW w:w="6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yield</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w w:val="97"/>
              </w:rPr>
              <w:t>1.3%</w:t>
            </w:r>
          </w:p>
        </w:tc>
      </w:tr>
      <w:tr>
        <w:trPr>
          <w:trHeight w:val="24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Fuel recovery fees</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w w:val="91"/>
              </w:rPr>
              <w:t>(1.4)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20" w:type="dxa"/>
            <w:vAlign w:val="bottom"/>
          </w:tcPr>
          <w:p>
            <w:pPr>
              <w:ind w:left="1000"/>
              <w:spacing w:after="0"/>
              <w:rPr>
                <w:sz w:val="20"/>
                <w:szCs w:val="20"/>
                <w:color w:val="auto"/>
              </w:rPr>
            </w:pPr>
            <w:r>
              <w:rPr>
                <w:rFonts w:ascii="Arial" w:cs="Arial" w:eastAsia="Arial" w:hAnsi="Arial"/>
                <w:sz w:val="18"/>
                <w:szCs w:val="18"/>
                <w:color w:val="auto"/>
              </w:rPr>
              <w:t>0.3</w:t>
            </w:r>
          </w:p>
        </w:tc>
      </w:tr>
      <w:tr>
        <w:trPr>
          <w:trHeight w:val="27"/>
        </w:trPr>
        <w:tc>
          <w:tcPr>
            <w:tcW w:w="6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price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1.6</w:t>
            </w:r>
          </w:p>
        </w:tc>
      </w:tr>
      <w:tr>
        <w:trPr>
          <w:trHeight w:val="24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20" w:type="dxa"/>
            <w:vAlign w:val="bottom"/>
          </w:tcPr>
          <w:p>
            <w:pPr>
              <w:ind w:left="1000"/>
              <w:spacing w:after="0"/>
              <w:rPr>
                <w:sz w:val="20"/>
                <w:szCs w:val="20"/>
                <w:color w:val="auto"/>
              </w:rPr>
            </w:pPr>
            <w:r>
              <w:rPr>
                <w:rFonts w:ascii="Arial" w:cs="Arial" w:eastAsia="Arial" w:hAnsi="Arial"/>
                <w:sz w:val="18"/>
                <w:szCs w:val="18"/>
                <w:color w:val="auto"/>
              </w:rPr>
              <w:t>1.3</w:t>
            </w:r>
          </w:p>
        </w:tc>
      </w:tr>
      <w:tr>
        <w:trPr>
          <w:trHeight w:val="27"/>
        </w:trPr>
        <w:tc>
          <w:tcPr>
            <w:tcW w:w="6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Recycled commodities</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0.3</w:t>
            </w:r>
          </w:p>
        </w:tc>
      </w:tr>
      <w:tr>
        <w:trPr>
          <w:trHeight w:val="237"/>
        </w:trPr>
        <w:tc>
          <w:tcPr>
            <w:tcW w:w="6900" w:type="dxa"/>
            <w:vAlign w:val="bottom"/>
          </w:tcPr>
          <w:p>
            <w:pPr>
              <w:ind w:left="180"/>
              <w:spacing w:after="0"/>
              <w:rPr>
                <w:sz w:val="20"/>
                <w:szCs w:val="20"/>
                <w:color w:val="auto"/>
              </w:rPr>
            </w:pPr>
            <w:r>
              <w:rPr>
                <w:rFonts w:ascii="Arial" w:cs="Arial" w:eastAsia="Arial" w:hAnsi="Arial"/>
                <w:sz w:val="18"/>
                <w:szCs w:val="18"/>
                <w:color w:val="auto"/>
              </w:rPr>
              <w:t>Total internal growth</w:t>
            </w: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3.2</w:t>
            </w:r>
          </w:p>
        </w:tc>
      </w:tr>
      <w:tr>
        <w:trPr>
          <w:trHeight w:val="27"/>
        </w:trPr>
        <w:tc>
          <w:tcPr>
            <w:tcW w:w="6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Acquisitions / divestitures, net</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0.5</w:t>
            </w:r>
          </w:p>
        </w:tc>
      </w:tr>
      <w:tr>
        <w:trPr>
          <w:trHeight w:val="237"/>
        </w:trPr>
        <w:tc>
          <w:tcPr>
            <w:tcW w:w="690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7"/>
              </w:rPr>
              <w:t>4.4%</w:t>
            </w:r>
          </w:p>
        </w:tc>
        <w:tc>
          <w:tcPr>
            <w:tcW w:w="100" w:type="dxa"/>
            <w:vAlign w:val="bottom"/>
          </w:tcPr>
          <w:p>
            <w:pPr>
              <w:spacing w:after="0"/>
              <w:rPr>
                <w:sz w:val="20"/>
                <w:szCs w:val="20"/>
                <w:color w:val="auto"/>
              </w:rPr>
            </w:pPr>
          </w:p>
        </w:tc>
        <w:tc>
          <w:tcPr>
            <w:tcW w:w="14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w w:val="97"/>
              </w:rPr>
              <w:t>3.7%</w:t>
            </w:r>
          </w:p>
        </w:tc>
      </w:tr>
      <w:tr>
        <w:trPr>
          <w:trHeight w:val="67"/>
        </w:trPr>
        <w:tc>
          <w:tcPr>
            <w:tcW w:w="69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69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7840" w:type="dxa"/>
            <w:vAlign w:val="bottom"/>
            <w:gridSpan w:val="2"/>
          </w:tcPr>
          <w:p>
            <w:pPr>
              <w:ind w:left="260"/>
              <w:spacing w:after="0"/>
              <w:rPr>
                <w:sz w:val="20"/>
                <w:szCs w:val="20"/>
                <w:color w:val="auto"/>
              </w:rPr>
            </w:pPr>
            <w:r>
              <w:rPr>
                <w:rFonts w:ascii="Arial" w:cs="Arial" w:eastAsia="Arial" w:hAnsi="Arial"/>
                <w:sz w:val="18"/>
                <w:szCs w:val="18"/>
                <w:color w:val="auto"/>
              </w:rPr>
              <w:t>Core price</w:t>
            </w:r>
          </w:p>
        </w:tc>
        <w:tc>
          <w:tcPr>
            <w:tcW w:w="52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7"/>
              </w:rPr>
              <w:t>3.1%</w:t>
            </w:r>
          </w:p>
        </w:tc>
        <w:tc>
          <w:tcPr>
            <w:tcW w:w="100" w:type="dxa"/>
            <w:vAlign w:val="bottom"/>
          </w:tcPr>
          <w:p>
            <w:pPr>
              <w:spacing w:after="0"/>
              <w:rPr>
                <w:sz w:val="21"/>
                <w:szCs w:val="21"/>
                <w:color w:val="auto"/>
              </w:rPr>
            </w:pPr>
          </w:p>
        </w:tc>
        <w:tc>
          <w:tcPr>
            <w:tcW w:w="1420" w:type="dxa"/>
            <w:vAlign w:val="bottom"/>
          </w:tcPr>
          <w:p>
            <w:pPr>
              <w:ind w:left="1000"/>
              <w:spacing w:after="0"/>
              <w:rPr>
                <w:sz w:val="20"/>
                <w:szCs w:val="20"/>
                <w:color w:val="auto"/>
              </w:rPr>
            </w:pPr>
            <w:r>
              <w:rPr>
                <w:rFonts w:ascii="Arial" w:cs="Arial" w:eastAsia="Arial" w:hAnsi="Arial"/>
                <w:sz w:val="18"/>
                <w:szCs w:val="18"/>
                <w:color w:val="auto"/>
                <w:w w:val="97"/>
              </w:rPr>
              <w:t>3.3%</w:t>
            </w:r>
          </w:p>
        </w:tc>
      </w:tr>
      <w:tr>
        <w:trPr>
          <w:trHeight w:val="27"/>
        </w:trPr>
        <w:tc>
          <w:tcPr>
            <w:tcW w:w="6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Average yield is defined as revenue growth from the change in average price per unit of service, expressed as a percentage. Core price is defined as price increases to our customers and fees, excluding fuel recovery, net of price decreases to retain customers. We also measure changes in average yield and core price as a percentage of related-business revenue, defined as total revenue excluding recycled commodities and fuel recovery fees, to determine the effectiveness of our pricing strategies. Average yield as a percentage of related-business revenue was 2.6%, 1.5%, and 1.4% for 2015, 2014 and 2013, respectively. Core price as a percentage of related-business revenue was 4.0%, 3.4%, and 3.6% for 2015, 2014 and 2013,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 2015 compared to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2015, we experienced the following changes in our revenue as compared to 2014:</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yield increased revenue by 2.3% due to positive pricing in all lines of business.</w:t>
      </w:r>
    </w:p>
    <w:p>
      <w:pPr>
        <w:spacing w:after="0" w:line="117"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fuel recovery fee program, which mitigates our exposure to increases in fuel prices, decreased revenue by 1.4%. These fees fluctuate with the price of fuel and, consequently, any decrease in fuel prices results in a decrease in our revenue. Lower fuel recovery fees for 2015 resulted primarily from the decrease in fuel prices.</w:t>
      </w:r>
    </w:p>
    <w:p>
      <w:pPr>
        <w:spacing w:after="0" w:line="73" w:lineRule="exact"/>
        <w:rPr>
          <w:rFonts w:ascii="Arial" w:cs="Arial" w:eastAsia="Arial" w:hAnsi="Arial"/>
          <w:sz w:val="18"/>
          <w:szCs w:val="18"/>
          <w:color w:val="auto"/>
        </w:rPr>
      </w:pPr>
    </w:p>
    <w:p>
      <w:pPr>
        <w:jc w:val="both"/>
        <w:ind w:left="660" w:right="28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Volume increased revenue by 1.1% due to volume growth in all lines of business. The volume increase in our landfill line of business is primarily attributable to increased municipal solid waste and construction and demolition volumes, partially offset by a decline in energy services volumes.</w:t>
      </w:r>
    </w:p>
    <w:p>
      <w:pPr>
        <w:spacing w:after="0" w:line="15" w:lineRule="exact"/>
        <w:rPr>
          <w:rFonts w:ascii="Arial" w:cs="Arial" w:eastAsia="Arial" w:hAnsi="Arial"/>
          <w:sz w:val="16"/>
          <w:szCs w:val="16"/>
          <w:color w:val="auto"/>
        </w:rPr>
      </w:pPr>
    </w:p>
    <w:p>
      <w:pPr>
        <w:ind w:left="660" w:right="18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Recycled commodities decreased revenue by 0.7% primarily due to lower commodity prices, partially offset by an increase in production volumes. The average price for old corrugated cardboard for 2015 was $103 per ton compared to $116 per ton for 2014. The average price of old newspaper for 2015 was $80 per ton compared to $89 per ton for 2014. Our processed recycled commodity volume for 2015 of 2.5 million tons sold was approximately 11% higher than the volume in 2014, primarily due to acquisitions of recycling facilities.</w:t>
      </w:r>
    </w:p>
    <w:p>
      <w:pPr>
        <w:spacing w:after="0" w:line="63" w:lineRule="exact"/>
        <w:rPr>
          <w:rFonts w:ascii="Arial" w:cs="Arial" w:eastAsia="Arial" w:hAnsi="Arial"/>
          <w:sz w:val="17"/>
          <w:szCs w:val="17"/>
          <w:color w:val="auto"/>
        </w:rPr>
      </w:pPr>
    </w:p>
    <w:p>
      <w:pPr>
        <w:jc w:val="both"/>
        <w:ind w:left="660" w:right="280"/>
        <w:spacing w:after="0" w:line="264" w:lineRule="auto"/>
        <w:rPr>
          <w:rFonts w:ascii="Arial" w:cs="Arial" w:eastAsia="Arial" w:hAnsi="Arial"/>
          <w:sz w:val="17"/>
          <w:szCs w:val="17"/>
          <w:color w:val="auto"/>
        </w:rPr>
      </w:pPr>
      <w:r>
        <w:rPr>
          <w:rFonts w:ascii="Arial" w:cs="Arial" w:eastAsia="Arial" w:hAnsi="Arial"/>
          <w:sz w:val="18"/>
          <w:szCs w:val="18"/>
          <w:color w:val="auto"/>
        </w:rPr>
        <w:t>Changing market demand for recycled commodities causes volatility in commodity prices. At current volumes and mix of materials, we believe a $10 per ton change in the price of recycled commodities will change annual revenue and operating income by approximately $27 million and $18 million, respectively.</w:t>
      </w:r>
    </w:p>
    <w:p>
      <w:pPr>
        <w:spacing w:after="0" w:line="73" w:lineRule="exact"/>
        <w:rPr>
          <w:rFonts w:ascii="Arial" w:cs="Arial" w:eastAsia="Arial" w:hAnsi="Arial"/>
          <w:sz w:val="17"/>
          <w:szCs w:val="17"/>
          <w:color w:val="auto"/>
        </w:rPr>
      </w:pPr>
    </w:p>
    <w:p>
      <w:pPr>
        <w:ind w:left="660" w:right="1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Acquisitions increased revenue by 2.2% primarily due to the acquisitions of Rainbow Disposal Co., Inc. in October 2014, Tervita, LLC (Tervita) in February 2015, and our waste management contract with the County of Sonoma, California that was executed in April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 2014 compared to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2014, we experienced the following changes in our revenue as compared to 2013:</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yield increased revenue by 1.4% due to positive pricing in all lines of business.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fuel recovery fee program generated 0.1% of the total revenue growth. Higher fuel recovery fees for 2014 resulted primarily from an increase in the fuel recovery rates charged.</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Volume increased revenue by 2.0% primarily due to volume increases in our large-container industrial and small-container commercial collection and landfill lines of business due to improving business activity and new National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Accounts contracts, partially offset by declines in our residential collection and transfer station lines of business. Volume increases in our landfill line of business were primarily attributable to increased special waste volumes.</w:t>
      </w:r>
    </w:p>
    <w:p>
      <w:pPr>
        <w:spacing w:after="0" w:line="35" w:lineRule="exact"/>
        <w:rPr>
          <w:sz w:val="20"/>
          <w:szCs w:val="20"/>
          <w:color w:val="auto"/>
        </w:rPr>
      </w:pPr>
    </w:p>
    <w:p>
      <w:pPr>
        <w:ind w:left="660" w:right="4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Recycled commodities increased revenue by 0.1% primarily due to the mix of materials and increased production volumes, offset by lower commodity prices. The average price for old corrugated cardboard for 2014 was $116 per ton compared to $128 per ton for 2013. The average price of old newspaper for 2014 was $89 per ton compared to $93 per ton for 2013. Our recycled commodity volume for 2014 of 2.3 million tons sold was approximately 4% higher than the volume in 2013 as a result of our continued investment in recycling centers along with increases in brokering of recycled commodity volumes on behalf of our National Accounts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Operations</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waste to disposal facilities and costs for local operators who provide waste handling services associated with our National Accounts in markets outside our standard operating areas; fuel, which includes the direct cost of fuel used by our vehicles, net of fuel tax credits; disposal franchise fees and taxes, consisting of landfill taxes, municipal franchise fees, host community fees and royalties; landfill operating costs, which includes financial assurance, leachate disposal, remediation charges and other landfill maintenance costs; risk management costs, which includes casualty insurance premiums and claims; cost of goods sold, which includes material costs paid to suppliers associated with recycled commodities; and other, which includes expenses such as facility operating costs, equipment rent and gains or losses on sale of assets used in our operations.</w:t>
      </w:r>
    </w:p>
    <w:p>
      <w:pPr>
        <w:spacing w:after="0" w:line="3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summarizes the major components of our cost of operations for the years ended December 31, 2015, 2014 and 2013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2015</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2014</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gridSpan w:val="3"/>
          </w:tcPr>
          <w:p>
            <w:pPr>
              <w:jc w:val="right"/>
              <w:ind w:right="1120"/>
              <w:spacing w:after="0"/>
              <w:rPr>
                <w:sz w:val="20"/>
                <w:szCs w:val="20"/>
                <w:color w:val="auto"/>
              </w:rPr>
            </w:pPr>
            <w:r>
              <w:rPr>
                <w:rFonts w:ascii="Arial" w:cs="Arial" w:eastAsia="Arial" w:hAnsi="Arial"/>
                <w:sz w:val="18"/>
                <w:szCs w:val="18"/>
                <w:color w:val="auto"/>
                <w:w w:val="89"/>
              </w:rPr>
              <w:t>2013</w:t>
            </w:r>
          </w:p>
        </w:tc>
      </w:tr>
      <w:tr>
        <w:trPr>
          <w:trHeight w:val="27"/>
        </w:trPr>
        <w:tc>
          <w:tcPr>
            <w:tcW w:w="3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Labor and related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Transfer and disposal costs</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637.0</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 and repairs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Transportation and subcontract costs</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469.1</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5.6</w:t>
            </w: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Franchise fees and taxes</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412.5</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Landfill operating costs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Risk management</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158.7</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1.9</w:t>
            </w: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3.5</w:t>
            </w:r>
          </w:p>
        </w:tc>
      </w:tr>
      <w:tr>
        <w:trPr>
          <w:trHeight w:val="27"/>
        </w:trPr>
        <w:tc>
          <w:tcPr>
            <w:tcW w:w="3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5,126.0</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60.9</w:t>
            </w:r>
          </w:p>
        </w:tc>
      </w:tr>
      <w:tr>
        <w:trPr>
          <w:trHeight w:val="229"/>
        </w:trPr>
        <w:tc>
          <w:tcPr>
            <w:tcW w:w="3220" w:type="dxa"/>
            <w:vAlign w:val="bottom"/>
          </w:tcPr>
          <w:p>
            <w:pPr>
              <w:ind w:left="180"/>
              <w:spacing w:after="0"/>
              <w:rPr>
                <w:sz w:val="20"/>
                <w:szCs w:val="20"/>
                <w:color w:val="auto"/>
              </w:rPr>
            </w:pPr>
            <w:r>
              <w:rPr>
                <w:rFonts w:ascii="Arial" w:cs="Arial" w:eastAsia="Arial" w:hAnsi="Arial"/>
                <w:sz w:val="18"/>
                <w:szCs w:val="18"/>
                <w:color w:val="auto"/>
              </w:rPr>
              <w:t>Bridgeton (insurance recovery) /</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220" w:type="dxa"/>
            <w:vAlign w:val="bottom"/>
          </w:tcPr>
          <w:p>
            <w:pPr>
              <w:ind w:left="340"/>
              <w:spacing w:after="0"/>
              <w:rPr>
                <w:sz w:val="20"/>
                <w:szCs w:val="20"/>
                <w:color w:val="auto"/>
              </w:rPr>
            </w:pPr>
            <w:r>
              <w:rPr>
                <w:rFonts w:ascii="Arial" w:cs="Arial" w:eastAsia="Arial" w:hAnsi="Arial"/>
                <w:sz w:val="18"/>
                <w:szCs w:val="18"/>
                <w:color w:val="auto"/>
              </w:rPr>
              <w:t>remediation charge</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108.7</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1.3</w:t>
            </w:r>
          </w:p>
        </w:tc>
      </w:tr>
      <w:tr>
        <w:trPr>
          <w:trHeight w:val="27"/>
        </w:trPr>
        <w:tc>
          <w:tcPr>
            <w:tcW w:w="3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cost of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5,518.6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60.5 %</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5,234.7</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cost categories may change from time to time and may not be comparable to similarly titled categories used by other companies. As such, you should take care when comparing our cost of operations by cost component to that of other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 - 2015 compared to 2014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Excluding the impact of the Bridgeton insurance recovery, our cost of operations increased for 2015 compared to 2014, primarily as a result of the following:</w:t>
      </w:r>
    </w:p>
    <w:p>
      <w:pPr>
        <w:spacing w:after="0" w:line="140" w:lineRule="exact"/>
        <w:rPr>
          <w:sz w:val="20"/>
          <w:szCs w:val="20"/>
          <w:color w:val="auto"/>
        </w:rPr>
      </w:pPr>
    </w:p>
    <w:p>
      <w:pPr>
        <w:ind w:left="660" w:right="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and related benefits increased due to increased hourly and salaried wages as a result of merit increases, increased headcount, higher collection volumes and acquisitions. Additionally, there was an increase in health care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right="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and disposal costs increased primarily due to higher collection volumes. During both 2015 and 2014, approximately 68% of the total waste volume we collected was disposed at landfill sites that we own or operate (internalization).</w:t>
      </w:r>
    </w:p>
    <w:p>
      <w:pPr>
        <w:spacing w:after="0" w:line="62"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Maintenance and repairs expense increased due to higher collection volumes, cost of parts, internal labor, third party truck repairs, vehicle complexity and costs associated with our fleet maintenance initiative.</w:t>
      </w:r>
    </w:p>
    <w:p>
      <w:pPr>
        <w:spacing w:after="0" w:line="62"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fuel costs decreased due to lower prices of diesel fuel, our continued conversion to lower cost compressed natural gas (CNG), and higher alternative fuel tax credits recognized in 2015. The national average fuel cost per gallon for 2015 was $2.71 compared to $3.83 for 2014, a decrease of $1.12 or approximately 29%.</w:t>
      </w:r>
    </w:p>
    <w:p>
      <w:pPr>
        <w:spacing w:after="0" w:line="73" w:lineRule="exact"/>
        <w:rPr>
          <w:rFonts w:ascii="Arial" w:cs="Arial" w:eastAsia="Arial" w:hAnsi="Arial"/>
          <w:sz w:val="18"/>
          <w:szCs w:val="18"/>
          <w:color w:val="auto"/>
        </w:rPr>
      </w:pPr>
    </w:p>
    <w:p>
      <w:pPr>
        <w:ind w:left="660" w:right="20"/>
        <w:spacing w:after="0" w:line="259" w:lineRule="auto"/>
        <w:rPr>
          <w:rFonts w:ascii="Arial" w:cs="Arial" w:eastAsia="Arial" w:hAnsi="Arial"/>
          <w:sz w:val="18"/>
          <w:szCs w:val="18"/>
          <w:color w:val="auto"/>
        </w:rPr>
      </w:pPr>
      <w:r>
        <w:rPr>
          <w:rFonts w:ascii="Arial" w:cs="Arial" w:eastAsia="Arial" w:hAnsi="Arial"/>
          <w:sz w:val="18"/>
          <w:szCs w:val="18"/>
          <w:color w:val="auto"/>
        </w:rPr>
        <w:t>At current consumption levels, we believe a twenty-cent per gallon change in the price of diesel fuel would change our fuel costs by approximately $22 million per year. Offsetting these changes in fuel expense would be changes in our fuel recovery fee charged to our customers. At current participation rates, we believe a twenty-cent per gallon change in the price of diesel fuel changes our fuel recovery fee by approximately $22 million per year.</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Franchise fees and taxes increased primarily due to changes in the relative mix of landfill volumes.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management expenses decreased primarily due to favorable actuarial developments in our workers' compensation program, partially offset by unfavorable developments in our vehicle liability insurance program.</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expenses increased primarily due to higher facility operating costs, including outside facility maintenance repairs, a lower net gain on sale of operating assets, and property taxes.</w:t>
      </w:r>
    </w:p>
    <w:p>
      <w:pPr>
        <w:spacing w:after="0" w:line="62"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2015, we collected an insurance recovery of $50.0 million related to our closed Bridgeton Landfill in Missouri. As such, we recorded a reduction of remediation expenses. During 2014, we updated our cost and timeline estimates to build and operate a leachate management facility and related infrastructure, manage the remediation area and monitor our Bridgeton Landfill. Accordingly, we recorded environmental remediation charges of $210.6 million. Additionally, we recorded certain remediation charges for the adjacent superfund site.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 – 2014 compared to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cost of operations increased for 2014 compared to 2013, primarily as a result of the following:</w:t>
      </w:r>
    </w:p>
    <w:p>
      <w:pPr>
        <w:spacing w:after="0" w:line="117" w:lineRule="exact"/>
        <w:rPr>
          <w:sz w:val="20"/>
          <w:szCs w:val="20"/>
          <w:color w:val="auto"/>
        </w:rPr>
      </w:pPr>
    </w:p>
    <w:p>
      <w:pPr>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 and related benefits increased due to increased hourly and salaried wages as a result of merit increases and higher collection volumes. The Central and East Regions experienced unfavorable weather conditions during the first quarter of 2014, which contributed to increases in labor expense, resulting from lower labor productivity.</w:t>
      </w:r>
    </w:p>
    <w:p>
      <w:pPr>
        <w:spacing w:after="0" w:line="7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and disposal costs increased primarily due to higher collection volumes. During both 2014 and 2013, approximately 68% of the total waste volume we collected was disposed at landfill sites that we own or operate (internalization).</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Maintenance and repairs expense increased due to higher collection volume, cost of parts, internal labor, third party truck repairs, vehicle complexity and costs associated with our fleet maintenance initiative.</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Transportation and subcontract costs increased primarily due to new National Accounts contracts and subcontracted work resulting from growth in landfill special waste volume.</w:t>
      </w:r>
    </w:p>
    <w:p>
      <w:pPr>
        <w:spacing w:after="0" w:line="62"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fuel costs decreased due to our continued conversion to lower cost CNG, lower prices of diesel fuel, and higher alternative fuel tax credits recognized in 2014. The national average fuel cost per gallon for 2014 was $3.83 compared to $3.92 for 2013, a decrease of $0.09 or approximately 2%.</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Franchise fees and taxes increased due primarily to volume increases in our landfill line of business.</w:t>
      </w:r>
    </w:p>
    <w:p>
      <w:pPr>
        <w:spacing w:after="0" w:line="117" w:lineRule="exact"/>
        <w:rPr>
          <w:rFonts w:ascii="Arial" w:cs="Arial" w:eastAsia="Arial" w:hAnsi="Arial"/>
          <w:sz w:val="18"/>
          <w:szCs w:val="18"/>
          <w:color w:val="auto"/>
        </w:rPr>
      </w:pPr>
    </w:p>
    <w:p>
      <w:pPr>
        <w:ind w:left="660" w:right="3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Landfill operating expenses increased due to volume increases in our landfill line of business. Additionally, during 2013, we recorded favorable remediation adjustments of $17.1 million, of which $15.0 million relates to changes in the estimated timing of payments for our remediation obligations, which did not recur in 2014.</w:t>
      </w:r>
    </w:p>
    <w:p>
      <w:pPr>
        <w:spacing w:after="0" w:line="73"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management expenses increased primarily due to unfavorable actuarial developments in our vehicle liability program in 2014, compared to favorable actuarial developments in our workers' compensation, vehicle liability and general liability insurance programs in 2013. During 2014, we continued to see favorable developments in our workers' compensation program.</w:t>
      </w:r>
    </w:p>
    <w:p>
      <w:pPr>
        <w:spacing w:after="0" w:line="73"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of goods sold relates to rebates paid for volumes delivered to our recycling facilities. Cost of goods sold increased primarily due to an increase in brokering and production of recycled commodity volumes.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18" w:right="2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right="20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expenses increased primarily due to higher facility operating costs, including property taxes related to infrastructure investments. Other expenses also increased due to higher utility costs associated with the unfavorable weather conditions experienced in our Central and East Regions during the first quarter of 2014, as well as $4.8 million of 2012 alternative fuel tax credits recognized during the first quarter of 2013, that did not recur in 2014.</w:t>
      </w:r>
    </w:p>
    <w:p>
      <w:pPr>
        <w:spacing w:after="0" w:line="78"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2014, we updated our cost and timeline estimates to build and operate a leachate management facility and related infrastructure, manage the remediation area and monitor our Bridgeton Landfill. Accordingly, we recorded environmental remediation charges of $210.6 million. Additionally, we recorded certain remediation charges for the adjacent superfund site. During 2013, we recorded environmental remediation charges in the amount of $108.7 million to manage the remediation area and monitor the site.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Depletion of Property and Equipment</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depreciation, amortization and depletion of property and equipment for the years ended December 31, 2015, 2014 and 2013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2015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2014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2013</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property</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equipment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6.5%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Landfill depletion and amortization</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amortization and depletion</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898.7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7"/>
              </w:rPr>
              <w:t>9.9%</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838.5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w w:val="92"/>
              </w:rPr>
              <w:t>9.5%</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806.7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w w:val="97"/>
              </w:rPr>
              <w:t>9.6%</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Amortization and Depletion of Property and Equipment - 2015 compared to 2014</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Depreciation and amortization of property and equipment increased primarily due to higher acquisition costs of replacement vehicles, increased trucks to support volume growth, additional assets acquired with our acquisitions, and an increased number of CNG vehicles in our fleet, which are more expensive to purchase than diesel vehicles. In addition, we made increased investments in new and upgraded recycling infrastructure projects that became operational over the past several quarters.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Landfill depletion and amortization expense increased primarily due to increased landfill disposal volumes and an overall increase in our average depletion rate. Additionally, during 2015, we recorded favorable amortization adjustments of $0.7 million relative to asset retirement obligations, compared to favorable amortization adjustments of $13.3 million during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Amortization and Depletion of Property and Equipment - 2014 compared to 2013</w:t>
      </w:r>
    </w:p>
    <w:p>
      <w:pPr>
        <w:spacing w:after="0" w:line="17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Depreciation and amortization of property and equipment increased primarily due to higher acquisition costs of replacement vehicles and an increased number of CNG vehicles in our fleet. In addition, we made increased investments in new and upgraded recycling infrastructure projects.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Landfill depletion and amortization expense increased primarily due to increased landfill disposal volumes and an overall increase in our average depletion rate. Offsetting these increases were favorable amortization adjustments of $13.3 million that were recognized in 2014 relative to asset retirement obligations, compared to favorable adjustments of $0.3 million in 2013. Included in these favorable adjustments are increases in deemed probable expansion airspace at certain of our active solid waste landfills.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Other Intangible Assets and Other Assets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Expenses for amortization of other intangible assets and other assets were $71.9 million, $68.4 million and $70.7 million for the years ended December 31, 2015, 2014 and 2013, respectively, or 0.8% of revenue for each of 2015, 2014 and 2013. Our other intangible assets and other assets primarily relate to customer relationships, franchise agreements, other municipal agreements, favorable lease assets and, to a lesser extent, non-compete agreements and trade names. The increase in amortization expense is the result of assets acquired in the acquisitions of various waste businesses throughout the year, partially offset by certain intangible assets now being fully amortized.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Expense</w:t>
      </w:r>
    </w:p>
    <w:p>
      <w:pPr>
        <w:spacing w:after="0" w:line="9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Accretion expense was $79.4 million, $78.0 million and $76.6 million, or 0.9% of revenue, for each of the years ended December 31, 2015, 2014 and 2013, respectively. Accretion expense has remained relatively unchanged as our asset retirement obligations remained relatively consistent period over period.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 directors’ and officers’ insurance, general employee relocation, travel, entertainment and bank charges. Restructuring charges are excluded from selling, general and administrative expenses and are discussed separately below.</w:t>
      </w:r>
    </w:p>
    <w:p>
      <w:pPr>
        <w:spacing w:after="0" w:line="1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our selling, general and administrative expenses for the years ended December 31, 2015, 2014 and 2013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20"/>
                <w:szCs w:val="20"/>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selling, general and administrative expenses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These cost categories may change from time to time and may not be comparable to similarly titled categories used by other companies. As such, you should take care when comparing our selling, general and administrative expenses by cost component to those of other companies.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 2015 compared to 2014</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Salaries increased primarily due to higher wages, benefits, and other payroll related items resulting from merit increases and increased headcount, as well as higher management incentive compensation.</w:t>
      </w:r>
    </w:p>
    <w:p>
      <w:pPr>
        <w:spacing w:after="0" w:line="11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selling, general and administrative expenses increased primarily due to costs associated with strategic growth initiatives, as well as acquisition-related transaction and integration costs primarily associated with our acquisition of Tervita in February 2015. This increase was partially offset by favorable litigation results during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 2014 compared to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Salaries increased primarily due to higher wages resulting from merit increases, increased headcount and management incentive pay.</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Provision for doubtful accounts increased primarily due to a net favorable adjustment, recorded in our corporate segment in 2013, of $8.3 million resulting from a change in our estimated future bad debts.</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Other selling, general and administrative expenses increased primarily due to costs associated with strategic growth initiatives, as well as costs incurred with the acquisition of various solid waste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Negotiation and Withdrawal Costs - Central States Pension and Other Funds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2015, we recorded charges to earnings of $4.1 million for withdrawal events at the multiemployer pension plan to which we contribute related to our operations in Puerto Rico, as well as $0.4 million of legal charges. During 2014, we recorded charges to earnings of $1.5 million, primarily related to costs associated with our 2013 withdrawal from the Fund. During 2013, we recorded charges to earnings of $157.7 million, primarily related to our negotiation and withdrawal liability from the Fund.</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For additional discussion and detail regarding our settlement with the Fund, see our </w:t>
      </w:r>
      <w:r>
        <w:rPr>
          <w:rFonts w:ascii="Arial" w:cs="Arial" w:eastAsia="Arial" w:hAnsi="Arial"/>
          <w:sz w:val="18"/>
          <w:szCs w:val="18"/>
          <w:i w:val="1"/>
          <w:iCs w:val="1"/>
          <w:color w:val="auto"/>
        </w:rPr>
        <w:t>Central States, Southeast and Southwest Areas Pension Fund</w:t>
      </w:r>
      <w:r>
        <w:rPr>
          <w:rFonts w:ascii="Arial" w:cs="Arial" w:eastAsia="Arial" w:hAnsi="Arial"/>
          <w:sz w:val="18"/>
          <w:szCs w:val="18"/>
          <w:color w:val="auto"/>
        </w:rPr>
        <w:t xml:space="preserve"> discussion in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to our consolidated financial statements in Item 8 of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Disposition of Assets and Impairments, Net</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2014, we recorded a charge to earnings of $20.0 million primarily related to costs associated with one of our divested landfills, of which $14.1 million is related to closure and post-closure costs and $5.9 million is related to remediation expenditures. During 2013, we recorded a net gain on disposition of assets of and impairments of $1.9 million, primarily related to the contingent sales price of $1.0 million received in connection with a 2011 business divestiture in our West Region.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strive to have a number one or number two market position in each of the markets we serve, or have a clear path on how we will achieve a leading market position over time. In situations where we cannot establish a leading market position, or where operations are not generating acceptable returns, we may decide to divest certain assets and reallocate resources to other markets. Asset or business divestitures could result in gains, losses or asset impairment charges that may be material to our results of operations in a given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During the fourth quarter of 2012, we announced a restructuring of our field and corporate operations to create a more efficient and competitive company. These changes included consolidating our field regions from four to three and our areas from 28 to 20, relocating office space, and reducing administrative staffing levels. During 2014, we incurred costs of $1.8 million due to a change in estimate of amounts recoverable from sublet income associated with abandoned office space with non-cancellable lease terms. During 2013, we incurred $8.6 million of restructuring charges, which consisted of severance and other employee termination benefits, relocation benefits, and the closure of offices with lease agreements with non-cancelable terms.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the components of interest expense, including accretion of debt discounts and accretion of discounts primarily associated with environmental and risk insurance liabilities assumed in acquisitions (in millions of dollars):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debt and capital lease obligations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debt discounts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remediation liabilities and other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capitalized interest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364.9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interest expense increased during 2015 due to the issuance of $500.0 million of 3.20% notes in March 2015, as well as borrowings under our Credit Facilities.</w:t>
      </w:r>
    </w:p>
    <w:p>
      <w:pPr>
        <w:spacing w:after="0" w:line="11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second half of 2013, we entered into various interest rate swap agreements relative to our 4.750% fixed rate senior notes due in May 2023. These swap agreements, which were designated as fair value hedges, have a total notional value of $300.0 million and resulted in a $7.5 million reduction in interest expense during 2015, compared to a $7.7 million reduction in interest expense during 2014 and a $2.0 million reduction in interest expense during 2013. Additionally, there were lower variable rates on our tax-exempt financings, which also contributed to the reduction in interest expense during 2014.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During 2015, 2014 and 2013, cash paid for interest was $327.6 million, $320.2 million and $324.0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refinanced our credit facilities and certain of our tax-exempt financings in 2014, resulting in non-cash charges for deferred issuance costs of $1.4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2013, we refinanced certain of our tax-exempt financings that resulted in a $2.1 million non-cash charge for deferred issuance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provision for income taxes was $445.5 million, $337.4 million and $262.1 million for 2015, 2014 and 2013, respectively. Our effective income tax rate was 37.3%, 38.1% and 30.8% for 2015, 2014 and 2013, respectively. Our 2015 effective tax rate was favorably impacted by $17.4 million due to the resolution of outstanding tax matters in various states and Puerto Rico. Our 2014 effective tax rate was favorably impacted by $5.1 million due to the realization of tax credits and lower state rates due to changes in estimates. Our 2013 effective tax rate was favorably impacted by approximately $42 million for adjustments to our valuation allowance, primarily due to the determination that it was more likely than not the Company would be able to realize certain state loss carryforwards. In addition, our 2013 effective tax rate was favorably impacted by approximately $14 million due to a settlement for tax years 2009 to 2010 with the Internal Revenue Service appeals division and the Joint Committee of Taxation. Lastly, our 2013 effective tax rate was favorably impacted by the realization of tax credits and lower state rates due to changes in estimates of $9.6 million.</w:t>
      </w:r>
    </w:p>
    <w:p>
      <w:pPr>
        <w:spacing w:after="0" w:line="1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We made income tax payments (net of refunds received) of approximately $321 million, $382 million and $288 million for 2015, 2014 and 2013,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taxes paid in 2015 reflect the favorable tax depreciation provisions of the Protecting Americans from Tax Hikes Act signed into law in December 2015. This legislation extends bonus depreciation for property placed in service through 2019. Bonus depreciation for assets placed in service in 2015 to 2017 is 50% and decreases to 40% in 2018 and 30% in 2019.</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Income taxes paid in 2014 reflect the favorable tax depreciation provisions of the Tax Increase Protection Act of 2014, signed into law in December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legislation extended 50% bonus depreciation for property placed in service during 2014.</w:t>
      </w:r>
    </w:p>
    <w:p>
      <w:pPr>
        <w:spacing w:after="0" w:line="1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Income taxes paid in 2013 reflect the favorable tax depreciation provisions of the American Tax Relief Act of 2012 signed into law in January 2013. This legislation extended 50% bonus depreciation for property placed in service during 2013.</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additional discussion and detail regarding our income taxes, see Note 10, </w:t>
      </w:r>
      <w:r>
        <w:rPr>
          <w:rFonts w:ascii="Arial" w:cs="Arial" w:eastAsia="Arial" w:hAnsi="Arial"/>
          <w:sz w:val="18"/>
          <w:szCs w:val="18"/>
          <w:i w:val="1"/>
          <w:iCs w:val="1"/>
          <w:color w:val="auto"/>
        </w:rPr>
        <w:t>Income Taxes</w:t>
      </w:r>
      <w:r>
        <w:rPr>
          <w:rFonts w:ascii="Arial" w:cs="Arial" w:eastAsia="Arial" w:hAnsi="Arial"/>
          <w:sz w:val="18"/>
          <w:szCs w:val="18"/>
          <w:color w:val="auto"/>
        </w:rPr>
        <w:t>, to our consolidated financial statements in Item 8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2015, we managed and evaluated our operations through three regions: East, Central and West. These regions all provided integrated waste management services consisting of non-hazardous solid waste collection, transfer, recycling, disposal and energy services. These three regions are presented below as our 2015 reportable segments.</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years ended December 31, 2015, 2014 and 2013 is shown in the following table (in millions of dollars and as a percentage of revenue in the case of operating margin):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Depreciation,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Amortization,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Adjustments to</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Depletion and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Amortization</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Accretion Before</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Expense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Depreciation,</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(Loss) Gain on</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Adjustments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for Asset</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Disposition of</w:t>
            </w:r>
          </w:p>
        </w:tc>
        <w:tc>
          <w:tcPr>
            <w:tcW w:w="220" w:type="dxa"/>
            <w:vAlign w:val="bottom"/>
          </w:tcPr>
          <w:p>
            <w:pPr>
              <w:spacing w:after="0"/>
              <w:rPr>
                <w:sz w:val="12"/>
                <w:szCs w:val="12"/>
                <w:color w:val="auto"/>
              </w:rPr>
            </w:pPr>
          </w:p>
        </w:tc>
        <w:tc>
          <w:tcPr>
            <w:tcW w:w="10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Operating</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Net</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Asset Retirement</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Depletion and</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Assets and</w:t>
            </w:r>
          </w:p>
        </w:tc>
        <w:tc>
          <w:tcPr>
            <w:tcW w:w="220" w:type="dxa"/>
            <w:vAlign w:val="bottom"/>
          </w:tcPr>
          <w:p>
            <w:pPr>
              <w:spacing w:after="0"/>
              <w:rPr>
                <w:sz w:val="12"/>
                <w:szCs w:val="12"/>
                <w:color w:val="auto"/>
              </w:rPr>
            </w:pPr>
          </w:p>
        </w:tc>
        <w:tc>
          <w:tcPr>
            <w:tcW w:w="10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1"/>
              </w:rPr>
              <w:t>Income</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Operating</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Revenue</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Obligations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Obligations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Accretion</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Impairments, Net</w:t>
            </w:r>
          </w:p>
        </w:tc>
        <w:tc>
          <w:tcPr>
            <w:tcW w:w="220" w:type="dxa"/>
            <w:vAlign w:val="bottom"/>
          </w:tcPr>
          <w:p>
            <w:pPr>
              <w:spacing w:after="0"/>
              <w:rPr>
                <w:sz w:val="16"/>
                <w:szCs w:val="16"/>
                <w:color w:val="auto"/>
              </w:rPr>
            </w:pP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7"/>
              </w:rPr>
              <w:t>(Loss)</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Margin</w:t>
            </w:r>
          </w:p>
        </w:tc>
        <w:tc>
          <w:tcPr>
            <w:tcW w:w="0" w:type="dxa"/>
            <w:vAlign w:val="bottom"/>
          </w:tcPr>
          <w:p>
            <w:pPr>
              <w:spacing w:after="0"/>
              <w:rPr>
                <w:sz w:val="1"/>
                <w:szCs w:val="1"/>
                <w:color w:val="auto"/>
              </w:rPr>
            </w:pPr>
          </w:p>
        </w:tc>
      </w:tr>
      <w:tr>
        <w:trPr>
          <w:trHeight w:val="177"/>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8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East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2,527.8</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271.4</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271.8</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475.0</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18.8%</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Central</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2,682.7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527.7</w:t>
            </w:r>
          </w:p>
        </w:tc>
        <w:tc>
          <w:tcPr>
            <w:tcW w:w="14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West</w:t>
            </w:r>
          </w:p>
        </w:tc>
        <w:tc>
          <w:tcPr>
            <w:tcW w:w="24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3,739.9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404.1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404.4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832.4</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 entities</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(276.3)</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200"/>
              <w:spacing w:after="0"/>
              <w:rPr>
                <w:sz w:val="20"/>
                <w:szCs w:val="20"/>
                <w:color w:val="auto"/>
              </w:rPr>
            </w:pPr>
            <w:r>
              <w:rPr>
                <w:rFonts w:ascii="Arial" w:cs="Arial" w:eastAsia="Arial" w:hAnsi="Arial"/>
                <w:sz w:val="14"/>
                <w:szCs w:val="14"/>
                <w:color w:val="auto"/>
              </w:rPr>
              <w:t>Total</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9,115.0</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1,050.7</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1,050.0</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1,558.8</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17.1%</w:t>
            </w: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40" w:type="dxa"/>
            <w:vAlign w:val="bottom"/>
            <w:tcBorders>
              <w:top w:val="single" w:sz="8" w:color="CCEEFF"/>
            </w:tcBorders>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8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East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2,501.0</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269.4</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266.2</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429.6</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17.2%</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Central</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2,629.9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503.6</w:t>
            </w:r>
          </w:p>
        </w:tc>
        <w:tc>
          <w:tcPr>
            <w:tcW w:w="14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West</w:t>
            </w:r>
          </w:p>
        </w:tc>
        <w:tc>
          <w:tcPr>
            <w:tcW w:w="24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3,494.2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360.7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825.7</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 entities</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200"/>
              <w:spacing w:after="0"/>
              <w:rPr>
                <w:sz w:val="20"/>
                <w:szCs w:val="20"/>
                <w:color w:val="auto"/>
              </w:rPr>
            </w:pPr>
            <w:r>
              <w:rPr>
                <w:rFonts w:ascii="Arial" w:cs="Arial" w:eastAsia="Arial" w:hAnsi="Arial"/>
                <w:sz w:val="14"/>
                <w:szCs w:val="14"/>
                <w:color w:val="auto"/>
              </w:rPr>
              <w:t>Total</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8,803.3</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998.2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984.9</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1,233.1</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14.0%</w:t>
            </w:r>
          </w:p>
        </w:tc>
        <w:tc>
          <w:tcPr>
            <w:tcW w:w="0" w:type="dxa"/>
            <w:vAlign w:val="bottom"/>
          </w:tcPr>
          <w:p>
            <w:pPr>
              <w:spacing w:after="0"/>
              <w:rPr>
                <w:sz w:val="1"/>
                <w:szCs w:val="1"/>
                <w:color w:val="auto"/>
              </w:rPr>
            </w:pPr>
          </w:p>
        </w:tc>
      </w:tr>
      <w:tr>
        <w:trPr>
          <w:trHeight w:val="106"/>
        </w:trPr>
        <w:tc>
          <w:tcPr>
            <w:tcW w:w="184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CCEEFF"/>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2013:</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8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East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2,456.0</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252.9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451.0</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18.4%</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Central</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2,512.1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494.5</w:t>
            </w:r>
          </w:p>
        </w:tc>
        <w:tc>
          <w:tcPr>
            <w:tcW w:w="14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West</w:t>
            </w:r>
          </w:p>
        </w:tc>
        <w:tc>
          <w:tcPr>
            <w:tcW w:w="24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3,324.4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345.8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766.6</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 entities</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20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8,417.2</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954.3</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954.0</w:t>
            </w:r>
          </w:p>
        </w:tc>
        <w:tc>
          <w:tcPr>
            <w:tcW w:w="12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1,210.3</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14.4%</w:t>
            </w:r>
          </w:p>
        </w:tc>
        <w:tc>
          <w:tcPr>
            <w:tcW w:w="0" w:type="dxa"/>
            <w:vAlign w:val="bottom"/>
          </w:tcPr>
          <w:p>
            <w:pPr>
              <w:spacing w:after="0"/>
              <w:rPr>
                <w:sz w:val="1"/>
                <w:szCs w:val="1"/>
                <w:color w:val="auto"/>
              </w:rPr>
            </w:pPr>
          </w:p>
        </w:tc>
      </w:tr>
      <w:tr>
        <w:trPr>
          <w:trHeight w:val="71"/>
        </w:trPr>
        <w:tc>
          <w:tcPr>
            <w:tcW w:w="184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Corporate entities include legal, tax, treasury, information technology, risk management, human resources, closed landfills and other administrative functions. National Accounts revenue included in corporate entities represents the portion of revenue generated from nationwide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Significant changes in the revenue and operating margins of our reportable segments for 2015 compared to 2014, and 2014 compared to 2013, are discussed below.</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 Region</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 for 2015 increased 1.1% from 2014 primarily due to increases in average yield in all collection lines of business, and volume increases in our large-container industrial and residential collection and transfer station lines of business. These increases were partially offset by declines in volume in our small-container commercial collection line of business, as well as a decline in volume in our landfill line of business resulting from lower special waste volumes. Additionally, we recognized lower recycled commodity revenue due to the decline in commodity prices.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in our East Region increased from $429.6 million for 2014, or a 17.2% operating margin, to $475.0 million for 2015, or an 18.8% operating margin. The following cost categories impacted operating income:</w:t>
      </w:r>
    </w:p>
    <w:p>
      <w:pPr>
        <w:spacing w:after="0" w:line="62" w:lineRule="exact"/>
        <w:rPr>
          <w:sz w:val="20"/>
          <w:szCs w:val="20"/>
          <w:color w:val="auto"/>
        </w:rPr>
      </w:pPr>
    </w:p>
    <w:p>
      <w:pPr>
        <w:ind w:left="660" w:right="2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 of operations favorably impacted operating income margin primarily due to lower fuel costs resulting from lower prices of diesel fuel and lower risk management expenses. These favorable items were partially offset by higher labor and related benefits and repair and maintenance costs.</w:t>
      </w:r>
    </w:p>
    <w:p>
      <w:pPr>
        <w:spacing w:after="0" w:line="15" w:lineRule="exact"/>
        <w:rPr>
          <w:rFonts w:ascii="Arial" w:cs="Arial" w:eastAsia="Arial" w:hAnsi="Arial"/>
          <w:sz w:val="16"/>
          <w:szCs w:val="16"/>
          <w:color w:val="auto"/>
        </w:rPr>
      </w:pPr>
    </w:p>
    <w:p>
      <w:pPr>
        <w:ind w:left="660" w:right="1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Landfill depletion and amortization unfavorably impacted operating income margin primarily due to unfavorable adjustments for asset retirement obligations of $0.4 million during 2015, compared to favorable adjustments of $3.2 million during 2014. Partially offsetting this unfavorable impact was an overall decrease in our average depletion rate.</w:t>
      </w:r>
    </w:p>
    <w:p>
      <w:pPr>
        <w:spacing w:after="0" w:line="73"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general and administrative expenses favorably impacted operating income margin primarily due to favorable legal settlements from matters occurring in the ordinary course of business, compared to unfavorable legal settlement charges during 2014. This favorable impact was partially offset by higher wages and payroll related items resulting from merit increases and increased headcount, as well as higher management incentive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Central Region</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Revenue for 2015 increased 2.0% from 2014 primarily due to average yield increases in all lines of business and volume increases in our small-container commercial and large-container industrial collection and landfill lines of business. Volume increases in our landfill line of business were primarily attributable to increased municipal solid waste volumes, offset by a decline in our special waste volumes. Additionally, there was a decline in volume in our transfer station line of business and lower recycled commodity revenue due to the decline in commodity prices.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income in our Central Region increased from $503.6 million, or a 19.1% operating margin, to $527.7 million, or a 19.7% operating margin. The following cost categories impacted operating income:</w:t>
      </w:r>
    </w:p>
    <w:p>
      <w:pPr>
        <w:spacing w:after="0" w:line="62" w:lineRule="exact"/>
        <w:rPr>
          <w:sz w:val="20"/>
          <w:szCs w:val="20"/>
          <w:color w:val="auto"/>
        </w:rPr>
      </w:pPr>
    </w:p>
    <w:p>
      <w:pPr>
        <w:ind w:left="660" w:right="1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operations favorably impacted operating income margin primarily due to lower fuel costs resulting from lower prices of diesel fuel, partially offset by higher labor and related benefits and repair and maintenance costs.</w:t>
      </w:r>
    </w:p>
    <w:p>
      <w:pPr>
        <w:spacing w:after="0" w:line="62"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Depreciation and amortization of property and equipment unfavorably impacted operating income margin due to higher acquisition costs of replacement vehicles. Landfill depletion and amortization also unfavorably impacted operating income margin due to higher favorable amortization adjustments in 2014 relative to asset retirement obligations. During 2015, we recognized favorable amortization adjustments of $0.9 million, compared to favorable amortization adjustments of $6.1 million during 2014.</w:t>
      </w:r>
    </w:p>
    <w:p>
      <w:pPr>
        <w:spacing w:after="0" w:line="78"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general and administrative expenses unfavorably impacted operating income margin primarily due to higher wages and payroll related items resulting from merit increases and increased headcount, as well as higher management incentive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 Region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 for 2015 increased 7.0% from 2014 primarily due to acquisitions, including a waste management contract with the County of Sonoma, California that was executed in April 2015. On an aggregate basis, acquisitions increased revenue by $142.1 million. Excluding the impact of acquisitions, revenue increased due to increases in average yield in all lines of business and volume increases in all collection lines of business. Additionally, revenue increased due to volume increases in our landfill line of business, except for our base energy services waste volumes. Partially offsetting these revenue increases was lower recycled commodity revenue due to the decline in commodity prices.</w:t>
      </w:r>
    </w:p>
    <w:p>
      <w:pPr>
        <w:spacing w:after="0" w:line="13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Operating income in our West Region increased from $825.7 million for 2014 to $832.4 million for 2015. Operating margin decreased from 23.6% for 2014 to 22.3% for 2015. Overall, our operating margins were unfavorably impacted due to the impact of commodity prices on our recycling business and higher integration, transition and operating costs in our acquired energy services business. The following cost categories impacted operating income: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 of operations unfavorably impacted operating income margin primarily due to higher labor and related benefits, transfer and disposal costs, and repair and maintenance costs. Partially offsetting these unfavorable items were lower fuel costs resulting from lower prices of diesel fuel.</w:t>
      </w:r>
    </w:p>
    <w:p>
      <w:pPr>
        <w:spacing w:after="0" w:line="15" w:lineRule="exact"/>
        <w:rPr>
          <w:rFonts w:ascii="Arial" w:cs="Arial" w:eastAsia="Arial" w:hAnsi="Arial"/>
          <w:sz w:val="16"/>
          <w:szCs w:val="16"/>
          <w:color w:val="auto"/>
        </w:rPr>
      </w:pPr>
    </w:p>
    <w:p>
      <w:pPr>
        <w:ind w:left="660" w:right="120" w:hanging="328"/>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and amortization of property and equipment unfavorably impacted operating income margin primarily due to higher asset acquisition costs. Landfill depletion and amortization also was unfavorably impacted by the unfavorable amortization adjustment of $0.3 million in 2015, compared to the favorable amortization adjustment of $5.6 million that occurred during 2014 due to an increase in deemed airspace at one of our active landfills. Additionally, landfill depletion and amortization was unfavorably impacted in the aggregate by increased landfill disposal volumes and an overall increase in our average depletion rate.</w:t>
      </w:r>
    </w:p>
    <w:p>
      <w:pPr>
        <w:spacing w:after="0" w:line="8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Selling, general and administrative expenses unfavorably impacted operating income margin primarily due to higher labor and related benefits, and acquisition-related transaction and integration costs associated with our recent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Entities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Operating loss in our Corporate Entities decreased from $525.8 million for 2014 to $276.3 million for 2015 primarily due to an insurance recovery of $50.0 million related to our closed Bridgeton Landfill during 2015, compared to unfavorable remediation and litigation adjustments in 2014 of $227.1 million. Partially offsetting this improvement were additional costs associated with strategic growth initiatives, as well as acquisition-related transaction costs primarily associated with our acquisition of Tervita in February 2015. Additionally, we recognized an unfavorable impact from higher labor and related benefits, including management incentive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 Region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for 2014 increased 1.8% from 2013 primarily due to increases in average yield in all lines of business except for landfill construction and demolition. Volumes increased in our small-container commercial and large-container industrial collection, transfer station, and landfill special waste and construction and demolition lines of business but were partially offset by the decline in volume in our residential collection line of business. These increases were also partially offset by lower recycled commodity revenue.</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Operating income in our East Region decreased from $451.0 million for 2013, or an 18.4% operating margin, to $429.6 million for 2014, or a 17.2% operating margin. The following cost categories impacted operating income:</w:t>
      </w:r>
    </w:p>
    <w:p>
      <w:pPr>
        <w:spacing w:after="0" w:line="62" w:lineRule="exact"/>
        <w:rPr>
          <w:sz w:val="20"/>
          <w:szCs w:val="20"/>
          <w:color w:val="auto"/>
        </w:rPr>
      </w:pPr>
    </w:p>
    <w:p>
      <w:pPr>
        <w:ind w:left="660" w:right="4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Cost of operations unfavorably impacted operating income margin primarily due to higher repair and maintenance costs, increased labor and benefits, and utility costs resulting largely from unfavorable weather conditions during the first quarter of 2014. These unfavorable items were partially offset by lower cost of goods sold and decreased fuel costs due to lower diesel fuel prices.</w:t>
      </w:r>
    </w:p>
    <w:p>
      <w:pPr>
        <w:spacing w:after="0" w:line="57" w:lineRule="exact"/>
        <w:rPr>
          <w:rFonts w:ascii="Arial" w:cs="Arial" w:eastAsia="Arial" w:hAnsi="Arial"/>
          <w:sz w:val="17"/>
          <w:szCs w:val="17"/>
          <w:color w:val="auto"/>
        </w:rPr>
      </w:pPr>
    </w:p>
    <w:p>
      <w:pPr>
        <w:ind w:left="660" w:right="40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Depreciation and amortization of property and equipment unfavorably impacted operating income margin due to higher acquisition costs of replacement vehicles. Landfill depletion and amortization also unfavorably impacted operating income margin due to an overall increase in the average depletion rate, partially offset by favorable adjustments for asset retirement obligations of $3.2 million, compared to net unfavorable adjustments of $4.7 million in 2013.</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Selling, general and administrative expenses unfavorably impacted operating income primarily due to $10.6 million of legal settlement charges from matters occurring in the ordinary course of business, compared to $3.1 million of legal settlement charges in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Central Region</w:t>
      </w:r>
    </w:p>
    <w:p>
      <w:pPr>
        <w:spacing w:after="0" w:line="17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Revenue for 2014 increased 4.7% from 2013 primarily due to average yield increases in our small-container commercial and large-container industrial collection and transfer station lines of business, as well as volume increases in all collection and landfill lines of business except for construction and demolition. These increases were partially offset by lowered recycled commodity revenue and a decrease in volume in our transfer station line of business.</w:t>
      </w:r>
    </w:p>
    <w:p>
      <w:pPr>
        <w:spacing w:after="0" w:line="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income increased and operating margin decreased in our Central Region from $494.5 million for 2013, or a 19.7% operating margin, to $503.6 million for 2014, or a 19.1% operating margin.</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18" w:right="29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cost categories impacted operating income:</w:t>
      </w:r>
    </w:p>
    <w:p>
      <w:pPr>
        <w:spacing w:after="0" w:line="117" w:lineRule="exact"/>
        <w:rPr>
          <w:sz w:val="20"/>
          <w:szCs w:val="20"/>
          <w:color w:val="auto"/>
        </w:rPr>
      </w:pPr>
    </w:p>
    <w:p>
      <w:pPr>
        <w:ind w:left="660" w:right="6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operations favorably impacted operating income margin primarily due to decreased fuel costs resulting from lower diesel fuel prices, partially offset by higher repair and maintenance costs and cost of goods sold.</w:t>
      </w:r>
    </w:p>
    <w:p>
      <w:pPr>
        <w:spacing w:after="0" w:line="89"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2014, the depreciation and amortization of property and equipment margin impact was flat.</w:t>
      </w:r>
    </w:p>
    <w:p>
      <w:pPr>
        <w:spacing w:after="0" w:line="130"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Selling, general and administrative expenses unfavorably impacted operating income margin primarily due to $0.5 million of legal settlement charges, compared to favorable legal settlements recorded during 2013 of $16.7 million, which resulted from legal matters occurring in the ordinary course of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 Region</w:t>
      </w:r>
    </w:p>
    <w:p>
      <w:pPr>
        <w:spacing w:after="0" w:line="17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Revenue for 2014 increased 5.1% from 2013 due to increases in average yield in all core lines of business and increases in volume in our collection and landfill lines of business. Volume increases in our landfill line of business were primarily attributable to increased special waste volumes.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income in our West Region increased from $766.6 million for 2013, or a 23.1% operating margin, to $825.7 million for 2014, or a 23.6% operating margin, primarily as a result of increased revenue and the following:</w:t>
      </w:r>
    </w:p>
    <w:p>
      <w:pPr>
        <w:spacing w:after="0" w:line="62" w:lineRule="exact"/>
        <w:rPr>
          <w:sz w:val="20"/>
          <w:szCs w:val="20"/>
          <w:color w:val="auto"/>
        </w:rPr>
      </w:pPr>
    </w:p>
    <w:p>
      <w:pPr>
        <w:ind w:left="660" w:right="6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operations favorably impacted operating income margin primarily due to decreased fuel costs resulting from lower diesel fuel prices, partially offset by higher cost of goods sold.</w:t>
      </w:r>
    </w:p>
    <w:p>
      <w:pPr>
        <w:spacing w:after="0" w:line="62"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Landfill depletion was favorably impacted by the amortization adjustments of $5.6 million primarily due to an increase in deemed probable airspace expansion at one of our active landfills in 2014. Partially offsetting this favorable impact was higher depletion rates resulting from the acquisition of the San Angelo Landfill in the third quarter of 2014.</w:t>
      </w:r>
    </w:p>
    <w:p>
      <w:pPr>
        <w:spacing w:after="0" w:line="73"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Selling, general and administrative expenses favorably impacted operating income margin during 2014 due to $7.6 million of legal settlement charges incurred, compared to $13.8 million of legal settlement charges incurred during 2013, from matters occurring in the ordinary course of business.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 on disposition of assets and impairments, net unfavorably impacted operating income margin during 2014 primarily due to contingent sale price of $1.0 million received in 2013 on a 2011 business divestiture.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Entities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loss in our Corporate Entities increased from $501.8 million for 2013 to $525.8 million for 2014. The increase in operating loss primarily relates to unfavorable remediation and litigation adjustments in 2014 of $227.1 million recorded at our closed Bridgeton Landfill, compared to $108.7 million recorded in 2013. Additionally, during 2013 we recorded a net favorable adjustment of $8.3 million resulting from a change in our estimated future bad debts, favorable remediation adjustments of $17.1 million relating to changes in the estimated timing of payments for our remediation obligations and a favorable remediation adjustment for a closed landfill site of $12.1 million, which did not recur in 2014. Partially offsetting this increase in operating loss was a charge to earnings of $140.7 million in 2013 for our partial withdrawal liability from the Fund and Puerto Rico multiemployer pension plans, which also did not recur in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January 2016, we realigned our field support functions by combining two organizational layers into one. This includes the elimination of our three regions, the consolidation of our 20 areas into 10 and the streamlining of select roles at our Phoenix headquarters. The areas will be grouped and overseen by two Executive Vice Presidents of Operations. In connection with our restructuring we will further evaluate our 2016 reporting segments.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and Environmental Matters</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landfill costs include daily operating expenses, costs of capital for cell development, costs for final capping, closure and post-closure, and the legal and administrative costs of ongoing environmental compliance. Daily operating expenses include leachate treatment and disposal, methane gas and groundwater monitoring and system maintenance, interim cap maintenance, and costs associated with applying daily cover materials. We expense all indirect landfill development costs as they are incurred. We use life cycle accounting and the units-of-consumption method to recognize certain direct landfill costs related to landfill development. In life cycle accounting, certain direct costs are capitalized and charged to depletion expense based on the consumption of cubic yards of available airspace. These costs include all costs to acquire and construct a site, including excavation, natural and synthetic liners, construction of leachate collection systems, installation of methane gas collection and monitoring systems, installation of groundwater monitoring wells, and other costs associated with acquiring and developing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site. Obligations associated with final capping, closure and post-closure are capitalized and amortized on a units-of-consumption basis as airspace is consumed.</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Cost and airspace estimates are developed at least annually by engineers. Our operating and accounting personnel use these estimates to adjust the rates we use to expense capitalized costs. Changes in these estimates primarily relate to changes in costs, available airspace, inflation and applicable regulations. Changes in available airspace include changes in engineering estimates, changes in design and changes due to the addition of airspace lying in expansion areas that we believe have a probable likelihood of being permitted.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Airspace</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Cubic yards (in millions):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Permitted airspace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Probable expansion airspace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cubic yards (in millions)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Number of sites:</w:t>
      </w:r>
    </w:p>
    <w:p>
      <w:pPr>
        <w:spacing w:after="0" w:line="136" w:lineRule="exact"/>
        <w:rPr>
          <w:sz w:val="20"/>
          <w:szCs w:val="20"/>
          <w:color w:val="auto"/>
        </w:rPr>
      </w:pPr>
    </w:p>
    <w:p>
      <w:pPr>
        <w:ind w:left="180" w:right="220"/>
        <w:spacing w:after="0" w:line="546" w:lineRule="auto"/>
        <w:rPr>
          <w:sz w:val="20"/>
          <w:szCs w:val="20"/>
          <w:color w:val="auto"/>
        </w:rPr>
      </w:pPr>
      <w:r>
        <w:rPr>
          <w:rFonts w:ascii="Arial" w:cs="Arial" w:eastAsia="Arial" w:hAnsi="Arial"/>
          <w:sz w:val="12"/>
          <w:szCs w:val="12"/>
          <w:color w:val="auto"/>
        </w:rPr>
        <w:t>Permitted airspace Probable expansion airspace</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Balance</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rPr>
              <w:t>Landfills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Permits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Changes</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Balance</w:t>
            </w: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as of</w:t>
            </w:r>
          </w:p>
        </w:tc>
        <w:tc>
          <w:tcPr>
            <w:tcW w:w="11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New</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Acquired,</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Granted,</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in</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11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Expansions</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Net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6"/>
              </w:rPr>
              <w:t>Net of</w:t>
            </w:r>
          </w:p>
        </w:tc>
        <w:tc>
          <w:tcPr>
            <w:tcW w:w="100" w:type="dxa"/>
            <w:vAlign w:val="bottom"/>
          </w:tcPr>
          <w:p>
            <w:pPr>
              <w:spacing w:after="0"/>
              <w:rPr>
                <w:sz w:val="12"/>
                <w:szCs w:val="12"/>
                <w:color w:val="auto"/>
              </w:rPr>
            </w:pPr>
          </w:p>
        </w:tc>
        <w:tc>
          <w:tcPr>
            <w:tcW w:w="12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Airspace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Engineering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r>
      <w:tr>
        <w:trPr>
          <w:trHeight w:val="188"/>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Undertaken</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Divestitures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Closures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Consumed</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Estimates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r>
      <w:tr>
        <w:trPr>
          <w:trHeight w:val="52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4,584.1</w:t>
            </w:r>
          </w:p>
        </w:tc>
        <w:tc>
          <w:tcPr>
            <w:tcW w:w="12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4,676.5</w:t>
            </w:r>
          </w:p>
        </w:tc>
      </w:tr>
      <w:tr>
        <w:trPr>
          <w:trHeight w:val="27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261.7</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290.1</w:t>
            </w:r>
          </w:p>
        </w:tc>
      </w:tr>
      <w:tr>
        <w:trPr>
          <w:trHeight w:val="237"/>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4,845.8</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4,966.6</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7"/>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193</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-1259840</wp:posOffset>
            </wp:positionV>
            <wp:extent cx="72294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-908685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-565150</wp:posOffset>
            </wp:positionV>
            <wp:extent cx="72294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-205105</wp:posOffset>
            </wp:positionV>
            <wp:extent cx="722947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2040" w:space="720"/>
            <w:col w:w="8640"/>
          </w:cols>
          <w:pgMar w:left="240" w:top="118"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Cubic yards (in millions):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Permitted airspace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Probable expansion airspace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cubic yards (in millions)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Number of sites:</w:t>
      </w:r>
    </w:p>
    <w:p>
      <w:pPr>
        <w:spacing w:after="0" w:line="136" w:lineRule="exact"/>
        <w:rPr>
          <w:sz w:val="20"/>
          <w:szCs w:val="20"/>
          <w:color w:val="auto"/>
        </w:rPr>
      </w:pPr>
    </w:p>
    <w:p>
      <w:pPr>
        <w:ind w:left="180" w:right="220"/>
        <w:spacing w:after="0" w:line="546" w:lineRule="auto"/>
        <w:rPr>
          <w:sz w:val="20"/>
          <w:szCs w:val="20"/>
          <w:color w:val="auto"/>
        </w:rPr>
      </w:pPr>
      <w:r>
        <w:rPr>
          <w:rFonts w:ascii="Arial" w:cs="Arial" w:eastAsia="Arial" w:hAnsi="Arial"/>
          <w:sz w:val="12"/>
          <w:szCs w:val="12"/>
          <w:color w:val="auto"/>
        </w:rPr>
        <w:t>Permitted airspace Probable expansion airspace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Balance</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rPr>
              <w:t>Landfills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Permits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Changes</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Balance</w:t>
            </w: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as of</w:t>
            </w:r>
          </w:p>
        </w:tc>
        <w:tc>
          <w:tcPr>
            <w:tcW w:w="11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New</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Acquired,</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Granted,</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in</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11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Expansions</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Net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6"/>
              </w:rPr>
              <w:t>Net of</w:t>
            </w:r>
          </w:p>
        </w:tc>
        <w:tc>
          <w:tcPr>
            <w:tcW w:w="100" w:type="dxa"/>
            <w:vAlign w:val="bottom"/>
          </w:tcPr>
          <w:p>
            <w:pPr>
              <w:spacing w:after="0"/>
              <w:rPr>
                <w:sz w:val="12"/>
                <w:szCs w:val="12"/>
                <w:color w:val="auto"/>
              </w:rPr>
            </w:pPr>
          </w:p>
        </w:tc>
        <w:tc>
          <w:tcPr>
            <w:tcW w:w="12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Airspace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Engineering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r>
      <w:tr>
        <w:trPr>
          <w:trHeight w:val="188"/>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Undertaken</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Divestitures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Closures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Consumed</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Estimates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2014</w:t>
            </w:r>
          </w:p>
        </w:tc>
      </w:tr>
      <w:tr>
        <w:trPr>
          <w:trHeight w:val="52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4,650.6</w:t>
            </w:r>
          </w:p>
        </w:tc>
        <w:tc>
          <w:tcPr>
            <w:tcW w:w="12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79.8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4,584.1</w:t>
            </w:r>
          </w:p>
        </w:tc>
      </w:tr>
      <w:tr>
        <w:trPr>
          <w:trHeight w:val="27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222.9</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4"/>
                <w:szCs w:val="24"/>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261.7</w:t>
            </w:r>
          </w:p>
        </w:tc>
      </w:tr>
      <w:tr>
        <w:trPr>
          <w:trHeight w:val="237"/>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4,873.5</w:t>
            </w:r>
          </w:p>
        </w:tc>
        <w:tc>
          <w:tcPr>
            <w:tcW w:w="12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0"/>
                <w:szCs w:val="20"/>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4,845.8</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-1242695</wp:posOffset>
            </wp:positionV>
            <wp:extent cx="72294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-891540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-548005</wp:posOffset>
            </wp:positionV>
            <wp:extent cx="722947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-187960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2040" w:space="720"/>
            <w:col w:w="8640"/>
          </w:cols>
          <w:pgMar w:left="240" w:top="118"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Cubic yards (in millions):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Permitted airspace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Probable expansion airspace</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Total cubic yards (in millions)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Number of sites:</w:t>
      </w:r>
    </w:p>
    <w:p>
      <w:pPr>
        <w:spacing w:after="0" w:line="136" w:lineRule="exact"/>
        <w:rPr>
          <w:sz w:val="20"/>
          <w:szCs w:val="20"/>
          <w:color w:val="auto"/>
        </w:rPr>
      </w:pPr>
    </w:p>
    <w:p>
      <w:pPr>
        <w:ind w:left="200" w:right="220"/>
        <w:spacing w:after="0" w:line="546" w:lineRule="auto"/>
        <w:rPr>
          <w:sz w:val="20"/>
          <w:szCs w:val="20"/>
          <w:color w:val="auto"/>
        </w:rPr>
      </w:pPr>
      <w:r>
        <w:rPr>
          <w:rFonts w:ascii="Arial" w:cs="Arial" w:eastAsia="Arial" w:hAnsi="Arial"/>
          <w:sz w:val="12"/>
          <w:szCs w:val="12"/>
          <w:color w:val="auto"/>
        </w:rPr>
        <w:t>Permitted airspace Probable expansion airspace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Balance</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rPr>
              <w:t>Landfills</w:t>
            </w: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Permits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Changes</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Balance</w:t>
            </w:r>
          </w:p>
        </w:tc>
      </w:tr>
      <w:tr>
        <w:trPr>
          <w:trHeight w:val="149"/>
        </w:trPr>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as of</w:t>
            </w: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New</w:t>
            </w: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Acquired,</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in</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December 31,</w:t>
            </w:r>
          </w:p>
        </w:tc>
        <w:tc>
          <w:tcPr>
            <w:tcW w:w="11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Expansions</w:t>
            </w: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Net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6"/>
              </w:rPr>
              <w:t>Net of</w:t>
            </w:r>
          </w:p>
        </w:tc>
        <w:tc>
          <w:tcPr>
            <w:tcW w:w="120" w:type="dxa"/>
            <w:vAlign w:val="bottom"/>
          </w:tcPr>
          <w:p>
            <w:pPr>
              <w:spacing w:after="0"/>
              <w:rPr>
                <w:sz w:val="12"/>
                <w:szCs w:val="12"/>
                <w:color w:val="auto"/>
              </w:rPr>
            </w:pPr>
          </w:p>
        </w:tc>
        <w:tc>
          <w:tcPr>
            <w:tcW w:w="12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Airspace</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Engineering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r>
      <w:tr>
        <w:trPr>
          <w:trHeight w:val="188"/>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Undertaken</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Divestitures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Closures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Consumed</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Estimates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r>
      <w:tr>
        <w:trPr>
          <w:trHeight w:val="528"/>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4,562.5</w:t>
            </w:r>
          </w:p>
        </w:tc>
        <w:tc>
          <w:tcPr>
            <w:tcW w:w="12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164.4</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4,650.6</w:t>
            </w:r>
          </w:p>
        </w:tc>
      </w:tr>
      <w:tr>
        <w:trPr>
          <w:trHeight w:val="276"/>
        </w:trPr>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260.4</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222.9</w:t>
            </w:r>
          </w:p>
        </w:tc>
      </w:tr>
      <w:tr>
        <w:trPr>
          <w:trHeight w:val="237"/>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4,822.9</w:t>
            </w:r>
          </w:p>
        </w:tc>
        <w:tc>
          <w:tcPr>
            <w:tcW w:w="120" w:type="dxa"/>
            <w:vAlign w:val="bottom"/>
          </w:tcPr>
          <w:p>
            <w:pPr>
              <w:spacing w:after="0"/>
              <w:rPr>
                <w:sz w:val="20"/>
                <w:szCs w:val="20"/>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0"/>
                <w:szCs w:val="20"/>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113.3</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0"/>
                <w:szCs w:val="20"/>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4,873.5</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-1242695</wp:posOffset>
            </wp:positionV>
            <wp:extent cx="720344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8034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-891540</wp:posOffset>
            </wp:positionV>
            <wp:extent cx="72034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-548005</wp:posOffset>
            </wp:positionV>
            <wp:extent cx="720344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8859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-187960</wp:posOffset>
            </wp:positionV>
            <wp:extent cx="72034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2060" w:space="720"/>
            <w:col w:w="8620"/>
          </w:cols>
          <w:pgMar w:left="240" w:top="118" w:right="259" w:bottom="1440" w:gutter="0" w:footer="0" w:header="0"/>
          <w:type w:val="continuous"/>
        </w:sectPr>
      </w:pPr>
    </w:p>
    <w:p>
      <w:pPr>
        <w:ind w:right="660"/>
        <w:spacing w:after="0" w:line="277" w:lineRule="auto"/>
        <w:rPr>
          <w:sz w:val="20"/>
          <w:szCs w:val="20"/>
          <w:color w:val="auto"/>
        </w:rPr>
      </w:pPr>
      <w:r>
        <w:rPr>
          <w:rFonts w:ascii="Arial" w:cs="Arial" w:eastAsia="Arial" w:hAnsi="Arial"/>
          <w:sz w:val="18"/>
          <w:szCs w:val="18"/>
          <w:color w:val="auto"/>
        </w:rPr>
        <w:t>Changes in engineering estimates typically include modifications to the available disposal capacity of a landfill based on a refinement of the capacity calculations resulting from updated information.</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of December 31, 2015, we owned or operated 193 active solid waste landfills with total available disposal capacity estimated to be 4,966.6 million in-place cubic yards. Total available disposal capacity represents the sum of estimated permitted airspace plus an estimate of probable expansion airspace. Engineers develop these estimates at least annually using information provided by annual aerial surveys. As of December 31, 2015, total available disposal capacity is estimated to be 4,676.5 million in-place cubic yards of permitted airspace plus 290.1 million in-place cubic yards of probable expansion airspace. Before airspace included in an expansion area is determined to be probable expansion airspace and, therefore,</w:t>
      </w:r>
    </w:p>
    <w:p>
      <w:pPr>
        <w:sectPr>
          <w:pgSz w:w="11900" w:h="16838" w:orient="portrait"/>
          <w:cols w:equalWidth="0" w:num="1">
            <w:col w:w="11400"/>
          </w:cols>
          <w:pgMar w:left="240" w:top="118" w:right="259" w:bottom="1440" w:gutter="0" w:footer="0" w:header="0"/>
          <w:type w:val="continuous"/>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118" w:right="25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included in our calculation of total available disposal capacity, it must meet all of our expansion criteria. See Note 2,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w:t>
      </w:r>
      <w:r>
        <w:rPr>
          <w:rFonts w:ascii="Arial" w:cs="Arial" w:eastAsia="Arial" w:hAnsi="Arial"/>
          <w:sz w:val="16"/>
          <w:szCs w:val="16"/>
          <w:color w:val="auto"/>
        </w:rPr>
        <w:t>and Note 8,</w:t>
      </w:r>
      <w:r>
        <w:rPr>
          <w:rFonts w:ascii="Arial" w:cs="Arial" w:eastAsia="Arial" w:hAnsi="Arial"/>
          <w:sz w:val="16"/>
          <w:szCs w:val="16"/>
          <w:i w:val="1"/>
          <w:iCs w:val="1"/>
          <w:color w:val="auto"/>
        </w:rPr>
        <w:t xml:space="preserve"> Landfill and Environmental Costs</w:t>
      </w:r>
      <w:r>
        <w:rPr>
          <w:rFonts w:ascii="Arial" w:cs="Arial" w:eastAsia="Arial" w:hAnsi="Arial"/>
          <w:sz w:val="16"/>
          <w:szCs w:val="16"/>
          <w:color w:val="auto"/>
        </w:rPr>
        <w:t>, to our consolidated financial statements in Item 8 of this Form 10-K for further information. Also see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w:t>
      </w:r>
      <w:r>
        <w:rPr>
          <w:rFonts w:ascii="Arial" w:cs="Arial" w:eastAsia="Arial" w:hAnsi="Arial"/>
          <w:sz w:val="16"/>
          <w:szCs w:val="16"/>
          <w:i w:val="1"/>
          <w:iCs w:val="1"/>
          <w:color w:val="auto"/>
        </w:rPr>
        <w:t>"Critical Accounting Judgments and Estimates"</w:t>
      </w:r>
      <w:r>
        <w:rPr>
          <w:rFonts w:ascii="Arial" w:cs="Arial" w:eastAsia="Arial" w:hAnsi="Arial"/>
          <w:sz w:val="16"/>
          <w:szCs w:val="16"/>
          <w:color w:val="auto"/>
        </w:rPr>
        <w:t xml:space="preserve"> section of this Management's Discussion and Analysis of Financial Condition and Results of Operations.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2015, twelve of our landfills met all of our criteria for including their probable expansion airspace in their total available disposal capacity. At projected annual volumes, these twelve landfills have an estimated remaining average site life of 46 years, including probable expansion airspace. The average estimated remaining life of all of our landfills is 65 years. We have other expansion opportunities that are not included in our total available airspace because they do not meet all of our criteria for treatment as probable expansion airspace.</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reflects the estimated operating lives of our active landfill sites based on available and probable disposal capacity using current annual volumes as of December 31, 2015: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Number</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Number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of Sites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of Sites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without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with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Probable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Probable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Percent</w:t>
            </w:r>
          </w:p>
        </w:tc>
      </w:tr>
      <w:tr>
        <w:trPr>
          <w:trHeight w:val="216"/>
        </w:trPr>
        <w:tc>
          <w:tcPr>
            <w:tcW w:w="55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Expansion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Expansion</w:t>
            </w: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440" w:type="dxa"/>
            <w:vAlign w:val="bottom"/>
          </w:tcPr>
          <w:p>
            <w:pPr>
              <w:jc w:val="center"/>
              <w:spacing w:after="0"/>
              <w:rPr>
                <w:sz w:val="20"/>
                <w:szCs w:val="20"/>
                <w:color w:val="auto"/>
              </w:rPr>
            </w:pPr>
            <w:r>
              <w:rPr>
                <w:rFonts w:ascii="Arial" w:cs="Arial" w:eastAsia="Arial" w:hAnsi="Arial"/>
                <w:sz w:val="18"/>
                <w:szCs w:val="18"/>
                <w:color w:val="auto"/>
              </w:rPr>
              <w:t>of</w:t>
            </w:r>
          </w:p>
        </w:tc>
      </w:tr>
      <w:tr>
        <w:trPr>
          <w:trHeight w:val="230"/>
        </w:trPr>
        <w:tc>
          <w:tcPr>
            <w:tcW w:w="558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Airspace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Airspace</w:t>
            </w: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Sites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7"/>
        </w:trPr>
        <w:tc>
          <w:tcPr>
            <w:tcW w:w="5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 to 5 years</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6 to 10 years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7.3</w:t>
            </w:r>
          </w:p>
        </w:tc>
      </w:tr>
      <w:tr>
        <w:trPr>
          <w:trHeight w:val="27"/>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 to 20 years</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18.7</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21 to 40 years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22.7</w:t>
            </w:r>
          </w:p>
        </w:tc>
      </w:tr>
      <w:tr>
        <w:trPr>
          <w:trHeight w:val="27"/>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 years</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41.5</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9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As of December 31, 2015, accrued final capping, closure and post-closure costs were $1,181.6 million, of which $87.4 million were current and $1,094.2 million were long-term as reflected in our consolidated balance sheets in accrued landfill and environmental costs included in Item 8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and Other Charges for Landfill Matters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reasonably possible that we will need to adjust our liabilities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certain of our significant remediation matters:</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Bridgeton Landfill. </w:t>
      </w:r>
      <w:r>
        <w:rPr>
          <w:rFonts w:ascii="Arial" w:cs="Arial" w:eastAsia="Arial" w:hAnsi="Arial"/>
          <w:sz w:val="16"/>
          <w:szCs w:val="16"/>
          <w:color w:val="auto"/>
        </w:rPr>
        <w:t>During the year ended December 31, 2015, we paid $34.5 million related to management and monitoring of the remediation area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closed Bridgeton Landfill in Missouri. We continue to work with state and federal regulatory agencies on our remediation efforts. From time to time, this may require us to modify our future operating timeline and procedures, which could result in changes to our expected liability. As of December 31, 2015, the remediation liability recorded for this site is $217.5 million, of which $21.7 million is expected to be paid during 2016. We believe the remaining reasonably possible high end of our range would be approximately $164 million higher than the amount recorded as of December 31, 2015.</w:t>
      </w:r>
    </w:p>
    <w:p>
      <w:pPr>
        <w:spacing w:after="0" w:line="10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2015, we collected an insurance recovery of $50.0 million related to our Bridgeton Landfill. As such, we recorded a reduction of remediation expenses included in our cost of operations during the year ended December 31, 2015.</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Congress Landfill. </w:t>
      </w:r>
      <w:r>
        <w:rPr>
          <w:rFonts w:ascii="Arial" w:cs="Arial" w:eastAsia="Arial" w:hAnsi="Arial"/>
          <w:sz w:val="17"/>
          <w:szCs w:val="17"/>
          <w:color w:val="auto"/>
        </w:rPr>
        <w:t>In August 2010, Congress Development Company agreed with the State of Illinois to have a Final Consent Order (Final Order) entered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Circuit Court of Illinois, Cook County. Pursuant to the Final Order, we agreed to continue to implement certain remedial activities at the Congress Landfill. The remediation liability recorded as of December 31, 2015 is $78.5 million, of which $3.4 million is expected to be paid during 2016. We believe the remaining reasonably possible high end of our range would be approximately $16 million higher than the amount recorded as of December 31, 2015. Because favorable developments have occurred with respect to (1) the volume of leachate pumped at the site and (2) our ability to dispose of leachate in the local publicly owned treatment works, we no longer need to expand the onsite treatment facility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expected costs have decreased from prior years. Further, the majority of the Final Order requirements have been satisfied and the site now is primarily going through routine operation for a closed landfill. Accordingly, we will omit the Congress Landfill from future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Landfills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reflect changes in our investment in landfills for the years ended December 31, 2015, 2014 and 2013 and the future expected investment as of December 31, 2015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Non-cash</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Impairments,</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Adjustments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Balance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Transfers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for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as of</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Acquisitions</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Charged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Net of</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Retirements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Divestitures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Obligations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Expense</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Adjustments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Obligations</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Non-depletable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 land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Landfill</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5,645.3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6,078.1</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Construction-in-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progress -</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depletion and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(2,437.4)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(2,723.0)</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Net investment in</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landfill land</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3,510.9</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173.1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3,712.3</w:t>
            </w: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Non-cash</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Impairments,</w:t>
            </w: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Adjustments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Balance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Transfers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for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as of</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Acquisitions</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Charged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Net of</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Retirements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Divestitures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Obligations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Expense</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Adjustments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Obligations</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Non-depletable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 land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Landfill</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5,392.7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5,645.3</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Construction-in-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progress -</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depletion and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(2,160.2)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(2,437.4)</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Net investment in</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landfill land</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3,469.2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266.4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3,510.9</w:t>
            </w:r>
          </w:p>
        </w:tc>
        <w:tc>
          <w:tcPr>
            <w:tcW w:w="0" w:type="dxa"/>
            <w:vAlign w:val="bottom"/>
          </w:tcPr>
          <w:p>
            <w:pPr>
              <w:spacing w:after="0"/>
              <w:rPr>
                <w:sz w:val="1"/>
                <w:szCs w:val="1"/>
                <w:color w:val="auto"/>
              </w:rPr>
            </w:pPr>
          </w:p>
        </w:tc>
      </w:tr>
      <w:tr>
        <w:trPr>
          <w:trHeight w:val="181"/>
        </w:trPr>
        <w:tc>
          <w:tcPr>
            <w:tcW w:w="1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1180" w:type="dxa"/>
            <w:vAlign w:val="bottom"/>
            <w:gridSpan w:val="3"/>
          </w:tcPr>
          <w:p>
            <w:pPr>
              <w:spacing w:after="0"/>
              <w:rPr>
                <w:rFonts w:ascii="Arial" w:cs="Arial" w:eastAsia="Arial" w:hAnsi="Arial"/>
                <w:sz w:val="14"/>
                <w:szCs w:val="14"/>
                <w:b w:val="1"/>
                <w:bCs w:val="1"/>
                <w:color w:val="0000EE"/>
                <w:w w:val="98"/>
              </w:rPr>
            </w:pPr>
            <w:hyperlink w:anchor="page1">
              <w:r>
                <w:rPr>
                  <w:rFonts w:ascii="Arial" w:cs="Arial" w:eastAsia="Arial" w:hAnsi="Arial"/>
                  <w:sz w:val="14"/>
                  <w:szCs w:val="14"/>
                  <w:b w:val="1"/>
                  <w:bCs w:val="1"/>
                  <w:color w:val="0000EE"/>
                  <w:w w:val="98"/>
                </w:rPr>
                <w:t>Table of Contents</w:t>
              </w:r>
            </w:hyperlink>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4"/>
        </w:trPr>
        <w:tc>
          <w:tcPr>
            <w:tcW w:w="10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Non-cash</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color w:val="auto"/>
                <w:w w:val="93"/>
              </w:rPr>
              <w:t>Impairments,</w:t>
            </w:r>
          </w:p>
        </w:tc>
        <w:tc>
          <w:tcPr>
            <w:tcW w:w="100" w:type="dxa"/>
            <w:vAlign w:val="bottom"/>
          </w:tcPr>
          <w:p>
            <w:pPr>
              <w:spacing w:after="0"/>
              <w:rPr>
                <w:sz w:val="24"/>
                <w:szCs w:val="2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color w:val="auto"/>
                <w:w w:val="96"/>
              </w:rPr>
              <w:t>Adjustments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Balance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Additions</w:t>
            </w:r>
          </w:p>
        </w:tc>
        <w:tc>
          <w:tcPr>
            <w:tcW w:w="1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Additions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rPr>
              <w:t>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as of</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Acquisitions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for Asset</w:t>
            </w:r>
          </w:p>
        </w:tc>
        <w:tc>
          <w:tcPr>
            <w:tcW w:w="14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Charged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85"/>
              </w:rPr>
              <w:t>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Asset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December 31,</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Net of</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Retirement</w:t>
            </w:r>
          </w:p>
        </w:tc>
        <w:tc>
          <w:tcPr>
            <w:tcW w:w="1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Retirement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color w:val="auto"/>
                <w:w w:val="96"/>
              </w:rPr>
              <w:t>2012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Retirements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Divestitures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Obligations</w:t>
            </w:r>
          </w:p>
        </w:tc>
        <w:tc>
          <w:tcPr>
            <w:tcW w:w="14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Expense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color w:val="auto"/>
                <w:w w:val="93"/>
              </w:rPr>
              <w:t>Adjustments</w:t>
            </w:r>
          </w:p>
        </w:tc>
        <w:tc>
          <w:tcPr>
            <w:tcW w:w="100" w:type="dxa"/>
            <w:vAlign w:val="bottom"/>
          </w:tcPr>
          <w:p>
            <w:pPr>
              <w:spacing w:after="0"/>
              <w:rPr>
                <w:sz w:val="16"/>
                <w:szCs w:val="16"/>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Obligations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143"/>
        </w:trPr>
        <w:tc>
          <w:tcPr>
            <w:tcW w:w="1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Non-depletable</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 land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81"/>
              </w:rPr>
              <w:t>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Landfill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00"/>
              <w:spacing w:after="0" w:line="149" w:lineRule="exact"/>
              <w:rPr>
                <w:sz w:val="20"/>
                <w:szCs w:val="20"/>
                <w:color w:val="auto"/>
              </w:rPr>
            </w:pPr>
            <w:r>
              <w:rPr>
                <w:rFonts w:ascii="Arial" w:cs="Arial" w:eastAsia="Arial" w:hAnsi="Arial"/>
                <w:sz w:val="14"/>
                <w:szCs w:val="14"/>
                <w:color w:val="auto"/>
              </w:rPr>
              <w:t>development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200"/>
              <w:spacing w:after="0"/>
              <w:rPr>
                <w:sz w:val="20"/>
                <w:szCs w:val="20"/>
                <w:color w:val="auto"/>
              </w:rPr>
            </w:pPr>
            <w:r>
              <w:rPr>
                <w:rFonts w:ascii="Arial" w:cs="Arial" w:eastAsia="Arial" w:hAnsi="Arial"/>
                <w:sz w:val="14"/>
                <w:szCs w:val="14"/>
                <w:color w:val="auto"/>
              </w:rPr>
              <w:t>costs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5,018.0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gridSpan w:val="6"/>
          </w:tcPr>
          <w:p>
            <w:pPr>
              <w:jc w:val="right"/>
              <w:ind w:right="100"/>
              <w:spacing w:after="0"/>
              <w:rPr>
                <w:sz w:val="20"/>
                <w:szCs w:val="20"/>
                <w:color w:val="auto"/>
              </w:rPr>
            </w:pPr>
            <w:r>
              <w:rPr>
                <w:rFonts w:ascii="Arial" w:cs="Arial" w:eastAsia="Arial" w:hAnsi="Arial"/>
                <w:sz w:val="14"/>
                <w:szCs w:val="14"/>
                <w:color w:val="auto"/>
              </w:rPr>
              <w:t>323.6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5,392.7</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Construction-in-</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progress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gridSpan w:val="6"/>
            <w:shd w:val="clear" w:color="auto" w:fill="CCEEFF"/>
          </w:tcPr>
          <w:p>
            <w:pPr>
              <w:jc w:val="right"/>
              <w:ind w:right="60"/>
              <w:spacing w:after="0"/>
              <w:rPr>
                <w:sz w:val="20"/>
                <w:szCs w:val="20"/>
                <w:color w:val="auto"/>
              </w:rPr>
            </w:pPr>
            <w:r>
              <w:rPr>
                <w:rFonts w:ascii="Arial" w:cs="Arial" w:eastAsia="Arial" w:hAnsi="Arial"/>
                <w:sz w:val="14"/>
                <w:szCs w:val="14"/>
                <w:color w:val="auto"/>
              </w:rPr>
              <w:t>(321.5)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00"/>
              <w:spacing w:after="0" w:line="149" w:lineRule="exact"/>
              <w:rPr>
                <w:sz w:val="20"/>
                <w:szCs w:val="20"/>
                <w:color w:val="auto"/>
              </w:rPr>
            </w:pPr>
            <w:r>
              <w:rPr>
                <w:rFonts w:ascii="Arial" w:cs="Arial" w:eastAsia="Arial" w:hAnsi="Arial"/>
                <w:sz w:val="14"/>
                <w:szCs w:val="14"/>
                <w:color w:val="auto"/>
                <w:w w:val="97"/>
              </w:rPr>
              <w:t>depletion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(1,896.4)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(262.2)</w:t>
            </w:r>
          </w:p>
        </w:tc>
        <w:tc>
          <w:tcPr>
            <w:tcW w:w="1260" w:type="dxa"/>
            <w:vAlign w:val="bottom"/>
            <w:gridSpan w:val="6"/>
          </w:tcPr>
          <w:p>
            <w:pPr>
              <w:jc w:val="right"/>
              <w:ind w:right="6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(2,160.2)</w:t>
            </w:r>
          </w:p>
        </w:tc>
        <w:tc>
          <w:tcPr>
            <w:tcW w:w="0" w:type="dxa"/>
            <w:vAlign w:val="bottom"/>
          </w:tcPr>
          <w:p>
            <w:pPr>
              <w:spacing w:after="0"/>
              <w:rPr>
                <w:sz w:val="1"/>
                <w:szCs w:val="1"/>
                <w:color w:val="auto"/>
              </w:rPr>
            </w:pPr>
          </w:p>
        </w:tc>
      </w:tr>
      <w:tr>
        <w:trPr>
          <w:trHeight w:val="143"/>
        </w:trPr>
        <w:tc>
          <w:tcPr>
            <w:tcW w:w="1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Net investment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 landfill</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land and</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3,422.1</w:t>
            </w:r>
          </w:p>
        </w:tc>
        <w:tc>
          <w:tcPr>
            <w:tcW w:w="1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264.4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(262.2)</w:t>
            </w:r>
          </w:p>
        </w:tc>
        <w:tc>
          <w:tcPr>
            <w:tcW w:w="980" w:type="dxa"/>
            <w:vAlign w:val="bottom"/>
            <w:gridSpan w:val="3"/>
            <w:vMerge w:val="restart"/>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2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81"/>
              </w:rPr>
              <w:t>0.4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12.3</w:t>
            </w:r>
          </w:p>
        </w:tc>
        <w:tc>
          <w:tcPr>
            <w:tcW w:w="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3,469.2</w:t>
            </w:r>
          </w:p>
        </w:tc>
        <w:tc>
          <w:tcPr>
            <w:tcW w:w="0" w:type="dxa"/>
            <w:vAlign w:val="bottom"/>
          </w:tcPr>
          <w:p>
            <w:pPr>
              <w:spacing w:after="0"/>
              <w:rPr>
                <w:sz w:val="1"/>
                <w:szCs w:val="1"/>
                <w:color w:val="auto"/>
              </w:rPr>
            </w:pPr>
          </w:p>
        </w:tc>
      </w:tr>
      <w:tr>
        <w:trPr>
          <w:trHeight w:val="181"/>
        </w:trPr>
        <w:tc>
          <w:tcPr>
            <w:tcW w:w="1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gridSpan w:val="2"/>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2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188"/>
              <w:spacing w:after="0"/>
              <w:rPr>
                <w:sz w:val="20"/>
                <w:szCs w:val="20"/>
                <w:color w:val="auto"/>
              </w:rPr>
            </w:pPr>
            <w:r>
              <w:rPr>
                <w:rFonts w:ascii="Arial" w:cs="Arial" w:eastAsia="Arial" w:hAnsi="Arial"/>
                <w:sz w:val="14"/>
                <w:szCs w:val="14"/>
                <w:color w:val="auto"/>
                <w:w w:val="90"/>
              </w:rPr>
              <w:t>Balance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2"/>
              </w:rPr>
              <w:t>as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2"/>
              </w:rPr>
              <w:t>Expected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68"/>
              <w:spacing w:after="0" w:line="14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3"/>
              </w:rPr>
              <w:t>Future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9"/>
              </w:rPr>
              <w:t>Expected</w:t>
            </w:r>
          </w:p>
        </w:tc>
        <w:tc>
          <w:tcPr>
            <w:tcW w:w="0" w:type="dxa"/>
            <w:vAlign w:val="bottom"/>
          </w:tcPr>
          <w:p>
            <w:pPr>
              <w:spacing w:after="0"/>
              <w:rPr>
                <w:sz w:val="1"/>
                <w:szCs w:val="1"/>
                <w:color w:val="auto"/>
              </w:rPr>
            </w:pPr>
          </w:p>
        </w:tc>
      </w:tr>
      <w:tr>
        <w:trPr>
          <w:trHeight w:val="188"/>
        </w:trPr>
        <w:tc>
          <w:tcPr>
            <w:tcW w:w="10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color w:val="auto"/>
                <w:w w:val="89"/>
              </w:rPr>
              <w:t>2015</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86"/>
              <w:spacing w:after="0"/>
              <w:rPr>
                <w:sz w:val="20"/>
                <w:szCs w:val="20"/>
                <w:color w:val="auto"/>
              </w:rPr>
            </w:pPr>
            <w:r>
              <w:rPr>
                <w:rFonts w:ascii="Arial" w:cs="Arial" w:eastAsia="Arial" w:hAnsi="Arial"/>
                <w:sz w:val="14"/>
                <w:szCs w:val="14"/>
                <w:color w:val="auto"/>
                <w:w w:val="93"/>
              </w:rPr>
              <w:t>Investment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3"/>
              </w:rPr>
              <w:t>Investment</w:t>
            </w:r>
          </w:p>
        </w:tc>
        <w:tc>
          <w:tcPr>
            <w:tcW w:w="0" w:type="dxa"/>
            <w:vAlign w:val="bottom"/>
          </w:tcPr>
          <w:p>
            <w:pPr>
              <w:spacing w:after="0"/>
              <w:rPr>
                <w:sz w:val="1"/>
                <w:szCs w:val="1"/>
                <w:color w:val="auto"/>
              </w:rPr>
            </w:pPr>
          </w:p>
        </w:tc>
      </w:tr>
      <w:tr>
        <w:trPr>
          <w:trHeight w:val="177"/>
        </w:trPr>
        <w:tc>
          <w:tcPr>
            <w:tcW w:w="23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Non-depletable landfill land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165.6</w:t>
            </w:r>
          </w:p>
        </w:tc>
        <w:tc>
          <w:tcPr>
            <w:tcW w:w="2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80"/>
        </w:trPr>
        <w:tc>
          <w:tcPr>
            <w:tcW w:w="10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80" w:type="dxa"/>
            <w:vAlign w:val="bottom"/>
            <w:gridSpan w:val="3"/>
            <w:vMerge w:val="continue"/>
            <w:shd w:val="clear" w:color="auto" w:fill="CCEEFF"/>
          </w:tcPr>
          <w:p>
            <w:pPr>
              <w:spacing w:after="0"/>
              <w:rPr>
                <w:sz w:val="6"/>
                <w:szCs w:val="6"/>
                <w:color w:val="auto"/>
              </w:rPr>
            </w:pPr>
          </w:p>
        </w:tc>
        <w:tc>
          <w:tcPr>
            <w:tcW w:w="2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40" w:type="dxa"/>
            <w:vAlign w:val="bottom"/>
            <w:gridSpan w:val="5"/>
          </w:tcPr>
          <w:p>
            <w:pPr>
              <w:ind w:left="40"/>
              <w:spacing w:after="0"/>
              <w:rPr>
                <w:sz w:val="20"/>
                <w:szCs w:val="20"/>
                <w:color w:val="auto"/>
              </w:rPr>
            </w:pPr>
            <w:r>
              <w:rPr>
                <w:rFonts w:ascii="Arial" w:cs="Arial" w:eastAsia="Arial" w:hAnsi="Arial"/>
                <w:sz w:val="14"/>
                <w:szCs w:val="14"/>
                <w:color w:val="auto"/>
              </w:rPr>
              <w:t>Landfill development costs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6,078.1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26"/>
              <w:spacing w:after="0"/>
              <w:rPr>
                <w:sz w:val="20"/>
                <w:szCs w:val="20"/>
                <w:color w:val="auto"/>
              </w:rPr>
            </w:pPr>
            <w:r>
              <w:rPr>
                <w:rFonts w:ascii="Arial" w:cs="Arial" w:eastAsia="Arial" w:hAnsi="Arial"/>
                <w:sz w:val="14"/>
                <w:szCs w:val="14"/>
                <w:color w:val="auto"/>
              </w:rPr>
              <w:t>8,153.3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14,231.4</w:t>
            </w:r>
          </w:p>
        </w:tc>
        <w:tc>
          <w:tcPr>
            <w:tcW w:w="0" w:type="dxa"/>
            <w:vAlign w:val="bottom"/>
          </w:tcPr>
          <w:p>
            <w:pPr>
              <w:spacing w:after="0"/>
              <w:rPr>
                <w:sz w:val="1"/>
                <w:szCs w:val="1"/>
                <w:color w:val="auto"/>
              </w:rPr>
            </w:pPr>
          </w:p>
        </w:tc>
      </w:tr>
      <w:tr>
        <w:trPr>
          <w:trHeight w:val="74"/>
        </w:trPr>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3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Construction-in-progress - landfill</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CCEEFF"/>
            </w:tcBorders>
            <w:gridSpan w:val="6"/>
          </w:tcPr>
          <w:p>
            <w:pPr>
              <w:ind w:left="40"/>
              <w:spacing w:after="0"/>
              <w:rPr>
                <w:sz w:val="20"/>
                <w:szCs w:val="20"/>
                <w:color w:val="auto"/>
              </w:rPr>
            </w:pPr>
            <w:r>
              <w:rPr>
                <w:rFonts w:ascii="Arial" w:cs="Arial" w:eastAsia="Arial" w:hAnsi="Arial"/>
                <w:sz w:val="14"/>
                <w:szCs w:val="14"/>
                <w:color w:val="auto"/>
                <w:w w:val="97"/>
              </w:rPr>
              <w:t>Accumulated depletion and amortization</w:t>
            </w: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(2,723.0)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(2,723.0)</w:t>
            </w:r>
          </w:p>
        </w:tc>
        <w:tc>
          <w:tcPr>
            <w:tcW w:w="0" w:type="dxa"/>
            <w:vAlign w:val="bottom"/>
          </w:tcPr>
          <w:p>
            <w:pPr>
              <w:spacing w:after="0"/>
              <w:rPr>
                <w:sz w:val="1"/>
                <w:szCs w:val="1"/>
                <w:color w:val="auto"/>
              </w:rPr>
            </w:pPr>
          </w:p>
        </w:tc>
      </w:tr>
      <w:tr>
        <w:trPr>
          <w:trHeight w:val="177"/>
        </w:trPr>
        <w:tc>
          <w:tcPr>
            <w:tcW w:w="338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Net investment in landfill land and development costs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3,712.3</w:t>
            </w:r>
          </w:p>
        </w:tc>
        <w:tc>
          <w:tcPr>
            <w:tcW w:w="2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8,153.3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11,865.6</w:t>
            </w:r>
          </w:p>
        </w:tc>
        <w:tc>
          <w:tcPr>
            <w:tcW w:w="0" w:type="dxa"/>
            <w:vAlign w:val="bottom"/>
          </w:tcPr>
          <w:p>
            <w:pPr>
              <w:spacing w:after="0"/>
              <w:rPr>
                <w:sz w:val="1"/>
                <w:szCs w:val="1"/>
                <w:color w:val="auto"/>
              </w:rPr>
            </w:pPr>
          </w:p>
        </w:tc>
      </w:tr>
      <w:tr>
        <w:trPr>
          <w:trHeight w:val="60"/>
        </w:trPr>
        <w:tc>
          <w:tcPr>
            <w:tcW w:w="10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gridSpan w:val="2"/>
            <w:vMerge w:val="continue"/>
            <w:shd w:val="clear" w:color="auto" w:fill="CCEEFF"/>
          </w:tcPr>
          <w:p>
            <w:pPr>
              <w:spacing w:after="0"/>
              <w:rPr>
                <w:sz w:val="5"/>
                <w:szCs w:val="5"/>
                <w:color w:val="auto"/>
              </w:rPr>
            </w:pPr>
          </w:p>
        </w:tc>
        <w:tc>
          <w:tcPr>
            <w:tcW w:w="980" w:type="dxa"/>
            <w:vAlign w:val="bottom"/>
            <w:gridSpan w:val="3"/>
            <w:vMerge w:val="continue"/>
            <w:shd w:val="clear" w:color="auto" w:fill="CCEEFF"/>
          </w:tcPr>
          <w:p>
            <w:pPr>
              <w:spacing w:after="0"/>
              <w:rPr>
                <w:sz w:val="5"/>
                <w:szCs w:val="5"/>
                <w:color w:val="auto"/>
              </w:rPr>
            </w:pPr>
          </w:p>
        </w:tc>
        <w:tc>
          <w:tcPr>
            <w:tcW w:w="28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reflects our net investment in our landfills, excluding non-depletable land, and our depletion, amortization and accretion expense for the years ended December 31, 2015, 2014 and 2013: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Number of landfills owned or operated</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60"/>
        </w:trPr>
        <w:tc>
          <w:tcPr>
            <w:tcW w:w="7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4"/>
                <w:szCs w:val="14"/>
                <w:color w:val="auto"/>
              </w:rPr>
              <w:t>Net investment, excluding non-depletable land (in millions)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80" w:type="dxa"/>
            <w:vAlign w:val="bottom"/>
            <w:vMerge w:val="continue"/>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3,546.7</w:t>
            </w:r>
          </w:p>
        </w:tc>
        <w:tc>
          <w:tcPr>
            <w:tcW w:w="12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3,348.7</w:t>
            </w:r>
          </w:p>
        </w:tc>
        <w:tc>
          <w:tcPr>
            <w:tcW w:w="10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3,305.0</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estimated available disposal capacity (in millions of cubic yards)</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4,966.6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4,845.8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4,873.5</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80" w:type="dxa"/>
            <w:vAlign w:val="bottom"/>
          </w:tcPr>
          <w:p>
            <w:pPr>
              <w:ind w:left="40"/>
              <w:spacing w:after="0"/>
              <w:rPr>
                <w:sz w:val="20"/>
                <w:szCs w:val="20"/>
                <w:color w:val="auto"/>
              </w:rPr>
            </w:pPr>
            <w:r>
              <w:rPr>
                <w:rFonts w:ascii="Arial" w:cs="Arial" w:eastAsia="Arial" w:hAnsi="Arial"/>
                <w:sz w:val="14"/>
                <w:szCs w:val="14"/>
                <w:color w:val="auto"/>
              </w:rPr>
              <w:t>Net investment per cubic yard</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0.71</w:t>
            </w:r>
          </w:p>
        </w:tc>
        <w:tc>
          <w:tcPr>
            <w:tcW w:w="120" w:type="dxa"/>
            <w:vAlign w:val="bottom"/>
          </w:tcPr>
          <w:p>
            <w:pPr>
              <w:spacing w:after="0"/>
              <w:rPr>
                <w:sz w:val="14"/>
                <w:szCs w:val="14"/>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14"/>
                <w:szCs w:val="14"/>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00"/>
        </w:trPr>
        <w:tc>
          <w:tcPr>
            <w:tcW w:w="70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0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Landfill depletion and amortization expense (in millions)</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285.3</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263.0</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261.9</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40"/>
              <w:spacing w:after="0"/>
              <w:rPr>
                <w:sz w:val="20"/>
                <w:szCs w:val="20"/>
                <w:color w:val="auto"/>
              </w:rPr>
            </w:pPr>
            <w:r>
              <w:rPr>
                <w:rFonts w:ascii="Arial" w:cs="Arial" w:eastAsia="Arial" w:hAnsi="Arial"/>
                <w:sz w:val="14"/>
                <w:szCs w:val="14"/>
                <w:color w:val="auto"/>
              </w:rPr>
              <w:t>Accretion expense (in millions)</w:t>
            </w:r>
          </w:p>
        </w:tc>
        <w:tc>
          <w:tcPr>
            <w:tcW w:w="3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74"/>
        </w:trPr>
        <w:tc>
          <w:tcPr>
            <w:tcW w:w="7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338.5</w:t>
            </w:r>
          </w:p>
        </w:tc>
        <w:tc>
          <w:tcPr>
            <w:tcW w:w="0" w:type="dxa"/>
            <w:vAlign w:val="bottom"/>
          </w:tcPr>
          <w:p>
            <w:pPr>
              <w:spacing w:after="0"/>
              <w:rPr>
                <w:sz w:val="1"/>
                <w:szCs w:val="1"/>
                <w:color w:val="auto"/>
              </w:rPr>
            </w:pPr>
          </w:p>
        </w:tc>
      </w:tr>
      <w:tr>
        <w:trPr>
          <w:trHeight w:val="191"/>
        </w:trPr>
        <w:tc>
          <w:tcPr>
            <w:tcW w:w="7080" w:type="dxa"/>
            <w:vAlign w:val="bottom"/>
          </w:tcPr>
          <w:p>
            <w:pPr>
              <w:ind w:left="40"/>
              <w:spacing w:after="0"/>
              <w:rPr>
                <w:sz w:val="20"/>
                <w:szCs w:val="20"/>
                <w:color w:val="auto"/>
              </w:rPr>
            </w:pPr>
            <w:r>
              <w:rPr>
                <w:rFonts w:ascii="Arial" w:cs="Arial" w:eastAsia="Arial" w:hAnsi="Arial"/>
                <w:sz w:val="14"/>
                <w:szCs w:val="14"/>
                <w:color w:val="auto"/>
              </w:rPr>
              <w:t>Airspace consumed (in millions of cubic yards)</w:t>
            </w:r>
          </w:p>
        </w:tc>
        <w:tc>
          <w:tcPr>
            <w:tcW w:w="3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74"/>
        </w:trPr>
        <w:tc>
          <w:tcPr>
            <w:tcW w:w="7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Depletion, amortization and accretion expense per cubic yard of airspace consumed</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60"/>
        </w:trPr>
        <w:tc>
          <w:tcPr>
            <w:tcW w:w="7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During 2015 and 2014, our average compaction rate was approximately 2,000 pounds per cubic yard based on a three-year historical moving average.</w:t>
      </w:r>
    </w:p>
    <w:p>
      <w:pPr>
        <w:spacing w:after="0" w:line="18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of December 31, 2015, we expect to spend an estimated additional $8.2 billion on existing landfills, primarily related to cell construction and environmental structures, over their remaining lives. Our total expected investment, excluding non-depletable land, estimated to be $11.7 billion, or $2.36 per cubic yard, is used in determining our depletion and amortization expense based on airspace consumed using the units-of-consumption method.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4"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tables reflect the activity in our property and equipment accounts for the years ended December 31, 2015, 2014 and 2013 (in millions of dollars):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color w:val="auto"/>
              </w:rPr>
              <w:t>Gross Property and Equipment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center"/>
              <w:ind w:right="240"/>
              <w:spacing w:after="0" w:line="157" w:lineRule="exact"/>
              <w:rPr>
                <w:sz w:val="20"/>
                <w:szCs w:val="20"/>
                <w:color w:val="auto"/>
              </w:rPr>
            </w:pPr>
            <w:r>
              <w:rPr>
                <w:rFonts w:ascii="Arial" w:cs="Arial" w:eastAsia="Arial" w:hAnsi="Arial"/>
                <w:sz w:val="14"/>
                <w:szCs w:val="14"/>
                <w:color w:val="auto"/>
                <w:w w:val="91"/>
              </w:rPr>
              <w:t>Non-Cash</w:t>
            </w:r>
          </w:p>
        </w:tc>
        <w:tc>
          <w:tcPr>
            <w:tcW w:w="120" w:type="dxa"/>
            <w:vAlign w:val="bottom"/>
          </w:tcPr>
          <w:p>
            <w:pPr>
              <w:spacing w:after="0"/>
              <w:rPr>
                <w:sz w:val="13"/>
                <w:szCs w:val="13"/>
                <w:color w:val="auto"/>
              </w:rPr>
            </w:pPr>
          </w:p>
        </w:tc>
        <w:tc>
          <w:tcPr>
            <w:tcW w:w="1000" w:type="dxa"/>
            <w:vAlign w:val="bottom"/>
            <w:gridSpan w:val="4"/>
          </w:tcPr>
          <w:p>
            <w:pPr>
              <w:jc w:val="center"/>
              <w:ind w:right="240"/>
              <w:spacing w:after="0" w:line="157" w:lineRule="exact"/>
              <w:rPr>
                <w:sz w:val="20"/>
                <w:szCs w:val="20"/>
                <w:color w:val="auto"/>
              </w:rPr>
            </w:pPr>
            <w:r>
              <w:rPr>
                <w:rFonts w:ascii="Arial" w:cs="Arial" w:eastAsia="Arial" w:hAnsi="Arial"/>
                <w:sz w:val="14"/>
                <w:szCs w:val="14"/>
                <w:color w:val="auto"/>
                <w:w w:val="93"/>
              </w:rPr>
              <w:t>Adjustments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240"/>
              <w:spacing w:after="0" w:line="157" w:lineRule="exact"/>
              <w:rPr>
                <w:sz w:val="20"/>
                <w:szCs w:val="20"/>
                <w:color w:val="auto"/>
              </w:rPr>
            </w:pPr>
            <w:r>
              <w:rPr>
                <w:rFonts w:ascii="Arial" w:cs="Arial" w:eastAsia="Arial" w:hAnsi="Arial"/>
                <w:sz w:val="14"/>
                <w:szCs w:val="14"/>
                <w:color w:val="auto"/>
                <w:w w:val="93"/>
              </w:rPr>
              <w:t>Impairments,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Balance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7"/>
              </w:rPr>
              <w:t>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2"/>
              </w:rPr>
              <w:t>as of</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Acquisitions,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2"/>
              </w:rPr>
              <w:t>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3"/>
              </w:rPr>
              <w:t>December 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Net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2014</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7"/>
              </w:rPr>
              <w:t>Additions</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w w:val="95"/>
              </w:rPr>
              <w:t>Retirements</w:t>
            </w:r>
          </w:p>
        </w:tc>
        <w:tc>
          <w:tcPr>
            <w:tcW w:w="120" w:type="dxa"/>
            <w:vAlign w:val="bottom"/>
            <w:tcBorders>
              <w:bottom w:val="single" w:sz="8" w:color="CCEEFF"/>
            </w:tcBorders>
            <w:gridSpan w:val="3"/>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2"/>
              </w:rPr>
              <w:t>Divestitures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4"/>
              </w:rPr>
              <w:t>Obligations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Obligations</w:t>
            </w:r>
          </w:p>
        </w:tc>
        <w:tc>
          <w:tcPr>
            <w:tcW w:w="12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3"/>
              </w:rPr>
              <w:t>Adjustments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401.3</w:t>
            </w:r>
          </w:p>
        </w:tc>
        <w:tc>
          <w:tcPr>
            <w:tcW w:w="2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1100" w:type="dxa"/>
            <w:vAlign w:val="bottom"/>
            <w:gridSpan w:val="4"/>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Non-depletable landfill land</w:t>
            </w:r>
          </w:p>
        </w:tc>
        <w:tc>
          <w:tcPr>
            <w:tcW w:w="1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162.2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5"/>
            <w:vMerge w:val="restart"/>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165.6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5,645.3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5"/>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173.1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235.4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gridSpan w:val="5"/>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5,834.1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547.4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78.5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52.9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6,211.8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1,002.3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Construction-in-progress -</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Arial" w:cs="Arial" w:eastAsia="Arial" w:hAnsi="Arial"/>
                <w:sz w:val="14"/>
                <w:szCs w:val="14"/>
                <w:color w:val="auto"/>
              </w:rPr>
              <w:t>landfill</w:t>
            </w: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5"/>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Construction-in-progress -</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3"/>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3"/>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13,196.1</w:t>
            </w: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955.8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(305.6)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331.5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14,196.6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5"/>
          </w:tcPr>
          <w:p>
            <w:pPr>
              <w:ind w:left="40"/>
              <w:spacing w:after="0"/>
              <w:rPr>
                <w:sz w:val="20"/>
                <w:szCs w:val="20"/>
                <w:color w:val="auto"/>
              </w:rPr>
            </w:pPr>
            <w:r>
              <w:rPr>
                <w:rFonts w:ascii="Arial" w:cs="Arial" w:eastAsia="Arial" w:hAnsi="Arial"/>
                <w:sz w:val="14"/>
                <w:szCs w:val="14"/>
                <w:color w:val="auto"/>
                <w:w w:val="98"/>
              </w:rPr>
              <w:t>Accumulated Depreciation, Amortization and Depletion</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260"/>
              <w:spacing w:after="0" w:line="157" w:lineRule="exact"/>
              <w:rPr>
                <w:sz w:val="20"/>
                <w:szCs w:val="20"/>
                <w:color w:val="auto"/>
              </w:rPr>
            </w:pPr>
            <w:r>
              <w:rPr>
                <w:rFonts w:ascii="Arial" w:cs="Arial" w:eastAsia="Arial" w:hAnsi="Arial"/>
                <w:sz w:val="14"/>
                <w:szCs w:val="14"/>
                <w:color w:val="auto"/>
                <w:w w:val="96"/>
              </w:rPr>
              <w:t>Adjustments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280"/>
              <w:spacing w:after="0" w:line="157" w:lineRule="exact"/>
              <w:rPr>
                <w:sz w:val="20"/>
                <w:szCs w:val="20"/>
                <w:color w:val="auto"/>
              </w:rPr>
            </w:pPr>
            <w:r>
              <w:rPr>
                <w:rFonts w:ascii="Arial" w:cs="Arial" w:eastAsia="Arial" w:hAnsi="Arial"/>
                <w:sz w:val="14"/>
                <w:szCs w:val="14"/>
                <w:color w:val="auto"/>
                <w:w w:val="93"/>
              </w:rPr>
              <w:t>Impairments,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0"/>
              </w:rPr>
              <w:t>Balance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97"/>
              </w:rPr>
              <w:t>Additions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rPr>
              <w:t>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0"/>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85"/>
              </w:rPr>
              <w:t>as 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89"/>
              </w:rPr>
              <w:t>Charged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6"/>
              </w:rPr>
              <w:t>Acquisitions,</w:t>
            </w:r>
          </w:p>
        </w:tc>
        <w:tc>
          <w:tcPr>
            <w:tcW w:w="120" w:type="dxa"/>
            <w:vAlign w:val="bottom"/>
          </w:tcPr>
          <w:p>
            <w:pPr>
              <w:spacing w:after="0"/>
              <w:rPr>
                <w:sz w:val="12"/>
                <w:szCs w:val="12"/>
                <w:color w:val="auto"/>
              </w:rPr>
            </w:pP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1"/>
              </w:rPr>
              <w:t>Asset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85"/>
              </w:rPr>
              <w:t>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2"/>
              </w:rPr>
              <w:t>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rPr>
              <w:t>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6"/>
              </w:rPr>
              <w:t>Net of</w:t>
            </w:r>
          </w:p>
        </w:tc>
        <w:tc>
          <w:tcPr>
            <w:tcW w:w="120" w:type="dxa"/>
            <w:vAlign w:val="bottom"/>
          </w:tcPr>
          <w:p>
            <w:pPr>
              <w:spacing w:after="0"/>
              <w:rPr>
                <w:sz w:val="12"/>
                <w:szCs w:val="12"/>
                <w:color w:val="auto"/>
              </w:rPr>
            </w:pP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3"/>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88"/>
              </w:rPr>
              <w:t>Expense</w:t>
            </w:r>
          </w:p>
        </w:tc>
        <w:tc>
          <w:tcPr>
            <w:tcW w:w="6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Retirements</w:t>
            </w:r>
          </w:p>
        </w:tc>
        <w:tc>
          <w:tcPr>
            <w:tcW w:w="12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5"/>
              </w:rPr>
              <w:t>Divestitures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4"/>
              </w:rPr>
              <w:t>Obligations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3"/>
              </w:rPr>
              <w:t>Adjustments</w:t>
            </w:r>
          </w:p>
        </w:tc>
        <w:tc>
          <w:tcPr>
            <w:tcW w:w="12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(2,437.4)</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(3,273.3)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(566.6)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284.5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(3,555.0)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(6,030.8)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(902.1)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287.5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4"/>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(6,643.8)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color w:val="auto"/>
              </w:rPr>
              <w:t>Gross Property and Equipment</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center"/>
              <w:ind w:right="220"/>
              <w:spacing w:after="0" w:line="157" w:lineRule="exact"/>
              <w:rPr>
                <w:sz w:val="20"/>
                <w:szCs w:val="20"/>
                <w:color w:val="auto"/>
              </w:rPr>
            </w:pPr>
            <w:r>
              <w:rPr>
                <w:rFonts w:ascii="Arial" w:cs="Arial" w:eastAsia="Arial" w:hAnsi="Arial"/>
                <w:sz w:val="14"/>
                <w:szCs w:val="14"/>
                <w:color w:val="auto"/>
                <w:w w:val="95"/>
              </w:rPr>
              <w:t>Non-Cash</w:t>
            </w:r>
          </w:p>
        </w:tc>
        <w:tc>
          <w:tcPr>
            <w:tcW w:w="120" w:type="dxa"/>
            <w:vAlign w:val="bottom"/>
          </w:tcPr>
          <w:p>
            <w:pPr>
              <w:spacing w:after="0"/>
              <w:rPr>
                <w:sz w:val="13"/>
                <w:szCs w:val="13"/>
                <w:color w:val="auto"/>
              </w:rPr>
            </w:pPr>
          </w:p>
        </w:tc>
        <w:tc>
          <w:tcPr>
            <w:tcW w:w="1000" w:type="dxa"/>
            <w:vAlign w:val="bottom"/>
            <w:gridSpan w:val="4"/>
          </w:tcPr>
          <w:p>
            <w:pPr>
              <w:jc w:val="center"/>
              <w:ind w:right="200"/>
              <w:spacing w:after="0" w:line="157" w:lineRule="exact"/>
              <w:rPr>
                <w:sz w:val="20"/>
                <w:szCs w:val="20"/>
                <w:color w:val="auto"/>
              </w:rPr>
            </w:pPr>
            <w:r>
              <w:rPr>
                <w:rFonts w:ascii="Arial" w:cs="Arial" w:eastAsia="Arial" w:hAnsi="Arial"/>
                <w:sz w:val="14"/>
                <w:szCs w:val="14"/>
                <w:color w:val="auto"/>
                <w:w w:val="93"/>
              </w:rPr>
              <w:t>Adjustments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220"/>
              <w:spacing w:after="0" w:line="157" w:lineRule="exact"/>
              <w:rPr>
                <w:sz w:val="20"/>
                <w:szCs w:val="20"/>
                <w:color w:val="auto"/>
              </w:rPr>
            </w:pPr>
            <w:r>
              <w:rPr>
                <w:rFonts w:ascii="Arial" w:cs="Arial" w:eastAsia="Arial" w:hAnsi="Arial"/>
                <w:sz w:val="14"/>
                <w:szCs w:val="14"/>
                <w:color w:val="auto"/>
                <w:w w:val="96"/>
              </w:rPr>
              <w:t>Impairments,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0"/>
              </w:rPr>
              <w:t>Balance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7"/>
              </w:rPr>
              <w:t>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2"/>
              </w:rPr>
              <w:t>as of</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Acquisitions,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1"/>
              </w:rPr>
              <w:t>Asset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4"/>
              </w:rPr>
              <w:t>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December 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Net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Additions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w w:val="92"/>
              </w:rPr>
              <w:t>Retirements</w:t>
            </w:r>
          </w:p>
        </w:tc>
        <w:tc>
          <w:tcPr>
            <w:tcW w:w="12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2"/>
              </w:rPr>
              <w:t>Divestitures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7"/>
              </w:rPr>
              <w:t>Obligations</w:t>
            </w: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7"/>
              </w:rPr>
              <w:t>Obligations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96"/>
              </w:rPr>
              <w:t>Adjustments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377.6</w:t>
            </w:r>
          </w:p>
        </w:tc>
        <w:tc>
          <w:tcPr>
            <w:tcW w:w="2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401.3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1100" w:type="dxa"/>
            <w:vAlign w:val="bottom"/>
            <w:gridSpan w:val="4"/>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Non-depletable landfill land</w:t>
            </w:r>
          </w:p>
        </w:tc>
        <w:tc>
          <w:tcPr>
            <w:tcW w:w="1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164.2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vMerge w:val="restart"/>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162.2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5,392.7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195.0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5,645.3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5,403.7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530.4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(155.3)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39.1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16.2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5,834.1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935.6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1,002.3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Construction-in-progress -</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60" w:type="dxa"/>
            <w:vAlign w:val="bottom"/>
            <w:gridSpan w:val="2"/>
          </w:tcPr>
          <w:p>
            <w:pPr>
              <w:ind w:left="120"/>
              <w:spacing w:after="0"/>
              <w:rPr>
                <w:sz w:val="20"/>
                <w:szCs w:val="20"/>
                <w:color w:val="auto"/>
              </w:rPr>
            </w:pPr>
            <w:r>
              <w:rPr>
                <w:rFonts w:ascii="Arial" w:cs="Arial" w:eastAsia="Arial" w:hAnsi="Arial"/>
                <w:sz w:val="14"/>
                <w:szCs w:val="14"/>
                <w:color w:val="auto"/>
              </w:rPr>
              <w:t>landfill</w:t>
            </w: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5"/>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Construction-in-progress -</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gridSpan w:val="3"/>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12,359.6</w:t>
            </w: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875.1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(163.7)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102.7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38.6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13,196.1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5"/>
          </w:tcPr>
          <w:p>
            <w:pPr>
              <w:ind w:left="60"/>
              <w:spacing w:after="0"/>
              <w:rPr>
                <w:sz w:val="20"/>
                <w:szCs w:val="20"/>
                <w:color w:val="auto"/>
              </w:rPr>
            </w:pPr>
            <w:r>
              <w:rPr>
                <w:rFonts w:ascii="Arial" w:cs="Arial" w:eastAsia="Arial" w:hAnsi="Arial"/>
                <w:sz w:val="14"/>
                <w:szCs w:val="14"/>
                <w:color w:val="auto"/>
                <w:w w:val="97"/>
              </w:rPr>
              <w:t>Accumulated Depreciation, Amortization and Depletion</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200"/>
              <w:spacing w:after="0" w:line="157" w:lineRule="exact"/>
              <w:rPr>
                <w:sz w:val="20"/>
                <w:szCs w:val="20"/>
                <w:color w:val="auto"/>
              </w:rPr>
            </w:pPr>
            <w:r>
              <w:rPr>
                <w:rFonts w:ascii="Arial" w:cs="Arial" w:eastAsia="Arial" w:hAnsi="Arial"/>
                <w:sz w:val="14"/>
                <w:szCs w:val="14"/>
                <w:color w:val="auto"/>
                <w:w w:val="93"/>
              </w:rPr>
              <w:t>Adjustments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220"/>
              <w:spacing w:after="0" w:line="157" w:lineRule="exact"/>
              <w:rPr>
                <w:sz w:val="20"/>
                <w:szCs w:val="20"/>
                <w:color w:val="auto"/>
              </w:rPr>
            </w:pPr>
            <w:r>
              <w:rPr>
                <w:rFonts w:ascii="Arial" w:cs="Arial" w:eastAsia="Arial" w:hAnsi="Arial"/>
                <w:sz w:val="14"/>
                <w:szCs w:val="14"/>
                <w:color w:val="auto"/>
                <w:w w:val="96"/>
              </w:rPr>
              <w:t>Impairments,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0"/>
              </w:rPr>
              <w:t>Balance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97"/>
              </w:rPr>
              <w:t>Additions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7"/>
              </w:rPr>
              <w:t>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85"/>
              </w:rPr>
              <w:t>as 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89"/>
              </w:rPr>
              <w:t>Charged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Acquisitions,</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1"/>
              </w:rPr>
              <w:t>Asset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4"/>
              </w:rPr>
              <w:t>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rPr>
              <w:t>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Net of</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88"/>
              </w:rPr>
              <w:t>Expense</w:t>
            </w:r>
          </w:p>
        </w:tc>
        <w:tc>
          <w:tcPr>
            <w:tcW w:w="6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Retirements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2"/>
              </w:rPr>
              <w:t>Divestitures</w:t>
            </w: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7"/>
              </w:rPr>
              <w:t>Obligations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96"/>
              </w:rPr>
              <w:t>Adjustments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(2,160.2)</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(2,883.8)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(535.0)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145.4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(3,273.3)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(5,322.8)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(854.1)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(6,030.8)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18"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2100" w:type="dxa"/>
            <w:vAlign w:val="bottom"/>
            <w:gridSpan w:val="3"/>
          </w:tcPr>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1"/>
        </w:trPr>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color w:val="auto"/>
                <w:w w:val="92"/>
              </w:rPr>
              <w:t>Gross Property and Equipment</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4"/>
          </w:tcPr>
          <w:p>
            <w:pPr>
              <w:jc w:val="center"/>
              <w:ind w:right="260"/>
              <w:spacing w:after="0" w:line="157" w:lineRule="exact"/>
              <w:rPr>
                <w:sz w:val="20"/>
                <w:szCs w:val="20"/>
                <w:color w:val="auto"/>
              </w:rPr>
            </w:pPr>
            <w:r>
              <w:rPr>
                <w:rFonts w:ascii="Arial" w:cs="Arial" w:eastAsia="Arial" w:hAnsi="Arial"/>
                <w:sz w:val="14"/>
                <w:szCs w:val="14"/>
                <w:color w:val="auto"/>
                <w:w w:val="95"/>
              </w:rPr>
              <w:t>Non-Cash</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6"/>
              </w:rPr>
              <w:t>Adjustments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3"/>
              </w:rPr>
              <w:t>Impairments,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Balance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7"/>
              </w:rPr>
              <w:t>Additions</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for</w:t>
            </w: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2"/>
              </w:rPr>
              <w:t>as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Acquisitions,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4"/>
              </w:rPr>
              <w:t>for Asset</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Net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3"/>
              </w:rPr>
              <w:t>Retirement</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2012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Additions</w:t>
            </w:r>
          </w:p>
        </w:tc>
        <w:tc>
          <w:tcPr>
            <w:tcW w:w="12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2"/>
              </w:rPr>
              <w:t>Retirements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color w:val="auto"/>
                <w:w w:val="95"/>
              </w:rPr>
              <w:t>Divestitures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7"/>
              </w:rPr>
              <w:t>Obligations</w:t>
            </w:r>
          </w:p>
        </w:tc>
        <w:tc>
          <w:tcPr>
            <w:tcW w:w="10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Obligations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Adjustments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376.9</w:t>
            </w: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377.6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gridSpan w:val="4"/>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Non-depletable landfill land</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166.0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5,018.0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5,392.7</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4,946.4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546.9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(144.6)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5,403.7</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864.2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28.9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935.6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4"/>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0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Construction-in-progress -</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landfill</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259.5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Construction-in-progress -</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42.3</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11,559.3</w:t>
            </w:r>
          </w:p>
        </w:tc>
        <w:tc>
          <w:tcPr>
            <w:tcW w:w="6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882.6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(152.0)</w:t>
            </w:r>
          </w:p>
        </w:tc>
        <w:tc>
          <w:tcPr>
            <w:tcW w:w="60" w:type="dxa"/>
            <w:vAlign w:val="bottom"/>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18.1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12,359.6</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gridSpan w:val="2"/>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2"/>
          </w:tcPr>
          <w:p>
            <w:pPr>
              <w:jc w:val="center"/>
              <w:ind w:right="100"/>
              <w:spacing w:after="0"/>
              <w:rPr>
                <w:sz w:val="20"/>
                <w:szCs w:val="20"/>
                <w:color w:val="auto"/>
              </w:rPr>
            </w:pPr>
            <w:r>
              <w:rPr>
                <w:rFonts w:ascii="Arial" w:cs="Arial" w:eastAsia="Arial" w:hAnsi="Arial"/>
                <w:sz w:val="14"/>
                <w:szCs w:val="14"/>
                <w:color w:val="auto"/>
                <w:w w:val="95"/>
              </w:rPr>
              <w:t>Accumulated Depreciation, Amortization and Depletion</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6"/>
              </w:rPr>
              <w:t>Adjustments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3"/>
              </w:rPr>
              <w:t>Impairments,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0"/>
              </w:rPr>
              <w:t>Balance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Additions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for</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5"/>
              </w:rPr>
              <w:t>as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Charged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tcPr>
          <w:p>
            <w:pPr>
              <w:jc w:val="center"/>
              <w:ind w:right="240"/>
              <w:spacing w:after="0" w:line="149" w:lineRule="exact"/>
              <w:rPr>
                <w:sz w:val="20"/>
                <w:szCs w:val="20"/>
                <w:color w:val="auto"/>
              </w:rPr>
            </w:pPr>
            <w:r>
              <w:rPr>
                <w:rFonts w:ascii="Arial" w:cs="Arial" w:eastAsia="Arial" w:hAnsi="Arial"/>
                <w:sz w:val="14"/>
                <w:szCs w:val="14"/>
                <w:color w:val="auto"/>
                <w:w w:val="96"/>
              </w:rPr>
              <w:t>Acquisitions,</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3"/>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to</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380"/>
              <w:spacing w:after="0" w:line="149" w:lineRule="exact"/>
              <w:rPr>
                <w:sz w:val="20"/>
                <w:szCs w:val="20"/>
                <w:color w:val="auto"/>
              </w:rPr>
            </w:pPr>
            <w:r>
              <w:rPr>
                <w:rFonts w:ascii="Arial" w:cs="Arial" w:eastAsia="Arial" w:hAnsi="Arial"/>
                <w:sz w:val="14"/>
                <w:szCs w:val="14"/>
                <w:color w:val="auto"/>
                <w:w w:val="96"/>
              </w:rPr>
              <w:t>Net of</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w w:val="96"/>
              </w:rPr>
              <w:t>2012</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8"/>
              </w:rPr>
              <w:t>Expense</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2"/>
              </w:rPr>
              <w:t>Retirements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w w:val="95"/>
              </w:rPr>
              <w:t>Divestitures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Obligations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Adjustments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256"/>
        </w:trPr>
        <w:tc>
          <w:tcPr>
            <w:tcW w:w="21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Landfill development costs</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6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(2,160.2)</w:t>
            </w:r>
          </w:p>
        </w:tc>
        <w:tc>
          <w:tcPr>
            <w:tcW w:w="0" w:type="dxa"/>
            <w:vAlign w:val="bottom"/>
          </w:tcPr>
          <w:p>
            <w:pPr>
              <w:spacing w:after="0"/>
              <w:rPr>
                <w:sz w:val="1"/>
                <w:szCs w:val="1"/>
                <w:color w:val="auto"/>
              </w:rPr>
            </w:pPr>
          </w:p>
        </w:tc>
      </w:tr>
      <w:tr>
        <w:trPr>
          <w:trHeight w:val="264"/>
        </w:trPr>
        <w:tc>
          <w:tcPr>
            <w:tcW w:w="2100" w:type="dxa"/>
            <w:vAlign w:val="bottom"/>
            <w:gridSpan w:val="3"/>
          </w:tcPr>
          <w:p>
            <w:pPr>
              <w:ind w:left="40"/>
              <w:spacing w:after="0"/>
              <w:rPr>
                <w:sz w:val="20"/>
                <w:szCs w:val="20"/>
                <w:color w:val="auto"/>
              </w:rPr>
            </w:pPr>
            <w:r>
              <w:rPr>
                <w:rFonts w:ascii="Arial" w:cs="Arial" w:eastAsia="Arial" w:hAnsi="Arial"/>
                <w:sz w:val="14"/>
                <w:szCs w:val="14"/>
                <w:color w:val="auto"/>
              </w:rPr>
              <w:t>Vehicles and equipment</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(2,512.3)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(507.7)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(2,883.8)</w:t>
            </w:r>
          </w:p>
        </w:tc>
        <w:tc>
          <w:tcPr>
            <w:tcW w:w="0" w:type="dxa"/>
            <w:vAlign w:val="bottom"/>
          </w:tcPr>
          <w:p>
            <w:pPr>
              <w:spacing w:after="0"/>
              <w:rPr>
                <w:sz w:val="1"/>
                <w:szCs w:val="1"/>
                <w:color w:val="auto"/>
              </w:rPr>
            </w:pPr>
          </w:p>
        </w:tc>
      </w:tr>
      <w:tr>
        <w:trPr>
          <w:trHeight w:val="270"/>
        </w:trPr>
        <w:tc>
          <w:tcPr>
            <w:tcW w:w="21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Buildings and improvements</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243"/>
        </w:trPr>
        <w:tc>
          <w:tcPr>
            <w:tcW w:w="2100" w:type="dxa"/>
            <w:vAlign w:val="bottom"/>
            <w:gridSpan w:val="3"/>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(4,649.0)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(809.6)</w:t>
            </w:r>
          </w:p>
        </w:tc>
        <w:tc>
          <w:tcPr>
            <w:tcW w:w="6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(5,322.8)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major components of changes in cash flows for 2015, 2014 and 2013 are discussed in the following paragraphs. The following table summarizes our cash flow from operating activities, investing activities and financing activities for the years ended December 31, 2015, 2014 and 2013 (in millions of dollars):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(933.9)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operating cash flows for 2015 and 2014 are summarized below:</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Changes in assets and liabilities, net of effects from business acquisitions and divestitures, decreased our cash flow from operations by $316.7 million in 2015, compared to a decrease of $295.6 million in 2014, primarily as a result of the following:</w:t>
      </w:r>
    </w:p>
    <w:p>
      <w:pPr>
        <w:spacing w:after="0" w:line="62" w:lineRule="exact"/>
        <w:rPr>
          <w:sz w:val="20"/>
          <w:szCs w:val="20"/>
          <w:color w:val="auto"/>
        </w:rPr>
      </w:pPr>
    </w:p>
    <w:p>
      <w:pPr>
        <w:ind w:left="660" w:right="1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accounts receivable, exclusive of the change in allowance for doubtful accounts and customer credits, increased $15.7 million during 2015 due to the timing of billings net of collections, compared to a $54.3 million increase in 2014. As of December 31, 2015 and 2014, our days sales outstanding were 38 days, or 26 and 25 days net of deferred revenue, respectively.</w:t>
      </w:r>
    </w:p>
    <w:p>
      <w:pPr>
        <w:spacing w:after="0" w:line="73"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accounts payable increased $35.6 million and $3.3 million during 2015 and 2014, respectively, due to the timing of payments as of December 31, 2015.</w:t>
      </w:r>
    </w:p>
    <w:p>
      <w:pPr>
        <w:spacing w:after="0" w:line="62"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paid for capping, closure and post-closure obligations was $33.8 million higher during 2015 compared to 2014 primarily due to required capping at one of our landfills that closed during 2015.</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paid for remediation obligations was $19.4 million lower during 2015 compared to 2014 primarily due to remediation activity at our closed Bridgeton Landfill.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4"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December 2015 we settled outstanding liabilities with respect to the withdrawal events and paid $153.5 million to the Fund.</w:t>
      </w:r>
    </w:p>
    <w:p>
      <w:pPr>
        <w:spacing w:after="0" w:line="117"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In addition, cash paid for income taxes was approximately $321 million and $382 million for 2015 and 2014, respectively. Income taxes paid in 2015 reflect the favorable tax depreciation provisions of the Protecting Americans from Tax Hikes Act signed into law in December 2015. Cash paid for interest was $327.6 million and $320.2 million for 2015 and 2014,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operating cash flows for 2014 and 2013 are summarized below:</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Changes in assets and liabilities, net of effects of business acquisitions and divestitures, decreased our cash flow from operations by $295.6 million in 2014, compared to a decrease of $256.6 million in 2013, primarily as a result of the following:</w:t>
      </w:r>
    </w:p>
    <w:p>
      <w:pPr>
        <w:spacing w:after="0" w:line="62" w:lineRule="exact"/>
        <w:rPr>
          <w:sz w:val="20"/>
          <w:szCs w:val="20"/>
          <w:color w:val="auto"/>
        </w:rPr>
      </w:pPr>
    </w:p>
    <w:p>
      <w:pPr>
        <w:ind w:left="660" w:right="12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accounts receivable, exclusive of the change in allowance for doubtful accounts and customer credits, increased $54.3 million during 2014 due to the timing of billings, net of collections, compared to a $61.6 million increase in 2013. As of December 31, 2014 and 2013, our days sales outstanding were 38 days, or 25 and 26 days net of deferred revenue, respectively.</w:t>
      </w:r>
    </w:p>
    <w:p>
      <w:pPr>
        <w:spacing w:after="0" w:line="7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prepaid expenses and other assets increased $41.3 million during 2014 which is primarily due to the timing of withdrawals to fund payroll, compared to an $11.4 million increase in 2013.</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accounts payable increased $3.3 million and $37.9 million during 2014 and 2013, respectively, due to the timing of payments as of December 31, 2014.</w:t>
      </w:r>
    </w:p>
    <w:p>
      <w:pPr>
        <w:spacing w:after="0" w:line="62"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paid for restructuring expenditures was $14.5 million lower during 2014 compared to 2013 due to the expiration of severance and other employee termination benefits, relocation benefits and the closure of offices with lease agreements with non-cancelable terms associated with our restructuring activities during the fourth quarter of 2012.</w:t>
      </w:r>
    </w:p>
    <w:p>
      <w:pPr>
        <w:spacing w:after="0" w:line="7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paid for capping, closure and post-closure obligations was $31.0 million lower during 2014 compared to 2013 primarily due to a $17.8 million payment to settle our post-closure liability for one of our divested closed landfill sites in 2013.</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paid for remediation obligations was $23.1 million lower during 2014 compared to 2013 primarily due to remediation activity at our closed Bridgeton Landfill.</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other liabilities decreased $32.1 million during 2014 primarily due to the timing of payment for certain tax related accruals and other accrued expenses, as compared to a $2.4 million increase in 2013.</w:t>
      </w:r>
    </w:p>
    <w:p>
      <w:pPr>
        <w:spacing w:after="0" w:line="62"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In addition, cash paid for income taxes was approximately $382 million and $288 million for 2014 and 2013, respectively. The increase was primarily due to higher expected taxable income and the related deductible timing differences associated with certain remediation charges.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use cash flows from operations to fund capital expenditures, acquisitions, dividend payments, share repurchases and debt repayments.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most significant items affecting the comparison of our cash flows used in investing activities for 2015, 2014 and 2013 are summarized below:</w:t>
      </w:r>
    </w:p>
    <w:p>
      <w:pPr>
        <w:spacing w:after="0" w:line="129"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expenditures during 2015 were $945.6 million, compared with $862.5 million for 2014 and $880.8 million for 2013. Property and equipment received during 2015, 2014 and 2013 was $953.0 million, $872.9 million and $879.8 million, respectively.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Proceeds from sales of property and equipment during 2015 were $21.2 million, compared to $35.7 million for 2014 and $23.9 million for 2013.</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2015, 2014 and 2013, we paid $572.7 million, $195.7 million and $68.7 million, respectively, for business acquisitions.</w:t>
      </w:r>
    </w:p>
    <w:p>
      <w:pPr>
        <w:spacing w:after="0" w:line="117"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restricted cash and marketable securities balance decreased (increased) $15.3 million, $70.8 million and $(5.5) million for 2015, 2014 and 2013, respectively. The decrease of $15.3 million during 2015 is due to a release of funds restricted for certain construction related activities, whereas the decrease of $70.8 million during 2014 was due to a release of restricted investments related to a change in certain of our closure and post-closure obligation requirements and a release of restricted investments related to our insurance programs. The increase of $5.5 million during 2013 was primarily due to investments in restricted cash related to our insurance program. We received $50.0 million and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18" w:right="2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660" w:right="180"/>
        <w:spacing w:after="0" w:line="354" w:lineRule="auto"/>
        <w:rPr>
          <w:sz w:val="20"/>
          <w:szCs w:val="20"/>
          <w:color w:val="auto"/>
        </w:rPr>
      </w:pPr>
      <w:r>
        <w:rPr>
          <w:rFonts w:ascii="Arial" w:cs="Arial" w:eastAsia="Arial" w:hAnsi="Arial"/>
          <w:sz w:val="16"/>
          <w:szCs w:val="16"/>
          <w:color w:val="auto"/>
        </w:rPr>
        <w:t>$25.0 million in connection with issuances of tax-exempt bonds during 2014 and 2013, respectively. Funds received from issuances of tax-exempt bonds are deposited directly into trust accounts by the bonding authority at the time of issuance. Reimbursements from the trust for qualifying expenditures or for repayments of the related tax-exempt bonds are presented as investing activities in our consolidated statements of cash flows. Such reimbursements amounted to $18.7 million, $51.1 million and $27.8 million during 2015, 2014 and 2013, respectively.</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intend to finance capital expenditures and acquisitions through cash on hand, restricted cash held for capital expenditures, cash flows from operations, our revolving credit facilities, and tax-exempt bonds and other financings. We expect to primarily use cash for consideration paid for future business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most significant items affecting the comparison of our cash flows used in financing activities for 2015, 2014 and 2013 are summarized below:</w:t>
      </w:r>
    </w:p>
    <w:p>
      <w:pPr>
        <w:spacing w:after="0" w:line="129" w:lineRule="exact"/>
        <w:rPr>
          <w:sz w:val="20"/>
          <w:szCs w:val="20"/>
          <w:color w:val="auto"/>
        </w:rPr>
      </w:pPr>
    </w:p>
    <w:p>
      <w:pPr>
        <w:ind w:left="660" w:hanging="328"/>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During 2015, we issued $500.0 million of notes for net cash proceeds of $497.9 million. Net proceeds of notes payable and long-term debt were $2.7 million during 2015, compared to net payments of $15.1 million and $58.9 million during 2014 and 2013, respectively. For a more detailed discussion, see the </w:t>
      </w:r>
      <w:r>
        <w:rPr>
          <w:rFonts w:ascii="Arial" w:cs="Arial" w:eastAsia="Arial" w:hAnsi="Arial"/>
          <w:sz w:val="16"/>
          <w:szCs w:val="16"/>
          <w:i w:val="1"/>
          <w:iCs w:val="1"/>
          <w:color w:val="auto"/>
        </w:rPr>
        <w:t>"Financial Condition"</w:t>
      </w:r>
      <w:r>
        <w:rPr>
          <w:rFonts w:ascii="Arial" w:cs="Arial" w:eastAsia="Arial" w:hAnsi="Arial"/>
          <w:sz w:val="16"/>
          <w:szCs w:val="16"/>
          <w:color w:val="auto"/>
        </w:rPr>
        <w:t xml:space="preserve"> section of this Management’s Discussion and Analysis of Financial Condition and Results of Operations.</w:t>
      </w:r>
    </w:p>
    <w:p>
      <w:pPr>
        <w:spacing w:after="0" w:line="38"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October 2015, our board of directors added $900.0 million to the existing share repurchase authorization. As of December 31, 2015, there were $855.5 million remaining under our share repurchase authorization. During 2015, we repurchased 9.8 million shares of our stock for $404.7 million. During 2014, we repurchased 11.1 million shares of our stock for $400.4 million.</w:t>
      </w:r>
    </w:p>
    <w:p>
      <w:pPr>
        <w:spacing w:after="0" w:line="7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July 2015, our board of directors approved an increase in our quarterly dividend to $0.30 per share. Dividends paid were $399.3 million, $378.6 million and $348.5 million for 2015,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2015, we had $32.4 million of cash and cash equivalents and $100.3 million of restricted cash deposits and restricted marketable securities, including $2.1 million of restricted cash and marketable securities held for capital expenditures under certain debt facilities, $16.8 million pursuant to a holdback arrangement, $27.3 million of restricted cash and marketable securities pledged to regulatory agencies and governmental entities as financial guarantees of our performance related to our final capping, closure and post-closure obligations at our landfills, and $54.1 million of restricted cash and marketable securities related to our insurance obligations.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intend to use excess cash on hand and cash from operating activities to fund capital expenditures, acquisitions, dividend payments, share repurchases and debt repayments. Debt repayments may include purchases of our outstanding indebtedness in the secondary market or otherwise. We believe that our excess cash, cash from operating activities and our availability to draw from our credit facilities provide us with sufficient financial resources to meet our anticipated capital requirements and maturing obligations as they come due.</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choose to voluntarily retire certain portions of our outstanding debt before their maturity dates using cash from operations or additional borrowings. We may also explore opportunities in the capital markets to fund redemptions should market conditions be favorable. Early extinguishment of debt will result in an impairment charge in the period in which the debt is repaid. The loss on early extinguishment of debt relates to premiums paid to effectuate the repurchase and the relative portion of unamortized note discounts and debt issue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June 2014, we entered into a $1.25 billion unsecured revolving credit facility (the Replacement Credit Facility), which replaced our $1.0 billion credit facility maturing in April 2016. The Replacement Credit Facility matures in June 2019 and includes a feature that allows us to increase availability, at our option, by an aggregate amount up to $500.0 million through increased commitments from existing lenders or the addition of new lenders. At our option, borrowings under the Replacement Credit Facility bear interest at a Base Rate, or a Eurodollar Rate, plus an applicable margin based on our Debt Ratings (all as defined in the agreements).</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Contemporaneous with the execution of the Replacement Credit Facility, we entered into Amendment No. 3 to our existing $1.25 billion unsecured credit facility (the Existing Credit Facility and, together with the Replacement Credit Facility, the Credit Facilities), to reduce the commitments under the Existing Credit Facility to $1.0 billion and conform certain terms of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18" w:right="2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Existing Credit Facility with those of the Replacement Credit Facility. Amendment No. 3 does not extend the maturity date of the Existing Credit Facility, which matures in May 2017. The Existing Credit Facility also maintains the feature that allows us to increase availability, at our option, by an aggregate amount of up to $500.0 million through increased commitments from existing lenders or the addition of new lenders.</w:t>
      </w:r>
    </w:p>
    <w:p>
      <w:pPr>
        <w:spacing w:after="0" w:line="11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credit agreements require us to comply with financial and other covenants. To the extent we are not in compliance with these covenants, we cannot pay dividends and repurchase common stock. Compliance with covenants also is a condition for any incremental borrowings under our Credit Facilities, and failure to meet these covenants would enable the lenders to require repayment of any outstanding loans (which would adversely affect our liquidity). As of December 31, 2015, our EBITDA to interest ratio was 7.17 compared to the 3.00 minimum required by the covenants, and our total debt to EBITDA ratio was 2.89 compared to the 3.75 maximum allowed by the covenants. In connection with entering into the Replacement Credit Facility and Amendment No. 3 to the Existing Credit Facility, our maximum total debt to EBITDA ratio was increased to 3.75 for each fiscal quarter ending before and including December 31, 2015, and 3.50 for each fiscal quarter ending thereafter. As of December 31, 2015, we were in compliance with the covenants under our Credit Facilities, and we expect to be in compliance throughout 2016.</w:t>
      </w:r>
    </w:p>
    <w:p>
      <w:pPr>
        <w:spacing w:after="0" w:line="1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EBITDA, which is a non-U.S. GAAP measure, is calculated as defined in our Credit Facility agreements. In this context, EBITDA is used solely to provide information regarding the extent to which we are in compliance with debt covenants and is not comparable to EBITDA used by other companies or used by us for other purposes.</w:t>
      </w:r>
    </w:p>
    <w:p>
      <w:pPr>
        <w:spacing w:after="0" w:line="12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Failure to comply with the financial and other covenants under our Credit Facilities, as well as the occurrence of certain material adverse events, would constitute defaults and would allow the lenders under our Credit Facilities to accelerate the maturity of all indebtedness under the related agreements. This could also have an adverse impact on the availability of financial assurances. In addition, maturity acceleration on our Credit Facilities constitutes an event of default under our other debt instruments, including our senior notes, and, therefore, our senior notes would also be subject to acceleration of maturity. If such acceleration were to occur, we would not have sufficient liquidity available to repay the indebtedness. We would likely have to seek an amendment under our Credit Facilities for relief from the financial covenants or repay the debt with proceeds from the issuance of new debt or equity, or asset sales, if necessary. We may be unable to amend our Credit Facilities or raise sufficient capital to repay such obligations in the event the maturities are accelerated.</w:t>
      </w:r>
    </w:p>
    <w:p>
      <w:pPr>
        <w:spacing w:after="0" w:line="11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Availability under our Credit Facilities totaled $1,727.7 million and $1,615.4 million as of December 31, 2015 and 2014, respectively, and can be used for working capital, capital expenditures, acquisitions, letters of credit and other general corporate purposes. As of December 31, 2015 and 2014, we had no borrowings under our Credit Facilities. We had $503.3 million and $615.1 million of letters of credit outstanding under our Credit Facilities as of December 31, 2015 and 2014, respectively.</w:t>
      </w:r>
    </w:p>
    <w:p>
      <w:pPr>
        <w:spacing w:after="0" w:line="13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also have a $125.0 million unsecured credit facility agreement (the Uncommitted Credit Facility) bearing interest at LIBOR plus an applicable margin. Our Uncommitted Credit Facility is subject to facility fees defined in the agreement, regardless of usage. We can use borrowings under the Uncommitted Credit Facility for working capital and other general corporate purposes. The agreements governing our Uncommitted Credit Facility require us to comply with covenants. The Uncommitted Credit Facility may be terminated by either party at any time. As of December 31, 2015, we had $19.0 million of borrowings under our Uncommitted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Debentures</w:t>
      </w:r>
    </w:p>
    <w:p>
      <w:pPr>
        <w:spacing w:after="0" w:line="225"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During 2015, we issued $500.0 million of 3.20% notes due 2025 (the 3.20% Notes). The 3.20% Notes are unsubordinated and unsecured obligations. We used the net proceeds from the 3.20% Notes to refinance debt incurred in connection with our acquisition of all of the equity interests of Tervita during 2015.</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2015 and 2014, we had $6,364.6 million and $5,863.6 million, respectively, of unsecured senior notes and debentures outstanding with maturities ranging from 2018 to 2041.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second half of 2013, we entered into various interest rate swap agreements relative to our 4.750% fixed rate senior notes due in May 2023. The goal was to reduce overall borrowing costs and rebalance our debt portfolio's ratio of fixed to floating interest rates. As of December 31, 2015, these swap agreements have a total notional value of $300.0 million and require us to pay interest at floating rates based on changes in LIBOR, and receive interest at a fixed rate of 4.750%. For 2015 and 2014, we recognized $7.5 million and $7.7 million, respectively, as offsetting benefits to our interest expense from these swap agreements, which mature in May 2023.</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9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of December 31, 2015 and 2014, we had $1,079.1 million and $1,083.8 million, respectively, of fixed and variable rate tax-exempt financings outstanding with maturities ranging from 2019 to 2044. Approximately 90% of our tax-exempt financings are remarketed quarterly by remarketing agents to effectively maintain a variable yield. The holders of the bonds can put them back to the remarketing agents at the end of each interest period. To date, the remarketing agents have been able to remarket our variable rate unsecured tax-exempt bonds. These bonds have been classified as long-term because of our ability and intent to refinance them using availability under our Credit Facilities, if necessary.</w:t>
      </w:r>
    </w:p>
    <w:p>
      <w:pPr>
        <w:spacing w:after="0" w:line="11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December 31, 2015, we had $100.3 million of restricted cash and marketable securities, of which $2.1 million represented proceeds from the issuance of tax-exempt bonds and other tax-exempt financings and will be used to fund capital expenditures under the terms of the agreements. Restricted cash and marketable securities also include amounts held in trust as a financial guarantee of our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Hedges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use derivative instruments designated as cash flow hedges to manage our exposure to changes in diesel fuel prices. We have entered into multiple agreements related to forecasted diesel fuel purchases. The agreements qualified for, and were designated as, effective hedges of changes in the prices of forecasted diesel fuel purchases (fuel hedges). For a summary of our outstanding fuel hedges as of December 31, 2015, see Note 16,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our consolidated financial statements in Item 8 of this Form 10-K.</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aggregate fair values of our outstanding fuel hedges as of December 31, 2015 and 2014 were current liabilities of $37.8 million and $34.4 million, respectively, and have been recorded in other accrued liabilities in our consolidated balance sheets.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effective portions of the changes in fair values as of December 31, 2015 and 2014, net of tax, of $22.3 million and $20.3 million, respectively, have been recorded in stockholders’ equity as components of accumulated other comprehensive loss.</w:t>
      </w:r>
    </w:p>
    <w:p>
      <w:pPr>
        <w:spacing w:after="0" w:line="116"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During 2015 and 2014, approximately 20% of our fuel volume purchases were hedged with swap agreements. Additionally, we generally recover approximately 80% of our fuel costs with fuel recovery fees from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Recycling Commodity Hedges</w:t>
      </w:r>
    </w:p>
    <w:p>
      <w:pPr>
        <w:spacing w:after="0" w:line="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Revenue from the sale of recycled commodities is primarily from sales of old corrugated cardboard and old newspaper. From time to time we use derivative instruments such as swaps and costless collars designated as cash flow hedges to manage our exposure to changes in prices of these commodities. We had no outstanding recycling commodity hedges as of December 31, 2015 and December 31, 2014. For further discussion, see Note 16,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our consolidated financial statements in Item 8 of this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2015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Maturities of</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Notes Payable,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Scheduled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Capital Leases</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Final Capping,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Unconditional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20" w:type="dxa"/>
            <w:vAlign w:val="bottom"/>
          </w:tcPr>
          <w:p>
            <w:pPr>
              <w:ind w:left="40"/>
              <w:spacing w:after="0"/>
              <w:rPr>
                <w:sz w:val="20"/>
                <w:szCs w:val="20"/>
                <w:color w:val="auto"/>
              </w:rPr>
            </w:pPr>
            <w:r>
              <w:rPr>
                <w:rFonts w:ascii="Arial" w:cs="Arial" w:eastAsia="Arial" w:hAnsi="Arial"/>
                <w:sz w:val="18"/>
                <w:szCs w:val="18"/>
                <w:color w:val="auto"/>
              </w:rPr>
              <w:t>Year Ending</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Operating</w:t>
            </w:r>
          </w:p>
        </w:tc>
        <w:tc>
          <w:tcPr>
            <w:tcW w:w="18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and Other Long-</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Payment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Closure and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Purchase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2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Leases</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Term Debt</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Obligations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Post-Closure</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Remediation</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Commitments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756.2</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643.6</w:t>
            </w:r>
          </w:p>
        </w:tc>
      </w:tr>
      <w:tr>
        <w:trPr>
          <w:trHeight w:val="27"/>
        </w:trPr>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1,252.3</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1,195.4</w:t>
            </w:r>
          </w:p>
        </w:tc>
      </w:tr>
      <w:tr>
        <w:trPr>
          <w:trHeight w:val="27"/>
        </w:trPr>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1,371.8</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5,304.5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5,571.5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14,315.8</w:t>
            </w:r>
          </w:p>
        </w:tc>
      </w:tr>
      <w:tr>
        <w:trPr>
          <w:trHeight w:val="27"/>
        </w:trPr>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19,535.1</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Scheduled interest payment obligations in the above table were calculated using stated coupon rates for fixed rate debt and interest rates applicable as of December 31, 2015 for variable rate debt. The impact of our outstanding interest rate swaps on the interest payments of our 4.750% fixed rate senior notes is also included based on the floating rates in effect as of December 31,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present value of capital lease obligations is included in our consolidated balance sheets.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estimated remaining final capping, closure and post-closure and remediation expenditures presented above are not inflated or discounted and reflect the estimated future payments for liabilities incurred and recorded as of December 31, 2015 and for liabilities yet to be incurred over the remaining life of our landfills.</w:t>
      </w:r>
    </w:p>
    <w:p>
      <w:pPr>
        <w:spacing w:after="0" w:line="12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Unconditional purchase commitments consist primarily of (1) disposal related agreements that include fixed or minimum royalty payments, host agreements and take-or-pay and put-or-pay agreements and (2) other obligations including committed capital expenditures and consulting service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w:t>
      </w:r>
    </w:p>
    <w:p>
      <w:pPr>
        <w:spacing w:after="0" w:line="9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must provide financial assurance to governmental agencies and a variety of other entities under applicable environmental regulations relating to our landfill operations for capping, closure and post-closure costs, and related to our performance under certain collection, landfill and transfer station contracts. We satisfy these financial assurance requirements by providing surety bonds, letters of credit, or insurance policies (Financial Assurance Instruments), or trust deposits, which are included in restricted cash and marketable securities and other assets in our consolidated balance sheets. The amount of the financial assurance requirements for capping, closure and post-closure costs is determined by applicable state environmental regulations. The financial assurance requirements for capping, closure and post-closure costs may be associated with a portion of the landfill or the entire landfill. Generally, states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U.S. GAAP. The amount of the financial assurance requirements related to contract performance varies by contract. Additionally, we must provide financial assurance for our insurance program and collateral for certain performance obligations. We do not expect a material increase in financial assurance requirements during 2016, although the mix of Financial Assurance Instruments may change.</w:t>
      </w:r>
    </w:p>
    <w:p>
      <w:pPr>
        <w:spacing w:after="0" w:line="13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These Financial Assurance Instruments are issued in the normal course of business and are not considered indebtedness. Because we currently have no liability for the Financial Assurance Instruments, they are not reflected in our consolidated balance sheets; however, we record capping, closure and post-closure liabilities and insurance liabilities as they are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no off-balance sheet debt or similar obligations, other than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9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define free cash flow, which is not a measure determined in accordance with U.S. GAAP, as cash provided by operating activities less purchases of property and equipment, plus proceeds from sales of property and equipment, as presented in our consolidated statements of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calculates our free cash flow for the years ended December 31, 2015, 2014 and 2013 (in millions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691.3</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 xml:space="preserve">For a discussion of the changes in the components of free cash flow, see our discussion regarding </w:t>
      </w:r>
      <w:r>
        <w:rPr>
          <w:rFonts w:ascii="Arial" w:cs="Arial" w:eastAsia="Arial" w:hAnsi="Arial"/>
          <w:sz w:val="16"/>
          <w:szCs w:val="16"/>
          <w:i w:val="1"/>
          <w:iCs w:val="1"/>
          <w:color w:val="auto"/>
        </w:rPr>
        <w:t>Cash Flows Provided By Operating Activities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Flows Used In Investing Activities </w:t>
      </w:r>
      <w:r>
        <w:rPr>
          <w:rFonts w:ascii="Arial" w:cs="Arial" w:eastAsia="Arial" w:hAnsi="Arial"/>
          <w:sz w:val="16"/>
          <w:szCs w:val="16"/>
          <w:color w:val="auto"/>
        </w:rPr>
        <w:t>contained elsewhere in this Management's Discussion and Analysis of Financial Condition and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Purchases of property and equipment as reflected in our consolidated statements of cash flows and as presented in the free cash flow table above represent amounts paid during the period for such expenditures. The following table reconciles property and equipment reflected in the consolidated statements of cash flows to property and equipment received for the years ended December 31, 2015, 2014 and 2013 (in millions of dollars):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per the consolidated statements of cash</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flows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945.6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880.8</w:t>
            </w: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rPr>
              <w:t>Adjustments for property and equipment received during the prior period but</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paid for in the following period, net</w:t>
            </w:r>
          </w:p>
        </w:tc>
        <w:tc>
          <w:tcPr>
            <w:tcW w:w="88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received during the period</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953.0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adjustments noted above do not affect our net change in cash and cash equivalents as reflected in our consolidated statements of cash flows.</w:t>
      </w:r>
    </w:p>
    <w:p>
      <w:pPr>
        <w:spacing w:after="0" w:line="1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believe that presenting free cash flow provides useful information regarding our recurring cash provided by operating activities after expenditures for property and equipment received, plus proceeds from sales of property and equipment. It also demonstrates our ability to execute our financial strategy, which includes reinvesting in existing capital assets to ensure a high level of customer service, investing in capital assets to facilitate growth in our customer base and services provided, maintaining our investment grade credit ratings and minimizing debt, paying cash dividends and repurchasing common stock, and maintaining and improving our market position through business optimization. In addition, free cash flow is a key metric used to determine executive compensation. The presentation of free cash flow has material limitations. Free cash flow does not represent our cash flow available for discretionary expenditures because it excludes certain expenditures that are required or that we have committed to such as debt service requirements and dividend payments. Our definition of free cash flow may not be comparable to similarly titled measures presented by other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For a description of our commitments and contingencies, see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Note 10,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and Note 17,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to our consolidated financial statements in Item 8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consolidated financial statements have been prepared in accordance with U.S. GAAP and necessarily include certain estimates and judgments made by management.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Such critical accounting policies, estimates and judgments are applicable to all of our operating segments.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have noted examples of the residual accounting and business risks inherent in the accounting for these areas. Residual accounting and business risks are defined as the inherent risks that we face after the application of our policies and processes that are generally outside of our control or ability to forecast.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Landfill operating costs are treated as period expenses and are not discussed further in this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landfill assets and liabilities fall into the following two categories, each of which requires accounting judgments and estimates:</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Landfill development costs that are capitalized as an asset.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Landfill retirement obligations relating to our capping, closure and post-closure liabilities that result in a corresponding landfill retirement asset.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Landfill Development Costs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use life-cycle accounting and the units-of-consumption method to recognize landfill development costs over the life of the site. In life-cycle accounting, all current and future capitalized costs to acquire and construct a site are calculated, and charged to expense based on the consumption of cubic yards of available airspace. Obligations associated with final capping, closure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post-closure are also capitalized, and amortized on a units-of-consumption basis as airspace is consumed. Cost and airspace estimates are developed at least annually by engineers.</w:t>
      </w:r>
    </w:p>
    <w:p>
      <w:pPr>
        <w:spacing w:after="0" w:line="11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Site permits. </w:t>
      </w:r>
      <w:r>
        <w:rPr>
          <w:rFonts w:ascii="Arial" w:cs="Arial" w:eastAsia="Arial" w:hAnsi="Arial"/>
          <w:sz w:val="16"/>
          <w:szCs w:val="16"/>
          <w:color w:val="auto"/>
        </w:rPr>
        <w:t>To develop, construct and operate a landfill, we must obtain permits from various regulatory agencies at the local, state and federal levels.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permitting process requires an initial site study to determine whether the location is feasible for landfill operations. The initial studies are reviewed by our environmental management group and then submitted to the regulatory agencies for approval. During the development stage we capitalize certain costs that we incur after site selection but before the receipt of all required permits if we believe that it is probable that the site will be permitted.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4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may cause changes to the landfill site permitting process. These changes could make it more difficult and costly to obtain and maintain a landfill permit.</w:t>
      </w:r>
    </w:p>
    <w:p>
      <w:pPr>
        <w:spacing w:after="0" w:line="62"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Studies performed could be inaccurate, which could result in the denial or revocation of a permit and changes to accounting assumptions. Conditions could exist that were not identified in the study, which may make the location not feasible for a landfill and could result in the denial of a permit. Denial or revocation of a permit could impair the recorded value of the landfill asset.</w:t>
      </w:r>
    </w:p>
    <w:p>
      <w:pPr>
        <w:spacing w:after="0" w:line="73" w:lineRule="exact"/>
        <w:rPr>
          <w:rFonts w:ascii="Arial" w:cs="Arial" w:eastAsia="Arial" w:hAnsi="Arial"/>
          <w:sz w:val="18"/>
          <w:szCs w:val="18"/>
          <w:color w:val="auto"/>
        </w:rPr>
      </w:pPr>
    </w:p>
    <w:p>
      <w:pPr>
        <w:ind w:left="660" w:right="80" w:hanging="328"/>
        <w:spacing w:after="0" w:line="30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Actions by neighboring parties, private citizen groups or others to oppose our efforts to obtain, maintain or expand permits could result in denial, revocation or suspension of a permit, which could adversely impact the economic viability of the landfill and could impair the recorded value of the landfill. As a result of opposition to our obtaining a permit, improved technical information as a project progresses, or changes in the anticipated economics associated with a project, we may decide to reduce the scope of, or abandon a project, which could result in an asset impairment.</w:t>
      </w:r>
    </w:p>
    <w:p>
      <w:pPr>
        <w:spacing w:after="0" w:line="10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i w:val="1"/>
          <w:iCs w:val="1"/>
          <w:color w:val="auto"/>
        </w:rPr>
        <w:t xml:space="preserve">Technical landfill design. </w:t>
      </w:r>
      <w:r>
        <w:rPr>
          <w:rFonts w:ascii="Arial" w:cs="Arial" w:eastAsia="Arial" w:hAnsi="Arial"/>
          <w:sz w:val="18"/>
          <w:szCs w:val="18"/>
          <w:color w:val="auto"/>
        </w:rPr>
        <w:t>Upon receipt of initial regulatory approval, technical landfill designs are prepared. The technical designs, which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specifications to develop and construct all components of the landfill including the types and quantities of materials that will be required, are reviewed by our environmental management group. The technical designs are submitted to the regulatory agencies for approval. Upon approval of the technical designs, the regulatory agencies issue permits to develop and operate the landfill.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may require changes in the landfill technical designs. These changes could make it more difficult and costly to meet new design standards.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Technical design requirements, as approved, may need modifications at some future point in time.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Technical designs could be inaccurate and could result in increased construction costs, difficulty in obtaining a permit or the use of rates to recognize the amortization of landfill development costs and asset retirement obligations that are not appropriate.</w:t>
      </w:r>
    </w:p>
    <w:p>
      <w:pPr>
        <w:spacing w:after="0" w:line="11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Permitted and probable landfill disposal capacity. </w:t>
      </w:r>
      <w:r>
        <w:rPr>
          <w:rFonts w:ascii="Arial" w:cs="Arial" w:eastAsia="Arial" w:hAnsi="Arial"/>
          <w:sz w:val="16"/>
          <w:szCs w:val="16"/>
          <w:color w:val="auto"/>
        </w:rPr>
        <w:t>Included in the technical designs are factors that determine the ultimate disposal capacity of the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These factors include the area over which the landfill will be developed, such as the depth of excavation, the height of the landfill elevation and the angle of the side-slope construction. The disposal capacity of the landfill is calculated in cubic yards. This measurement of volume is then converted to a disposal capacity expressed in tons based on a site-specific expected density to be achieved over the remaining operating life of the landfill.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Estimates of future disposal capacity may change as a result of changes in legislative or regulatory design requirements.</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density of waste may vary due to variations in operating conditions, including waste compaction practices, site design, climate and the nature of the waste.</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Capacity is defined in cubic yards but waste received is measured in tons. The number of tons per cubic yard varies by type of waste and our rate of compaction.</w:t>
      </w:r>
    </w:p>
    <w:p>
      <w:pPr>
        <w:spacing w:after="0" w:line="116"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i w:val="1"/>
          <w:iCs w:val="1"/>
          <w:color w:val="auto"/>
        </w:rPr>
        <w:t xml:space="preserve">Development costs. </w:t>
      </w:r>
      <w:r>
        <w:rPr>
          <w:rFonts w:ascii="Arial" w:cs="Arial" w:eastAsia="Arial" w:hAnsi="Arial"/>
          <w:sz w:val="16"/>
          <w:szCs w:val="16"/>
          <w:color w:val="auto"/>
        </w:rPr>
        <w:t>The types of costs that are detailed in the technical design specifications generally include excavation, natural and synthetic liners,</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of leachate collection systems, installation of methane gas collection systems and monitoring probes, installation of groundwater monitoring wells, construction of leachate management facilities and other costs associated with the development of the site. We review the adequacy of our cost estimates on an annual basis by comparing estimated costs with third-party bids or contractual arrangements, reviewing the changes in year over year cost estimates for reasonableness, and comparing our resulting development cost per acre with prior period costs. These development costs,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18" w:right="2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together with any costs incurred to acquire, design and permit the landfill, including capitalized interest, are recorded to the landfill asset on the balance sheet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jc w:val="both"/>
        <w:ind w:left="660" w:right="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future costs of construction materials and third-party labor could differ from the costs we have estimated because of the level of demand and the availability of the required materials and labor. Technical designs could be altered due to unexpected operating conditions, regulatory changes or legislative changes.</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Landfill development asset amortization. </w:t>
      </w:r>
      <w:r>
        <w:rPr>
          <w:rFonts w:ascii="Arial" w:cs="Arial" w:eastAsia="Arial" w:hAnsi="Arial"/>
          <w:sz w:val="18"/>
          <w:szCs w:val="18"/>
          <w:color w:val="auto"/>
        </w:rPr>
        <w:t>To match the expense related to the landfill asset with the revenue generated by the landfill operations,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 the landfill development asset over its operating life on a per-ton basis as waste is accepted at the landfill. The landfill asset is fully amortized at the end of a landfill’s operating life. The per-ton rate is calculated by dividing the sum of the landfill development asset net book value plus estimated future development costs (as described above) for the landfill, by the landfill’s estimated remaining disposal capacity. The expected future development costs are not inflated or discounted, but rather expressed in nominal dollars. This rate is applied to each ton accepted at the landfill to arrive at amortization expense for the period.</w:t>
      </w:r>
    </w:p>
    <w:p>
      <w:pPr>
        <w:spacing w:after="0" w:line="13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Amortization rates are influenced by the original cost basis of the landfill, including acquisition costs, which in turn is determined by geographic location and market values. We secure significant landfill assets through business acquisitions and value them at the time of acquisition based on fair value. Amortization rates are also influenced by site-specific engineering and cost factors.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jc w:val="both"/>
        <w:ind w:left="660" w:right="10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our future development cost estimates or our disposal capacity will normally result in a change in our amortization rates and will impact amortization expense prospectively. An unexpected significant increase in estimated costs or reduction in disposal capacity could affect the ongoing economic viability of the landfill and result in asset impairment.</w:t>
      </w:r>
    </w:p>
    <w:p>
      <w:pPr>
        <w:spacing w:after="0" w:line="1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at least an annual basis, we update the estimates of future development costs and remaining disposal capacity for each landfill. These costs and disposal capacity estimates are reviewed and approved by senior operations management annually. Changes in cost estimates and disposal capacity are reflected prospectively in the landfill amortization rates that are updated annually.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Landfill Asset Retirement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two types of retirement obligations related to landfills: (1) capping and (2) closure and post-closure.</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Obligations associated with final capping activities that occur during the operating life of the landfill are recognized on a units-of-consumption basis as airspace is consumed within each discrete capping event. Obligations related to closure and post-closure activities that occur after the landfill has ceased operations are recognized on a units-of-consumption basis as airspace is consumed throughout the entire life of the landfill. Landfill retirement obligations are capitalized as the related liabilities are recognized and amortized using the units-of-consumption method over the airspace consumed within the capping event or the airspace consumed within the entire landfill, depending on the nature of the obligation. All obligations are initially measured at estimated fair value. Fair value is calculated on a present value basis using an inflation rate and our credit-adjusted, risk-free rate in effect at the time the liabilities were incurred. Future costs for final capping, closure and post-closure are developed at least annually by engineers, and are inflated to future value using estimated future payment dates and inflation rate projections.</w:t>
      </w:r>
    </w:p>
    <w:p>
      <w:pPr>
        <w:spacing w:after="0" w:line="1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Landfill capping. </w:t>
      </w:r>
      <w:r>
        <w:rPr>
          <w:rFonts w:ascii="Arial" w:cs="Arial" w:eastAsia="Arial" w:hAnsi="Arial"/>
          <w:sz w:val="18"/>
          <w:szCs w:val="18"/>
          <w:color w:val="auto"/>
        </w:rPr>
        <w:t>As individual areas within each landfill reach capacity, we must cap and close the areas in accordance with the landfill site permit. These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are detailed in the technical design of the landfill site process previously described.</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Closure and post-closure. </w:t>
      </w:r>
      <w:r>
        <w:rPr>
          <w:rFonts w:ascii="Arial" w:cs="Arial" w:eastAsia="Arial" w:hAnsi="Arial"/>
          <w:sz w:val="17"/>
          <w:szCs w:val="17"/>
          <w:color w:val="auto"/>
        </w:rPr>
        <w:t>Closure costs are costs incurred after a landfill stops receiving waste, but prior to being certified as closed. After the entire landfill</w:t>
      </w:r>
      <w:r>
        <w:rPr>
          <w:rFonts w:ascii="Arial" w:cs="Arial" w:eastAsia="Arial" w:hAnsi="Arial"/>
          <w:sz w:val="17"/>
          <w:szCs w:val="17"/>
          <w:i w:val="1"/>
          <w:iCs w:val="1"/>
          <w:color w:val="auto"/>
        </w:rPr>
        <w:t xml:space="preserve"> </w:t>
      </w:r>
      <w:r>
        <w:rPr>
          <w:rFonts w:ascii="Arial" w:cs="Arial" w:eastAsia="Arial" w:hAnsi="Arial"/>
          <w:sz w:val="17"/>
          <w:szCs w:val="17"/>
          <w:color w:val="auto"/>
        </w:rPr>
        <w:t>has reached capacity and is certified closed, we must continue to maintain and monitor the site for a post-closure period, which generally extends for 30 years. Costs associated with closure and post-closure requirements generally include maintenance of the site, the monitoring of methane gas collection systems and groundwater systems, and other activities that occur after the site has ceased accepting waste. Costs associated with post-closure monitoring generally include groundwater sampling, analysis and statistical reports, third-party labor associated with gas system operations and maintenance, transportation and disposal of leachate, and erosion control costs related to the final cap.</w:t>
      </w:r>
    </w:p>
    <w:p>
      <w:pPr>
        <w:spacing w:after="0" w:line="12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Landfill retirement obligation liabilities and assets. </w:t>
      </w:r>
      <w:r>
        <w:rPr>
          <w:rFonts w:ascii="Arial" w:cs="Arial" w:eastAsia="Arial" w:hAnsi="Arial"/>
          <w:sz w:val="18"/>
          <w:szCs w:val="18"/>
          <w:color w:val="auto"/>
        </w:rPr>
        <w:t>Estimates of the total future costs required to cap, close and monitor each landfill as specified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permit are updated annually. The estimates include inflation, the specific timing of future cash outflows, and the anticipated waste flow into the capping events. Our cost estimates are inflated to the period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performance using an estimate of inflation, which is updated annually and is based upon the ten year average consumer price index (2.0% in 2015, 2.3% in 2014, and 2.5% in 2013).</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value of the remaining capping costs for specific capping events and the remaining closure and post-closure costs for each landfill are recorded as incurred on a per-ton basis. These liabilities are incurred as disposal capacity is consumed at the landfill.</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Capping, closure and post-closure liabilities are recorded in layers and discounted using our credit-adjusted risk-free rate in effect at the time the obligation is incurred (4.75% in 2015, 4.5% in 2014, and 5.0% in 2013).</w:t>
      </w:r>
    </w:p>
    <w:p>
      <w:pPr>
        <w:spacing w:after="0" w:line="11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Retirement obligations are increased each year to reflect the passage of time by accreting the balance at the weighted average credit-adjusted risk-free rate that was used to calculate each layer of the recorded liabilities. This accretion is charged to operating expenses. Actual cash expenditures reduce the asset retirement obligation liabilities as they are made.</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Corresponding retirement obligation assets are recorded for the same value as the additions to the capping, closure and post-closure liabilities. The retirement obligation assets are amortized to expense on a per-ton basis as disposal capacity is consumed. The per-ton rate is calculated by dividing the sum of each of the recorded retirement obligation asset’s net book value and expected future additions to the retirement obligation asset by the remaining disposal capacity. A per-ton rate is determined for each separate capping event based on the disposal capacity relating to that event. Closure and post-closure per-ton rates are based on the total disposal capacity of the landfill.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2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including changes in capping, closure activities or post-closure monitoring activities, types and quantities of materials used, or term of post-closure care, could cause changes in our cost estimates.</w:t>
      </w:r>
    </w:p>
    <w:p>
      <w:pPr>
        <w:spacing w:after="0" w:line="62"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landfill retirement obligation due to changes in the anticipated waste flow, changes in airspace compaction estimates or changes in the timing of expenditures for closed landfills and fully incurred but unpaid capping events are recorded in results of operations prospectively. This could result in unanticipated increases or decreases in expense.</w:t>
      </w:r>
    </w:p>
    <w:p>
      <w:pPr>
        <w:spacing w:after="0" w:line="7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timing of disposal capacity utilization could differ from projected timing, causing differences in timing of when amortization and accretion expense is recognized for capping, closure and post-closure liabilities.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inflation rates could impact our actual future costs and our total liabilities.</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capital structure or market conditions could result in changes to the credit-adjusted risk-free rate used to discount the liabilities, which could cause changes in future recorded liabilities, assets and expense.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Amortization rates could change in the future based on the evaluation of new facts and circumstances relating to landfill capping design, post-closure monitoring requirements, or the inflation or discount rate.</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an annual basis, we update our estimates of future capping, closure and post-closure costs and of future disposal capacity for each landfill. Revisions in estimates of our costs or timing of expenditures are recognized immediately as increases or decreases to the capping, closure and post-closure liabilities and the corresponding retirement obligation assets. Changes in the assets result in changes to the amortization rates which are applied prospectively, except for fully incurred capping events and closed landfills, where the changes are recorded immediately in results of operations since the associated disposal capacity has already been consumed.</w:t>
      </w:r>
    </w:p>
    <w:p>
      <w:pPr>
        <w:spacing w:after="0" w:line="8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 xml:space="preserve">Permitted and probable disposal capacity. </w:t>
      </w:r>
      <w:r>
        <w:rPr>
          <w:rFonts w:ascii="Arial" w:cs="Arial" w:eastAsia="Arial" w:hAnsi="Arial"/>
          <w:sz w:val="17"/>
          <w:szCs w:val="17"/>
          <w:color w:val="auto"/>
        </w:rPr>
        <w:t>Disposal capacity is determined by the specifications detailed in the landfill permit. We classify this disposal</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permitted. We also include probable expansion disposal capacity in our remaining disposal capacity estimates, thus including additional disposal capacity being sought through means of a permit expansion. Probable expansion disposal capacity has not yet received final approval from the applicable regulatory agencies, but we have determined that certain critical criteria have been met and that the successful completion of the expansion is probable. We have developed six criteria that must be met before an expansion area is designated as probable expansion airspace. We believe that satisfying all of these criteria demonstrates a high likelihood that expansion airspace that is incorporated in our landfill costing will be permitted. However, because some of these criteria are judgmental, they may exclude expansion airspace that will eventually be permitted or include expansion airspace that will not be permitted. In either of these scenarios, our amortization, depletion and accretion expense could change significantly. Our internal criteria to classify disposal capacity as probable expansion airspace are as follows:</w:t>
      </w:r>
    </w:p>
    <w:p>
      <w:pPr>
        <w:spacing w:after="0" w:line="7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own the land associated with the expansion airspace or control it pursuant to an option agreement;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committed to supporting the expansion project financially and with appropriate resources;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18" w:right="2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are no identified fatal flaws or impediments associated with the project, including political impediments;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Progress is being made on the project;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expansion is attainable within a reasonable time frame;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believe it is likely we will receive the expansion permit.</w:t>
      </w:r>
    </w:p>
    <w:p>
      <w:pPr>
        <w:spacing w:after="0" w:line="15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After successfully meeting these criteria, the disposal capacity that will result from the planned expansion is included in our remaining disposal capacity estimates. Additionally, for purposes of calculating landfill amortization and capping, closure and post-closure rates, we include the incremental costs to develop, construct, close and monitor the related probable expansion disposal capacity.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ind w:left="660" w:right="60" w:hanging="328"/>
        <w:spacing w:after="0" w:line="25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unsuccessful in obtaining permits for probable expansion disposal capacity because of the failure to obtain the final local, state or federal permits or due to other unknown reasons. If we are unsuccessful in obtaining permits for probable expansion disposal capacity, or the disposal capacity for which we obtain approvals is less than what was estimated, both our estimated total costs and disposal capacity will be reduced, which generally increases the rates we charge for landfill amortization and capping, closure and post-closure accruals. An unexpected decrease in disposal capacity could also cause an asset impairment.</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related legal costs.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We periodically review the status of all environmental matters and update our estimates 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the acquisition of Allied, environmental obligations are recorded on an undiscounted basis. Environmental obligations assumed in the acquisition of Allied, which were initially estimated on a discounted basis, are accreted to full value over time through charges to interest expense.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We have not reduced the liabilities we have recorded for recoveries from other potentially responsible parties or insurance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60" w:hanging="328"/>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cannot determine with precision the ultimate amounts of our environmental remediation liabilities. Our estimates of these liabilities require assumptions about uncertain future events. Thus, our estimates could change substantially as additional information becomes available regarding the nature or extent of contamination, the required remediation methods, timing of expenditures, the final apportionment of responsibility among the potentially responsible parties identified, the financial viability of those parties, and the actions of governmental agencies or private parties with interests in the matter. The actual environmental costs may exceed our current and future accruals for these costs, and any such adjustments could be material.</w:t>
      </w:r>
    </w:p>
    <w:p>
      <w:pPr>
        <w:spacing w:after="0" w:line="8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amounts could differ from the estimated liabilities as a result of changes in estimated future litigation costs to pursue the matter to ultimate resolution.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unanticipated environmental liability that arises could result in a material charge to our consolidated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 and Related Costs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insurance programs for workers' compensation, commercial general and auto liability, environmental and remediation liability, and employee-related health care benefits are subject to high deductible insurance policies. Accruals for insurance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deductible reserves are based on claims filed and estimates of claims incurred but not reported. We maintain high deductibles for commercial general liability, automobile liability and workers’ compensation coverage, ranging from $3.0 million to $5.0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6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Incident rates, including frequency and severity, and other actuarial assumptions could change causing our current and future actuarially determined obligations to change, which would be reflected in our consolidated statement of income in the period in which such adjustment is known.</w:t>
      </w:r>
    </w:p>
    <w:p>
      <w:pPr>
        <w:spacing w:after="0" w:line="15" w:lineRule="exact"/>
        <w:rPr>
          <w:rFonts w:ascii="Arial" w:cs="Arial" w:eastAsia="Arial" w:hAnsi="Arial"/>
          <w:sz w:val="16"/>
          <w:szCs w:val="16"/>
          <w:color w:val="auto"/>
        </w:rPr>
      </w:pPr>
    </w:p>
    <w:p>
      <w:pPr>
        <w:ind w:left="660" w:right="30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Recorded reserves may not be adequate to cover the future payment of claims. Adjustments, if any, to estimates recorded resulting from ultimate claim payments would be reflected in the consolidated statements of income in the periods in which such adjustments are known.</w:t>
      </w:r>
    </w:p>
    <w:p>
      <w:pPr>
        <w:spacing w:after="0" w:line="38"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settlement costs to discharge our obligations, including legal and health care costs, could increase or decrease causing current estimates of our insurance reserves to change.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subject to various legal proceedings, claims and regulatory matters, the outcomes of which are subject to significant uncertainty. We determine whether to disclose material loss contingencies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 develops its assessment based on an analysis of possible outcomes under various strategies. We record and disclose loss contingencies pursuant to the applicable accounting guidance for such matter.</w:t>
      </w:r>
    </w:p>
    <w:p>
      <w:pPr>
        <w:spacing w:after="0" w:line="1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record losses related to contingencies in cost of operations or selling, general and administrative expenses, depending on the nature of the underlying transaction leading to the loss contingency.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8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costs may vary from our estimates for a variety of reasons, including differing interpretations of laws, opinions on culpability and assessments of the amount of damages.</w:t>
      </w:r>
    </w:p>
    <w:p>
      <w:pPr>
        <w:spacing w:after="0" w:line="62" w:lineRule="exact"/>
        <w:rPr>
          <w:rFonts w:ascii="Arial" w:cs="Arial" w:eastAsia="Arial" w:hAnsi="Arial"/>
          <w:sz w:val="18"/>
          <w:szCs w:val="18"/>
          <w:color w:val="auto"/>
        </w:rPr>
      </w:pPr>
    </w:p>
    <w:p>
      <w:pPr>
        <w:jc w:val="both"/>
        <w:ind w:left="660" w:right="140" w:hanging="328"/>
        <w:spacing w:after="0" w:line="31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Loss contingency assumptions involve judgments that are inherently subjective and generally involve matters that are by their nature complex and unpredictable. If a loss contingency results in an adverse judgment or is settled for a significant amount, it could have a material adverse impact on our consolidated financial position, results of operations or cash flows in the period in which such judgment or settlement occurs.</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claims may be asserted that are not included in our loss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Valuation methodology. </w:t>
      </w:r>
      <w:r>
        <w:rPr>
          <w:rFonts w:ascii="Arial" w:cs="Arial" w:eastAsia="Arial" w:hAnsi="Arial"/>
          <w:sz w:val="18"/>
          <w:szCs w:val="18"/>
          <w:color w:val="auto"/>
        </w:rPr>
        <w:t>We evaluate our long-lived assets (other than goodwill) for impairment whenever events or changes in circumstances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of the asset or asset group may not be recoverable based on projected cash flows anticipated to be generated from the ongoing operation of those assets or we intend to sell or otherwise dispose of the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ind w:left="660" w:right="18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events or changes in circumstances occur, including reductions in anticipated cash flows generated by our operations or determinations to divest assets, certain assets could be impaired, which would result in a non-cash charge to earnings.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Evaluation criteria. </w:t>
      </w:r>
      <w:r>
        <w:rPr>
          <w:rFonts w:ascii="Arial" w:cs="Arial" w:eastAsia="Arial" w:hAnsi="Arial"/>
          <w:sz w:val="18"/>
          <w:szCs w:val="18"/>
          <w:color w:val="auto"/>
        </w:rPr>
        <w:t>We test long-lived assets for impairment whenever events or changes in circumstances indicate that the carrying amounts of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recoverable. Examples of such events could include a significant adverse change in the extent or manner in which we use a long-lived asset, a change in its physical condition, or new circumstances that could cause an expectation that it is more likely than not that we would sell or otherwise dispose of a long-lived asset significantly before the end of its previously estimated useful life.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ind w:left="660" w:right="120" w:hanging="328"/>
        <w:spacing w:after="0" w:line="31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most significant asset impairment exposure, other than goodwill (which is discussed below), relates to our landfills. A significant reduction in our estimated disposal capacity as a result of unanticipated events such as regulatory developments, revocation of an existing permit or denial of an expansion permit, or changes in our assumptions used to calculate disposal capacity, could trigger an impairment charge.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18" w:right="2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Recognition criteria. </w:t>
      </w:r>
      <w:r>
        <w:rPr>
          <w:rFonts w:ascii="Arial" w:cs="Arial" w:eastAsia="Arial" w:hAnsi="Arial"/>
          <w:sz w:val="18"/>
          <w:szCs w:val="18"/>
          <w:color w:val="auto"/>
        </w:rPr>
        <w:t>If such circumstances arise, we recognize impairment for the difference between the carrying amount and fair value of the asset if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book value of the asset exceeds the sum of the estimated undiscounted cash flows expected to result from its use and eventual disposition. We generally use the present value of the expected cash flows from that asset to determine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Recoverability</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historically evaluated goodwill for impairment annually as of December 31, or when an indicator of impairment exists. During 2015 we changed the date of our annual goodwill impairment assessment for our reporting units to October 1</w:t>
      </w:r>
      <w:r>
        <w:rPr>
          <w:rFonts w:ascii="Arial" w:cs="Arial" w:eastAsia="Arial" w:hAnsi="Arial"/>
          <w:sz w:val="25"/>
          <w:szCs w:val="25"/>
          <w:color w:val="auto"/>
          <w:vertAlign w:val="superscript"/>
        </w:rPr>
        <w:t>st</w:t>
      </w:r>
      <w:r>
        <w:rPr>
          <w:rFonts w:ascii="Arial" w:cs="Arial" w:eastAsia="Arial" w:hAnsi="Arial"/>
          <w:sz w:val="18"/>
          <w:szCs w:val="18"/>
          <w:color w:val="auto"/>
        </w:rPr>
        <w:t>. This voluntary change in the annual goodwill testing date is a change in accounting principle, which we believe is preferable as it better aligns the timing of the assessment with our planning and forecasting process and also provides additional time to complete our annual assessment in advance of our year-end reporting. This change in assessment date was applied prospectively and did not delay, accelerate or avoid a potential impairment charge.</w:t>
      </w:r>
    </w:p>
    <w:p>
      <w:pPr>
        <w:spacing w:after="0" w:line="6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test goodwill for impairment using a two-step process. The first step is a screen for potential impairment, while the second step measures the amount of the impairment, if any. The first step compares the fair value of a reporting unit with its carrying amount, including goodwill.</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2015, we managed and evaluated our operations through three regions: East, Central and West. In determining fair value, we primarily use discounted future cash flows and operating results based on a comparative multiple of earnings or revenues.</w:t>
      </w:r>
    </w:p>
    <w:p>
      <w:pPr>
        <w:spacing w:after="0" w:line="11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Significant estimates used in our fair value calculation using discounted future cash flows include: (1) estimates of future revenue and expense growth by reporting unit, which we estimate to range from 3% to 5%; (2) future estimated effective tax rates, which we estimate to be 40%; (3) future estimated capital expenditures as well as future required investments in working capital; (4) estimated discount rates, which we estimate to range between 6% and 8%; and</w:t>
      </w:r>
    </w:p>
    <w:p>
      <w:pPr>
        <w:ind w:right="160" w:firstLine="8"/>
        <w:spacing w:after="0" w:line="255"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future terminal value of the reporting unit, which is based on its ability to exist into perpetuity. Significant estimates used in the fair value calculation using market value multiples include: (a) estimated future growth potential of the reporting unit; (b) estimated multiples of revenue or earnings a willing buyer is likely to pay; and (c) the estimated control premium a willing buyer is likely to pay.</w:t>
      </w:r>
    </w:p>
    <w:p>
      <w:pPr>
        <w:spacing w:after="0" w:line="13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we evaluate a reporting unit for impairment if events or circumstances change between annual tests, indicating a possible impairment. Examples of such events or circumstances include: (1) a significant adverse change in legal factors or in the business climate; (2) an adverse action or assessment by a regulator; (3) a more likely than not expectation that a reporting unit or a significant portion thereof will be sold; (4) continued or sustained losses at a reporting unit; (5) a significant decline in our market capitalization as compared to our book value; or (6) the testing for recoverability of a significant asset group within the reporting unit.</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assign assets and liabilities from our corporate operating segment to our three reporting units to the extent that such assets or liabilities relate to the cash flows of the reporting unit and would be included in determining the reporting unit’s fair value.</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preparing our annual test for impairment as of October 1, 2015, we determined that our indicated fair value of total invested capital exceeded our total market capitalization. We believe one of the primary reconciling differences between the indicated fair value of total invested capital and our total market capitalization is due to a control premium. We believe the control premium represents the value a market participant could extract as savings and/or synergies by obtaining control.</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October 1, 2015, we determined that the indicated fair value of our reporting units exceeded their carrying value by approximately 50% on average and, therefore, we noted no indicators of impairment at our reporting units.</w:t>
      </w:r>
    </w:p>
    <w:p>
      <w:pPr>
        <w:spacing w:after="0" w:line="11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operating segments, which also represent our reporting units, are comprised of several vertically integrated businesses. When an individual business within an integrated operating segment is divested, goodwill is allocated to that business based on its fair value relative to the fair value of its operating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Future events could cause us to conclude that impairment indicators exist and that goodwill associated with acquired businesses is impaired.</w:t>
      </w:r>
    </w:p>
    <w:p>
      <w:pPr>
        <w:spacing w:after="0" w:line="128" w:lineRule="exact"/>
        <w:rPr>
          <w:rFonts w:ascii="Arial" w:cs="Arial" w:eastAsia="Arial" w:hAnsi="Arial"/>
          <w:sz w:val="17"/>
          <w:szCs w:val="17"/>
          <w:color w:val="auto"/>
        </w:rPr>
      </w:pPr>
    </w:p>
    <w:p>
      <w:pPr>
        <w:ind w:left="660" w:right="240" w:hanging="328"/>
        <w:spacing w:after="0" w:line="25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valuation of identifiable goodwill requires significant estimates and judgment about future performance, cash flows and fair value. Our future results could be affected if these current estimates of future performance and fair value change. For example, a reduction in long-term growth assumptions could reduce the estimated fair value of the operating segments to below their carrying values, which could trigger an impairment charge. Similarly, an increase in our discount rate could trigger an impairment charge. Any resulting impairment charge could have a material adverse impact on our financial condition and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0"/>
        <w:spacing w:after="0" w:line="257" w:lineRule="auto"/>
        <w:rPr>
          <w:sz w:val="20"/>
          <w:szCs w:val="20"/>
          <w:color w:val="auto"/>
        </w:rPr>
      </w:pPr>
      <w:r>
        <w:rPr>
          <w:rFonts w:ascii="Arial" w:cs="Arial" w:eastAsia="Arial" w:hAnsi="Arial"/>
          <w:sz w:val="18"/>
          <w:szCs w:val="18"/>
          <w:color w:val="auto"/>
        </w:rPr>
        <w:t>In January 2016, we realigned our field support functions by combining two organizational layers into one. This includes the elimination of our three regions, the consolidation of our 20 areas into 10 and the streamlining of select roles at our Phoenix headquarters. The areas will be grouped and overseen by two Executive Vice Presidents of Operations. In connection with our restructuring, we will further evaluate our 2016 reporting segments. We have considered the implications of our restructuring on our reporting units used to measure for goodwill impairment, and we have noted no indicators of goodwill impairment.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income tax expense, deferred taxes and liabilities for unrecognized tax benefits reflect management's best assessment of estimated future taxes to be paid. We are subject to U.S. federal income taxes and to the income taxes of numerous states and Puerto Rico. Significant judgments and estimates are required in determining the combined income tax expense.</w:t>
      </w:r>
    </w:p>
    <w:p>
      <w:pPr>
        <w:spacing w:after="0" w:line="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Deferred income taxes arise from temporary differences between the financial reporting and income tax bases of assets (other than non-deductible goodwill) and liabilities, which will result in taxable or deductible amounts in the future. Deferred tax assets and liabilities are measured using the income tax rate in effect during the year in which the differences are expected to reverse.</w:t>
      </w:r>
    </w:p>
    <w:p>
      <w:pPr>
        <w:spacing w:after="0" w:line="12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The assumptions about future taxable income require the use of significant judgment and are consistent with the plans and estimates we are using to manage the underlying businesses. In the event we determine that we would be able to realize our deferred income tax assets in the future in excess of their net recorded amount, we will make an adjustment to the valuation allowance which would reduce our provision for income taxes.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laws and regulations in a multitude of jurisdictions. Regarding the accounting for uncertainty in income taxes recognized in the financial statements, we record unrecognized tax benefits as liabilities in accordance with ASC 740 when it is more likely than not that the position will be sustained upon examination, including resolutions of any related appeals or litigation processes, based on the technical merits. We recognize interest and penalties related to uncertain tax positions within the provision for income taxes in our consolidated statements of income. Accrued interest and penalties are included within other accrued liabilities, deferred income taxes and other long-term tax liabilities in our consolidated balance sheets. We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jc w:val="both"/>
        <w:ind w:left="660" w:right="38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Income tax assets and liabilities established in purchase accounting for acquisitions are based on assumptions that could differ from the ultimate outcome of the tax matters. Such adjustments would be charged or credited to earnings, unless they meet certain remeasurement criteria and are allowed to be adjusted to goodwill.</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estimated realizability of deferred tax assets could result in adjustments to our provision for income taxes.</w:t>
      </w:r>
    </w:p>
    <w:p>
      <w:pPr>
        <w:spacing w:after="0" w:line="11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Valuation allowances for deferred tax assets and the realizability of net operating loss carryforwards for tax purposes are based on our judgment. If our judgments and estimates concerning valuation allowances and the realizability of net operating loss carryforwards are incorrect, our provision for income taxes would change.</w:t>
      </w:r>
    </w:p>
    <w:p>
      <w:pPr>
        <w:spacing w:after="0" w:line="73"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regularly under examination or administrative review by various taxing authorities. The Internal Revenue Code, state tax laws and income tax regulations are a complex set of rules that we must interpret and apply. Positions taken in tax years under examination or subsequent years are subject to challenge. Accordingly, we may have exposure for additional tax liabilities arising from these audits if any positions taken by us or by companies we have acquired are disallowed by the taxing authorities.</w:t>
      </w:r>
    </w:p>
    <w:p>
      <w:pPr>
        <w:spacing w:after="0" w:line="78"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adjust our liabilities for uncertain tax positions when our judgment changes as a result of the evaluation of new information not previously available. Due to the complexity of some of these uncertainties, their ultimate resolution may result in payments that are materially different from our current estimates of the tax liabilities. These differences will be reflected as increases or decreases to our provision for income taxes in the period in which they are determined.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9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currently have one qualified defined benefit pension plan, the BFI Retirement Plan (the Plan). The Plan covers certain employees in the United States, including some employees subject to collective bargaining agreements. The Plan’s benefit formula is based on a percentage of compensation as defined in the Plan document. The benefits of approximately 97% of the current plan participants were frozen upon Allied’s acquisition of BFI in 1999.</w:t>
      </w:r>
    </w:p>
    <w:p>
      <w:pPr>
        <w:spacing w:after="0" w:line="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pension contributions are made in accordance with funding standards established by the Employee Retirement Income Security Act of 1974 and the Internal Revenue Code, as amended by the Pension Protection Act of 2006.</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Plan’s assets are invested as determined by our Employee Benefits Committee. As of December 31, 2015, the plan assets were invested in fixed income funds, equity funds and cash. The Employee Benefits Committee annually reviews and adjusts the plan’s asset allocation as deemed necessary. As of December 31, 2015 and 2014, the Plan was underfunded by $5.4 million and $4.2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ind w:left="660" w:right="44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plan’s investment mix and performance of the equity and bond markets and fund managers could impact the amount of pension income or expense recorded, the funded status of the plan and the need for future cash contributions.</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Assumptions. </w:t>
      </w:r>
      <w:r>
        <w:rPr>
          <w:rFonts w:ascii="Arial" w:cs="Arial" w:eastAsia="Arial" w:hAnsi="Arial"/>
          <w:sz w:val="18"/>
          <w:szCs w:val="18"/>
          <w:color w:val="auto"/>
        </w:rPr>
        <w:t>The benefit obligation and associated income or expense related to the Plan are determined based on assumptions concerning items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rates, mortality rates, expected rates of return and average rates of compensation increases. Our assumptions are reviewed annually and adjusted as deemed necessary.</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determine the discount rate based on a model that matches the timing and amount of expected benefit payments to maturities of high quality bonds priced as of the Plan measurement date. Where that timing does not correspond to a published high-quality bond rate, our model uses an expected yield curve to determine an appropriate current discount rate. The yield on the bonds is used to derive a discount rate for the liability. If the discount rate were to increase by 1%, our benefit obligation would decrease by approximately $20 million. If the discount rate were to decrease by 1%, our benefit obligation would increase by approximately $24 million.</w:t>
      </w:r>
    </w:p>
    <w:p>
      <w:pPr>
        <w:spacing w:after="0" w:line="13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developing our expected rate of return assumption, we evaluate long-term expected and historical returns on the Plan assets, giving consideration to our asset mix and the anticipated duration of the Plan obligations. The average rate of compensation increase reflects our expectations of average pay increases over the periods benefits are earned. There are no participants in the Plan that continue to earn service benefits.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assumed discount rate is sensitive to changes in market-based interest rates. A decrease in the discount rate will increase our related benefit plan obligation.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annual pension expense would be impacted if the actual return on plan assets were to vary from the expected return.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For a description of new accounting standards that may affect us,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 Item 8 of this Form 10-K.</w:t>
      </w:r>
    </w:p>
    <w:p>
      <w:pPr>
        <w:spacing w:after="0" w:line="166" w:lineRule="exact"/>
        <w:rPr>
          <w:sz w:val="20"/>
          <w:szCs w:val="20"/>
          <w:color w:val="auto"/>
        </w:rPr>
      </w:pPr>
    </w:p>
    <w:p>
      <w:pPr>
        <w:ind w:right="4100"/>
        <w:spacing w:after="0" w:line="440"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Risk</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major market risk exposure of our financial instruments is changing interest rates in the United States and fluctuations in LIBOR. We intend to manage interest rate risk through the use of a combination of fixed and floating rate debt. The carrying value of our variable rate debt approximates fair value because interest rates are variable and, accordingly, approximates current market rates for instruments with similar risk and maturities. The fair value of our debt is determined as of the balance sheet date and is subject to change. The table below provides information about certain of our market-sensitive financial instruments and constitutes a “forward-looking statement.”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18" w:right="2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Expected Maturity Date</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180"/>
              <w:spacing w:after="0"/>
              <w:rPr>
                <w:sz w:val="20"/>
                <w:szCs w:val="20"/>
                <w:color w:val="auto"/>
              </w:rPr>
            </w:pPr>
            <w:r>
              <w:rPr>
                <w:rFonts w:ascii="Arial" w:cs="Arial" w:eastAsia="Arial" w:hAnsi="Arial"/>
                <w:sz w:val="18"/>
                <w:szCs w:val="18"/>
                <w:color w:val="auto"/>
              </w:rPr>
              <w:t>Amount outstanding (in</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millions)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654.8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855.0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4,424.3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6,649.4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7,209.4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interest rates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Variable rate debt: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outstanding (in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43"/>
        </w:trPr>
        <w:tc>
          <w:tcPr>
            <w:tcW w:w="2220" w:type="dxa"/>
            <w:vAlign w:val="bottom"/>
          </w:tcPr>
          <w:p>
            <w:pPr>
              <w:ind w:left="180"/>
              <w:spacing w:after="0"/>
              <w:rPr>
                <w:sz w:val="20"/>
                <w:szCs w:val="20"/>
                <w:color w:val="auto"/>
              </w:rPr>
            </w:pPr>
            <w:r>
              <w:rPr>
                <w:rFonts w:ascii="Arial" w:cs="Arial" w:eastAsia="Arial" w:hAnsi="Arial"/>
                <w:sz w:val="18"/>
                <w:szCs w:val="18"/>
                <w:color w:val="auto"/>
              </w:rPr>
              <w:t>Average interest rates</w:t>
            </w:r>
          </w:p>
        </w:tc>
        <w:tc>
          <w:tcPr>
            <w:tcW w:w="20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fixed and variable rate debt amounts above exclude the remaining non-cash discounts, premiums and adjustments to fair value recorded in purchase accounting totaling $61.6 million. Additionally, during the second half of 2013, we entered into various interest rate swap agreements relative to our 4.750% fixed rate senior notes due in May 2023. The goal was to reduce overall borrowing costs and rebalance our debt portfolio's ratio of fixed to floating interest rates. These swap agreements, which were designated as fair value hedges, have a total notional value of $300.0 million as of December 31, 2015. Our interest rate swap contracts have been authorized pursuant to our policies and procedures. We do not use financial instruments for trading purposes and are not a party to any leveraged derivatives.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 Risk</w:t>
      </w:r>
    </w:p>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Fuel costs represent a significant operating expense. When economically practical, we may enter into new fuel hedges, renew contracts, or engage in other strategies to mitigate market risk. Where appropriate, we have implemented a fuel recovery fee that is designed to recover our fuel costs. While we charge fuel recovery fees to a majority of our customers, we are unable to charge such fees to all customers. Consequently, an increase in fuel costs results in (1) an increase in our cost of operations, (2) a smaller increase in our revenue (from the fuel recovery fee) and (3) a decrease in our operating margin percentage. Conversely, a decrease in fuel costs results in (1) a decrease in our cost of operations, (2) a smaller decrease in our revenue and (3) an increase in our operating margin percentage.</w:t>
      </w:r>
    </w:p>
    <w:p>
      <w:pPr>
        <w:spacing w:after="0" w:line="13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At current consumption levels, we believe a twenty-cent per gallon change in the price of diesel fuel changes our fuel costs by approximately $22 million per year. Offsetting these changes in fuel expense would be changes in our fuel recovery fee charged to our customers. At current participation rates, we believe a twenty-cent per gallon change in the price of diesel fuel changes our fuel recovery fee by approximately $22 million per year.</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operations also require the use of certain petrochemical-based products (such as liners at our landfills) whose costs may vary with the price of petrochemicals. An increase in the price of petrochemicals could increase the cost of those products, which would increase our operating and capital costs. We also are susceptible to increases in indirect fuel recovery fees from our vendors.</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fuel costs were $362.4 million in 2015, or 4.0% of revenue, compared to $500.0 million in 2014, or 5.7% of revenue, and $516.7 million in 2013, or 6.1% of revenue.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For additional discussion and detail of our fuel hedges, see Note 16,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our consolidated financial statements in Item 8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 Prices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market recycled products such as cardboard and newspaper from our recycling centers. Market demand for recycled commodities causes volatility in commodity prices. At current volumes and mix of materials, we believe a $10 per ton change in the price of recycled commodities will change annual revenue and operating income by approximately $27 million and $18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from sales of these products in 2015, 2014 and 2013 was $372.0 million, $405.8 million and $374.6 million,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338"/>
        </w:trPr>
        <w:tc>
          <w:tcPr>
            <w:tcW w:w="60" w:type="dxa"/>
            <w:vAlign w:val="bottom"/>
          </w:tcPr>
          <w:p>
            <w:pPr>
              <w:spacing w:after="0"/>
              <w:rPr>
                <w:sz w:val="24"/>
                <w:szCs w:val="24"/>
                <w:color w:val="auto"/>
              </w:rPr>
            </w:pPr>
          </w:p>
        </w:tc>
        <w:tc>
          <w:tcPr>
            <w:tcW w:w="420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64">
              <w:r>
                <w:rPr>
                  <w:rFonts w:ascii="Arial" w:cs="Arial" w:eastAsia="Arial" w:hAnsi="Arial"/>
                  <w:sz w:val="18"/>
                  <w:szCs w:val="18"/>
                  <w:color w:val="0000FF"/>
                  <w:w w:val="90"/>
                </w:rPr>
                <w:t>Report of Independent Registered Public Accounting Firm</w:t>
              </w:r>
            </w:hyperlink>
          </w:p>
        </w:tc>
        <w:tc>
          <w:tcPr>
            <w:tcW w:w="6920" w:type="dxa"/>
            <w:vAlign w:val="bottom"/>
            <w:gridSpan w:val="7"/>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64</w:t>
              </w:r>
            </w:hyperlink>
          </w:p>
        </w:tc>
      </w:tr>
      <w:tr>
        <w:trPr>
          <w:trHeight w:val="250"/>
        </w:trPr>
        <w:tc>
          <w:tcPr>
            <w:tcW w:w="60" w:type="dxa"/>
            <w:vAlign w:val="bottom"/>
          </w:tcPr>
          <w:p>
            <w:pPr>
              <w:spacing w:after="0"/>
              <w:rPr>
                <w:sz w:val="21"/>
                <w:szCs w:val="21"/>
                <w:color w:val="auto"/>
              </w:rPr>
            </w:pPr>
          </w:p>
        </w:tc>
        <w:tc>
          <w:tcPr>
            <w:tcW w:w="75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65">
              <w:r>
                <w:rPr>
                  <w:rFonts w:ascii="Arial" w:cs="Arial" w:eastAsia="Arial" w:hAnsi="Arial"/>
                  <w:sz w:val="18"/>
                  <w:szCs w:val="18"/>
                  <w:color w:val="0000FF"/>
                  <w:w w:val="91"/>
                </w:rPr>
                <w:t>Report of Independent Registered Public Accounting Firm on Internal Control Over Financial Reporting</w:t>
              </w:r>
            </w:hyperlink>
          </w:p>
        </w:tc>
        <w:tc>
          <w:tcPr>
            <w:tcW w:w="3600" w:type="dxa"/>
            <w:vAlign w:val="bottom"/>
            <w:gridSpan w:val="4"/>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65</w:t>
              </w:r>
            </w:hyperlink>
          </w:p>
        </w:tc>
      </w:tr>
      <w:tr>
        <w:trPr>
          <w:trHeight w:val="250"/>
        </w:trPr>
        <w:tc>
          <w:tcPr>
            <w:tcW w:w="60" w:type="dxa"/>
            <w:vAlign w:val="bottom"/>
          </w:tcPr>
          <w:p>
            <w:pPr>
              <w:spacing w:after="0"/>
              <w:rPr>
                <w:sz w:val="21"/>
                <w:szCs w:val="21"/>
                <w:color w:val="auto"/>
              </w:rPr>
            </w:pPr>
          </w:p>
        </w:tc>
        <w:tc>
          <w:tcPr>
            <w:tcW w:w="1112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Balance Sheets as of December 31, 2015 and 2014</w:t>
              </w:r>
            </w:hyperlink>
          </w:p>
        </w:tc>
        <w:tc>
          <w:tcPr>
            <w:tcW w:w="180" w:type="dxa"/>
            <w:vAlign w:val="bottom"/>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66</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5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Income for Each of the Three Years in the Period Ended December 31, 2015</w:t>
              </w:r>
            </w:hyperlink>
          </w:p>
        </w:tc>
        <w:tc>
          <w:tcPr>
            <w:tcW w:w="362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67</w:t>
              </w:r>
            </w:hyperlink>
          </w:p>
        </w:tc>
      </w:tr>
      <w:tr>
        <w:trPr>
          <w:trHeight w:val="250"/>
        </w:trPr>
        <w:tc>
          <w:tcPr>
            <w:tcW w:w="60" w:type="dxa"/>
            <w:vAlign w:val="bottom"/>
          </w:tcPr>
          <w:p>
            <w:pPr>
              <w:spacing w:after="0"/>
              <w:rPr>
                <w:sz w:val="21"/>
                <w:szCs w:val="21"/>
                <w:color w:val="auto"/>
              </w:rPr>
            </w:pPr>
          </w:p>
        </w:tc>
        <w:tc>
          <w:tcPr>
            <w:tcW w:w="86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Comprehensive Income for Each of the Three Years in the Period Ended December 31, 2015</w:t>
              </w:r>
            </w:hyperlink>
          </w:p>
        </w:tc>
        <w:tc>
          <w:tcPr>
            <w:tcW w:w="244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68</w:t>
              </w:r>
            </w:hyperlink>
          </w:p>
        </w:tc>
      </w:tr>
      <w:tr>
        <w:trPr>
          <w:trHeight w:val="250"/>
        </w:trPr>
        <w:tc>
          <w:tcPr>
            <w:tcW w:w="60" w:type="dxa"/>
            <w:vAlign w:val="bottom"/>
          </w:tcPr>
          <w:p>
            <w:pPr>
              <w:spacing w:after="0"/>
              <w:rPr>
                <w:sz w:val="21"/>
                <w:szCs w:val="21"/>
                <w:color w:val="auto"/>
              </w:rPr>
            </w:pPr>
          </w:p>
        </w:tc>
        <w:tc>
          <w:tcPr>
            <w:tcW w:w="84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Consolidated Statement of Stockholders’ Equity for Each of the Three Years in the Period Ended December 31, 2015</w:t>
              </w:r>
            </w:hyperlink>
          </w:p>
        </w:tc>
        <w:tc>
          <w:tcPr>
            <w:tcW w:w="270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69</w:t>
              </w:r>
            </w:hyperlink>
          </w:p>
        </w:tc>
      </w:tr>
      <w:tr>
        <w:trPr>
          <w:trHeight w:val="250"/>
        </w:trPr>
        <w:tc>
          <w:tcPr>
            <w:tcW w:w="60" w:type="dxa"/>
            <w:vAlign w:val="bottom"/>
          </w:tcPr>
          <w:p>
            <w:pPr>
              <w:spacing w:after="0"/>
              <w:rPr>
                <w:sz w:val="21"/>
                <w:szCs w:val="21"/>
                <w:color w:val="auto"/>
              </w:rPr>
            </w:pPr>
          </w:p>
        </w:tc>
        <w:tc>
          <w:tcPr>
            <w:tcW w:w="11120" w:type="dxa"/>
            <w:vAlign w:val="bottom"/>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 for Each of the Three Years in the Period Ended December 31, 2015</w:t>
              </w:r>
            </w:hyperlink>
          </w:p>
        </w:tc>
        <w:tc>
          <w:tcPr>
            <w:tcW w:w="180" w:type="dxa"/>
            <w:vAlign w:val="bottom"/>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r>
      <w:tr>
        <w:trPr>
          <w:trHeight w:val="250"/>
        </w:trPr>
        <w:tc>
          <w:tcPr>
            <w:tcW w:w="60" w:type="dxa"/>
            <w:vAlign w:val="bottom"/>
          </w:tcPr>
          <w:p>
            <w:pPr>
              <w:spacing w:after="0"/>
              <w:rPr>
                <w:sz w:val="21"/>
                <w:szCs w:val="21"/>
                <w:color w:val="auto"/>
              </w:rPr>
            </w:pPr>
          </w:p>
        </w:tc>
        <w:tc>
          <w:tcPr>
            <w:tcW w:w="7840" w:type="dxa"/>
            <w:vAlign w:val="bottom"/>
            <w:tcBorders>
              <w:top w:val="single" w:sz="8" w:color="0000EE"/>
            </w:tcBorders>
            <w:gridSpan w:val="6"/>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Notes to Consolidated Financial Statements</w:t>
              </w:r>
            </w:hyperlink>
          </w:p>
        </w:tc>
        <w:tc>
          <w:tcPr>
            <w:tcW w:w="3280" w:type="dxa"/>
            <w:vAlign w:val="bottom"/>
            <w:gridSpan w:val="3"/>
          </w:tcPr>
          <w:p>
            <w:pPr>
              <w:spacing w:after="0"/>
              <w:rPr>
                <w:sz w:val="21"/>
                <w:szCs w:val="21"/>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71</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FF"/>
            </w:tcBorders>
          </w:tcPr>
          <w:p>
            <w:pPr>
              <w:spacing w:after="0"/>
              <w:rPr>
                <w:sz w:val="24"/>
                <w:szCs w:val="24"/>
                <w:color w:val="auto"/>
              </w:rPr>
            </w:pPr>
          </w:p>
        </w:tc>
        <w:tc>
          <w:tcPr>
            <w:tcW w:w="4380" w:type="dxa"/>
            <w:vAlign w:val="bottom"/>
            <w:gridSpan w:val="3"/>
          </w:tcPr>
          <w:p>
            <w:pPr>
              <w:jc w:val="right"/>
              <w:ind w:right="176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40" w:top="118" w:right="29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Republic Services, Inc.:</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consolidated balance sheets of Republic Services, Inc. as of December 31, 2015 and 2014, and the related consolidated statements of income, comprehensive income, stockholders’ equity and cash flows for each of the three years in the period ended December 31, 2015. These financial statements are the responsibility of Republic Services, Inc.'s management. Our responsibility is to express an opinion on these financial statements based on our audits.</w:t>
      </w:r>
    </w:p>
    <w:p>
      <w:pPr>
        <w:spacing w:after="0" w:line="13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Republic Services, Inc. at December 31, 2015 and 2014, and the consolidated results of its operations and its cash flows for each of the three years in the period ended December 31, 2015, in conformity with U.S. generally accepted accounting principles.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Republic Services, Inc.’s internal control over financial reporting as of December 31, 2015, based on criteria established in Internal Control - Integrated Framework issued by the Committee of Sponsoring Organizations of the Treadway Commission (2013 framework) and our report dated February 11, 2016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Republic Services, Inc.:</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audited Republic Services, Inc.’s internal control over financial reporting as of December 31, 2015, based on criteria established in Internal Control - Integrated Framework issued by the Committee of Sponsoring Organizations of the Treadway Commission (2013 framework) (the COSO criteria). Republic Services, Inc.’s management is responsible for maintaining effective internal control over financial reporting, and for its assessment of the effectiveness of internal control over financial reporting included in the accompanying Report of Management on Republic Services, Inc.’s Internal Control over Financial Reporting. Our responsibility is to express an opinion on Republic Services, Inc.'s internal control over financial reporting based on our audit.</w:t>
      </w:r>
    </w:p>
    <w:p>
      <w:pPr>
        <w:spacing w:after="0" w:line="104"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indicated in the accompanying Report of Management on Republic Services, Inc.’s Internal Control over Financial Reporting, management’s assessment of and conclusion on the effectiveness of internal control over financial reporting did not include the internal controls of Tervita, LLC, which is included in the 2015 consolidated financial statements of Republic Services, Inc. and constituted approximately $500 million of total assets as of December 31, 2015 and less than 1% of revenues for the year then ended. Our audit of internal control over financial reporting of Republic Services, Inc. also did not include an evaluation of the internal control over financial reporting of Tervita, LLC.</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opinion, Republic Services, Inc. maintained, in all material respects, effective internal control over financial reporting as of December 31, 2015, based on the COSO criteria.</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Republic Services, Inc. as of December 31, 2015 and 2014, and the related consolidated statements of income, comprehensive income, stockholders’ equity and cash flows for each of the three years in the period ended December 31, 2015 of Republic Services, Inc. and our report dated February 11, 2016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100" w:type="dxa"/>
            <w:vAlign w:val="bottom"/>
            <w:tcBorders>
              <w:top w:val="single" w:sz="8" w:color="0000EE"/>
            </w:tcBorders>
          </w:tcPr>
          <w:p>
            <w:pPr>
              <w:spacing w:after="0"/>
              <w:rPr>
                <w:sz w:val="24"/>
                <w:szCs w:val="24"/>
                <w:color w:val="auto"/>
              </w:rPr>
            </w:pPr>
          </w:p>
        </w:tc>
        <w:tc>
          <w:tcPr>
            <w:tcW w:w="724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REPUBLIC SERVICES, INC.</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24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CONSOLIDATED BALANCE SHEETS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724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(in millions, except per share data)</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2015</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100" w:type="dxa"/>
            <w:vAlign w:val="bottom"/>
            <w:tcBorders>
              <w:bottom w:val="single" w:sz="8" w:color="CCEEFF"/>
            </w:tcBorders>
            <w:shd w:val="clear" w:color="auto" w:fill="CCEEFF"/>
          </w:tcPr>
          <w:p>
            <w:pPr>
              <w:spacing w:after="0"/>
              <w:rPr>
                <w:sz w:val="20"/>
                <w:szCs w:val="20"/>
                <w:color w:val="auto"/>
              </w:rPr>
            </w:pPr>
          </w:p>
        </w:tc>
        <w:tc>
          <w:tcPr>
            <w:tcW w:w="7240" w:type="dxa"/>
            <w:vAlign w:val="bottom"/>
            <w:tcBorders>
              <w:bottom w:val="single" w:sz="8" w:color="CCEEFF"/>
            </w:tcBorders>
            <w:shd w:val="clear" w:color="auto" w:fill="CCEEFF"/>
          </w:tcPr>
          <w:p>
            <w:pPr>
              <w:jc w:val="center"/>
              <w:ind w:left="1890"/>
              <w:spacing w:after="0"/>
              <w:rPr>
                <w:sz w:val="20"/>
                <w:szCs w:val="20"/>
                <w:color w:val="auto"/>
              </w:rPr>
            </w:pPr>
            <w:r>
              <w:rPr>
                <w:rFonts w:ascii="Arial" w:cs="Arial" w:eastAsia="Arial" w:hAnsi="Arial"/>
                <w:sz w:val="18"/>
                <w:szCs w:val="18"/>
                <w:b w:val="1"/>
                <w:bCs w:val="1"/>
                <w:color w:val="auto"/>
                <w:w w:val="91"/>
              </w:rPr>
              <w:t>ASSETS</w:t>
            </w:r>
          </w:p>
        </w:tc>
        <w:tc>
          <w:tcPr>
            <w:tcW w:w="4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receivable, less allowance for doubtful accounts and other of $46.7 and $38.9, respectively</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4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Restricted cash and marketable securities</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7,165.3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11,145.5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10,830.9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20,094.0</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bottom w:val="single" w:sz="8" w:color="CCEEFF"/>
            </w:tcBorders>
            <w:vMerge w:val="restart"/>
          </w:tcPr>
          <w:p>
            <w:pPr>
              <w:spacing w:after="0" w:line="20" w:lineRule="exact"/>
              <w:rPr>
                <w:sz w:val="1"/>
                <w:szCs w:val="1"/>
                <w:color w:val="auto"/>
              </w:rPr>
            </w:pPr>
          </w:p>
        </w:tc>
        <w:tc>
          <w:tcPr>
            <w:tcW w:w="7240" w:type="dxa"/>
            <w:vAlign w:val="bottom"/>
            <w:tcBorders>
              <w:top w:val="single" w:sz="8" w:color="CCEEFF"/>
              <w:bottom w:val="single" w:sz="8" w:color="CCEEFF"/>
            </w:tcBorders>
            <w:vMerge w:val="restart"/>
          </w:tcPr>
          <w:p>
            <w:pPr>
              <w:jc w:val="center"/>
              <w:ind w:left="191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00" w:type="dxa"/>
            <w:vAlign w:val="bottom"/>
            <w:vMerge w:val="continue"/>
          </w:tcPr>
          <w:p>
            <w:pPr>
              <w:spacing w:after="0"/>
              <w:rPr>
                <w:sz w:val="17"/>
                <w:szCs w:val="17"/>
                <w:color w:val="auto"/>
              </w:rPr>
            </w:pPr>
          </w:p>
        </w:tc>
        <w:tc>
          <w:tcPr>
            <w:tcW w:w="72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577.4</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and current maturities of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landfill and environmental costs, current portion</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1,834.8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1,826.0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maturities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7,050.8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Accrued landfill and environmental costs, net of current portion</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1,677.5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long-term tax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Insurance reserves, net of current portion</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Preferred stock, par value $0.01 per share; 50 shares authorized; none issued</w:t>
            </w:r>
          </w:p>
        </w:tc>
        <w:tc>
          <w:tcPr>
            <w:tcW w:w="4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Common stock, par value $0.01 per share; 750 shares authorized; 346.0 and 414.4 issued including shares held</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 treasury, 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4,677.7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6,876.9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(0.4 and 61.7 shares, respectively)</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net of tax</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Republic Services, Inc. stockholders’ equity</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7,774.1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7,745.3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7,776.6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7,747.8</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20,094.0</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7080" w:type="dxa"/>
            <w:vAlign w:val="bottom"/>
            <w:gridSpan w:val="2"/>
          </w:tcPr>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100" w:type="dxa"/>
            <w:vAlign w:val="bottom"/>
            <w:tcBorders>
              <w:top w:val="single" w:sz="8" w:color="0000EE"/>
            </w:tcBorders>
          </w:tcPr>
          <w:p>
            <w:pPr>
              <w:spacing w:after="0"/>
              <w:rPr>
                <w:sz w:val="24"/>
                <w:szCs w:val="24"/>
                <w:color w:val="auto"/>
              </w:rPr>
            </w:pPr>
          </w:p>
        </w:tc>
        <w:tc>
          <w:tcPr>
            <w:tcW w:w="598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REPUBLIC SERVICES, INC.</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480" w:type="dxa"/>
            <w:vAlign w:val="bottom"/>
            <w:gridSpan w:val="4"/>
          </w:tcPr>
          <w:p>
            <w:pPr>
              <w:jc w:val="center"/>
              <w:ind w:left="1670"/>
              <w:spacing w:after="0"/>
              <w:rPr>
                <w:sz w:val="20"/>
                <w:szCs w:val="20"/>
                <w:color w:val="auto"/>
              </w:rPr>
            </w:pPr>
            <w:r>
              <w:rPr>
                <w:rFonts w:ascii="Arial" w:cs="Arial" w:eastAsia="Arial" w:hAnsi="Arial"/>
                <w:sz w:val="18"/>
                <w:szCs w:val="18"/>
                <w:b w:val="1"/>
                <w:bCs w:val="1"/>
                <w:color w:val="auto"/>
              </w:rPr>
              <w:t>CONSOLIDATED STATEMENTS OF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980" w:type="dxa"/>
            <w:vAlign w:val="bottom"/>
          </w:tcPr>
          <w:p>
            <w:pPr>
              <w:jc w:val="center"/>
              <w:ind w:left="3150"/>
              <w:spacing w:after="0"/>
              <w:rPr>
                <w:sz w:val="20"/>
                <w:szCs w:val="20"/>
                <w:color w:val="auto"/>
              </w:rPr>
            </w:pPr>
            <w:r>
              <w:rPr>
                <w:rFonts w:ascii="Arial" w:cs="Arial" w:eastAsia="Arial" w:hAnsi="Arial"/>
                <w:sz w:val="18"/>
                <w:szCs w:val="18"/>
                <w:b w:val="1"/>
                <w:bCs w:val="1"/>
                <w:color w:val="auto"/>
                <w:w w:val="89"/>
              </w:rPr>
              <w:t>(in millions, except per share data)</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8,417.2</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5,234.7</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depletion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Negotiation and withdrawal costs - Central States Pension and Other Funds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Loss (gain) on disposition of assets and impairments, net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4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Republic Services,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 attributable to Republic Services, Inc. stockholders: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5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67"/>
        </w:trPr>
        <w:tc>
          <w:tcPr>
            <w:tcW w:w="1100" w:type="dxa"/>
            <w:vAlign w:val="bottom"/>
            <w:tcBorders>
              <w:bottom w:val="single" w:sz="8" w:color="CCEEFF"/>
            </w:tcBorders>
          </w:tcPr>
          <w:p>
            <w:pPr>
              <w:spacing w:after="0"/>
              <w:rPr>
                <w:sz w:val="5"/>
                <w:szCs w:val="5"/>
                <w:color w:val="auto"/>
              </w:rPr>
            </w:pPr>
          </w:p>
        </w:tc>
        <w:tc>
          <w:tcPr>
            <w:tcW w:w="59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 attributable to Republic Services, Inc. stockholders: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38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67"/>
        </w:trPr>
        <w:tc>
          <w:tcPr>
            <w:tcW w:w="1100" w:type="dxa"/>
            <w:vAlign w:val="bottom"/>
            <w:tcBorders>
              <w:bottom w:val="single" w:sz="8" w:color="CCEEFF"/>
            </w:tcBorders>
          </w:tcPr>
          <w:p>
            <w:pPr>
              <w:spacing w:after="0"/>
              <w:rPr>
                <w:sz w:val="5"/>
                <w:szCs w:val="5"/>
                <w:color w:val="auto"/>
              </w:rPr>
            </w:pPr>
          </w:p>
        </w:tc>
        <w:tc>
          <w:tcPr>
            <w:tcW w:w="59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common and common equivalent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Cash dividends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gridSpan w:val="2"/>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4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750.4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Hedging activity:</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loss (gain) reclassified into earnings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Unrealized (loss) gain</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activity:</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Change in funded status of pension plan obligations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related to pension settlement reclassified to earnings</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748.8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Republic Services, Inc.</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748.3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December 31, 2012</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60" w:right="100"/>
        <w:spacing w:after="0" w:line="238" w:lineRule="auto"/>
        <w:rPr>
          <w:sz w:val="20"/>
          <w:szCs w:val="20"/>
          <w:color w:val="auto"/>
        </w:rPr>
      </w:pPr>
      <w:r>
        <w:rPr>
          <w:rFonts w:ascii="Arial" w:cs="Arial" w:eastAsia="Arial" w:hAnsi="Arial"/>
          <w:sz w:val="14"/>
          <w:szCs w:val="14"/>
          <w:color w:val="auto"/>
        </w:rPr>
        <w:t>Change in the value of derivative instruments, net of tax of $1.0</w:t>
      </w:r>
    </w:p>
    <w:p>
      <w:pPr>
        <w:spacing w:after="0" w:line="21" w:lineRule="exact"/>
        <w:rPr>
          <w:sz w:val="20"/>
          <w:szCs w:val="20"/>
          <w:color w:val="auto"/>
        </w:rPr>
      </w:pPr>
    </w:p>
    <w:p>
      <w:pPr>
        <w:ind w:left="460"/>
        <w:spacing w:after="0" w:line="238" w:lineRule="auto"/>
        <w:rPr>
          <w:sz w:val="20"/>
          <w:szCs w:val="20"/>
          <w:color w:val="auto"/>
        </w:rPr>
      </w:pPr>
      <w:r>
        <w:rPr>
          <w:rFonts w:ascii="Arial" w:cs="Arial" w:eastAsia="Arial" w:hAnsi="Arial"/>
          <w:sz w:val="14"/>
          <w:szCs w:val="14"/>
          <w:color w:val="auto"/>
        </w:rPr>
        <w:t>Employee benefit plan liability adjustments, net of tax of $12.2</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dividends declared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20" w:right="460" w:hanging="80"/>
        <w:spacing w:after="0" w:line="253" w:lineRule="auto"/>
        <w:rPr>
          <w:sz w:val="20"/>
          <w:szCs w:val="20"/>
          <w:color w:val="auto"/>
        </w:rPr>
      </w:pPr>
      <w:r>
        <w:rPr>
          <w:rFonts w:ascii="Arial" w:cs="Arial" w:eastAsia="Arial" w:hAnsi="Arial"/>
          <w:sz w:val="14"/>
          <w:szCs w:val="14"/>
          <w:color w:val="auto"/>
        </w:rPr>
        <w:t>Purchase of common stock for treasury</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December 31, 2013</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60" w:right="100"/>
        <w:spacing w:after="0" w:line="238" w:lineRule="auto"/>
        <w:rPr>
          <w:sz w:val="20"/>
          <w:szCs w:val="20"/>
          <w:color w:val="auto"/>
        </w:rPr>
      </w:pPr>
      <w:r>
        <w:rPr>
          <w:rFonts w:ascii="Arial" w:cs="Arial" w:eastAsia="Arial" w:hAnsi="Arial"/>
          <w:sz w:val="14"/>
          <w:szCs w:val="14"/>
          <w:color w:val="auto"/>
        </w:rPr>
        <w:t>Change in the value of derivative instruments, net of tax of $15.1</w:t>
      </w:r>
    </w:p>
    <w:p>
      <w:pPr>
        <w:spacing w:after="0" w:line="21" w:lineRule="exact"/>
        <w:rPr>
          <w:sz w:val="20"/>
          <w:szCs w:val="20"/>
          <w:color w:val="auto"/>
        </w:rPr>
      </w:pPr>
    </w:p>
    <w:p>
      <w:pPr>
        <w:ind w:left="460"/>
        <w:spacing w:after="0" w:line="281" w:lineRule="auto"/>
        <w:rPr>
          <w:sz w:val="20"/>
          <w:szCs w:val="20"/>
          <w:color w:val="auto"/>
        </w:rPr>
      </w:pPr>
      <w:r>
        <w:rPr>
          <w:rFonts w:ascii="Arial" w:cs="Arial" w:eastAsia="Arial" w:hAnsi="Arial"/>
          <w:sz w:val="13"/>
          <w:szCs w:val="13"/>
          <w:color w:val="auto"/>
        </w:rPr>
        <w:t>Employee benefit plan liability adjustments, net of tax of $6.3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dividends declared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20" w:right="460" w:hanging="80"/>
        <w:spacing w:after="0" w:line="253" w:lineRule="auto"/>
        <w:rPr>
          <w:sz w:val="20"/>
          <w:szCs w:val="20"/>
          <w:color w:val="auto"/>
        </w:rPr>
      </w:pPr>
      <w:r>
        <w:rPr>
          <w:rFonts w:ascii="Arial" w:cs="Arial" w:eastAsia="Arial" w:hAnsi="Arial"/>
          <w:sz w:val="14"/>
          <w:szCs w:val="14"/>
          <w:color w:val="auto"/>
        </w:rPr>
        <w:t>Purchase of common stock for treasury</w:t>
      </w:r>
    </w:p>
    <w:p>
      <w:pPr>
        <w:spacing w:after="0" w:line="12" w:lineRule="exact"/>
        <w:rPr>
          <w:sz w:val="20"/>
          <w:szCs w:val="20"/>
          <w:color w:val="auto"/>
        </w:rPr>
      </w:pPr>
    </w:p>
    <w:p>
      <w:pPr>
        <w:ind w:left="200" w:right="160" w:hanging="161"/>
        <w:spacing w:after="0" w:line="253" w:lineRule="auto"/>
        <w:rPr>
          <w:sz w:val="20"/>
          <w:szCs w:val="20"/>
          <w:color w:val="auto"/>
        </w:rPr>
      </w:pPr>
      <w:r>
        <w:rPr>
          <w:rFonts w:ascii="Arial" w:cs="Arial" w:eastAsia="Arial" w:hAnsi="Arial"/>
          <w:sz w:val="14"/>
          <w:szCs w:val="14"/>
          <w:color w:val="auto"/>
        </w:rPr>
        <w:t>Distributions paid to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December 31, 2014</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60" w:right="100"/>
        <w:spacing w:after="0" w:line="238" w:lineRule="auto"/>
        <w:rPr>
          <w:sz w:val="20"/>
          <w:szCs w:val="20"/>
          <w:color w:val="auto"/>
        </w:rPr>
      </w:pPr>
      <w:r>
        <w:rPr>
          <w:rFonts w:ascii="Arial" w:cs="Arial" w:eastAsia="Arial" w:hAnsi="Arial"/>
          <w:sz w:val="14"/>
          <w:szCs w:val="14"/>
          <w:color w:val="auto"/>
        </w:rPr>
        <w:t>Change in the value of derivative instruments, net of tax of $0.6</w:t>
      </w:r>
    </w:p>
    <w:p>
      <w:pPr>
        <w:spacing w:after="0" w:line="21" w:lineRule="exact"/>
        <w:rPr>
          <w:sz w:val="20"/>
          <w:szCs w:val="20"/>
          <w:color w:val="auto"/>
        </w:rPr>
      </w:pPr>
    </w:p>
    <w:p>
      <w:pPr>
        <w:ind w:left="460"/>
        <w:spacing w:after="0" w:line="281" w:lineRule="auto"/>
        <w:rPr>
          <w:sz w:val="20"/>
          <w:szCs w:val="20"/>
          <w:color w:val="auto"/>
        </w:rPr>
      </w:pPr>
      <w:r>
        <w:rPr>
          <w:rFonts w:ascii="Arial" w:cs="Arial" w:eastAsia="Arial" w:hAnsi="Arial"/>
          <w:sz w:val="13"/>
          <w:szCs w:val="13"/>
          <w:color w:val="auto"/>
        </w:rPr>
        <w:t>Employee benefit plan liability adjustments, net of tax of $1.2</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dividends declared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20" w:right="460" w:hanging="80"/>
        <w:spacing w:after="0" w:line="253" w:lineRule="auto"/>
        <w:rPr>
          <w:sz w:val="20"/>
          <w:szCs w:val="20"/>
          <w:color w:val="auto"/>
        </w:rPr>
      </w:pPr>
      <w:r>
        <w:rPr>
          <w:rFonts w:ascii="Arial" w:cs="Arial" w:eastAsia="Arial" w:hAnsi="Arial"/>
          <w:sz w:val="14"/>
          <w:szCs w:val="14"/>
          <w:color w:val="auto"/>
        </w:rPr>
        <w:t>Purchase of common stock for treasury</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returned to unissued status</w:t>
      </w:r>
    </w:p>
    <w:p>
      <w:pPr>
        <w:spacing w:after="0" w:line="109" w:lineRule="exact"/>
        <w:rPr>
          <w:sz w:val="20"/>
          <w:szCs w:val="20"/>
          <w:color w:val="auto"/>
        </w:rPr>
      </w:pPr>
    </w:p>
    <w:p>
      <w:pPr>
        <w:ind w:left="120" w:right="160" w:hanging="80"/>
        <w:spacing w:after="0" w:line="253" w:lineRule="auto"/>
        <w:rPr>
          <w:sz w:val="20"/>
          <w:szCs w:val="20"/>
          <w:color w:val="auto"/>
        </w:rPr>
      </w:pPr>
      <w:r>
        <w:rPr>
          <w:rFonts w:ascii="Arial" w:cs="Arial" w:eastAsia="Arial" w:hAnsi="Arial"/>
          <w:sz w:val="14"/>
          <w:szCs w:val="14"/>
          <w:color w:val="auto"/>
        </w:rPr>
        <w:t>Distributions paid to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December 31, 2015</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color w:val="auto"/>
              </w:rPr>
              <w:t>Republic Services, Inc. Stockholders’ Equity</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vMerge w:val="restart"/>
          </w:tcPr>
          <w:p>
            <w:pPr>
              <w:jc w:val="center"/>
              <w:ind w:right="80"/>
              <w:spacing w:after="0"/>
              <w:rPr>
                <w:sz w:val="20"/>
                <w:szCs w:val="20"/>
                <w:color w:val="auto"/>
              </w:rPr>
            </w:pPr>
            <w:r>
              <w:rPr>
                <w:rFonts w:ascii="Arial" w:cs="Arial" w:eastAsia="Arial" w:hAnsi="Arial"/>
                <w:sz w:val="14"/>
                <w:szCs w:val="14"/>
                <w:color w:val="auto"/>
                <w:w w:val="90"/>
              </w:rPr>
              <w:t>Treasury</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5"/>
            <w:vMerge w:val="restart"/>
          </w:tcPr>
          <w:p>
            <w:pPr>
              <w:ind w:left="3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gridSpan w:val="5"/>
            <w:vMerge w:val="restart"/>
          </w:tcPr>
          <w:p>
            <w:pPr>
              <w:jc w:val="center"/>
              <w:ind w:right="700"/>
              <w:spacing w:after="0"/>
              <w:rPr>
                <w:sz w:val="20"/>
                <w:szCs w:val="20"/>
                <w:color w:val="auto"/>
              </w:rPr>
            </w:pPr>
            <w:r>
              <w:rPr>
                <w:rFonts w:ascii="Arial" w:cs="Arial" w:eastAsia="Arial" w:hAnsi="Arial"/>
                <w:sz w:val="14"/>
                <w:szCs w:val="14"/>
                <w:color w:val="auto"/>
                <w:w w:val="96"/>
              </w:rPr>
              <w:t>Stock</w:t>
            </w: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98"/>
              </w:rPr>
              <w:t>Comprehensive</w:t>
            </w: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3"/>
                <w:szCs w:val="13"/>
                <w:color w:val="auto"/>
              </w:rPr>
            </w:pPr>
          </w:p>
        </w:tc>
        <w:tc>
          <w:tcPr>
            <w:tcW w:w="8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Retained</w:t>
            </w:r>
          </w:p>
        </w:tc>
        <w:tc>
          <w:tcPr>
            <w:tcW w:w="6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20"/>
              <w:spacing w:after="0" w:line="157" w:lineRule="exact"/>
              <w:rPr>
                <w:sz w:val="20"/>
                <w:szCs w:val="20"/>
                <w:color w:val="auto"/>
              </w:rPr>
            </w:pPr>
            <w:r>
              <w:rPr>
                <w:rFonts w:ascii="Arial" w:cs="Arial" w:eastAsia="Arial" w:hAnsi="Arial"/>
                <w:sz w:val="14"/>
                <w:szCs w:val="14"/>
                <w:color w:val="auto"/>
                <w:w w:val="94"/>
              </w:rPr>
              <w:t>(Loss) Income, Net</w:t>
            </w:r>
          </w:p>
        </w:tc>
        <w:tc>
          <w:tcPr>
            <w:tcW w:w="140" w:type="dxa"/>
            <w:vAlign w:val="bottom"/>
          </w:tcPr>
          <w:p>
            <w:pPr>
              <w:spacing w:after="0"/>
              <w:rPr>
                <w:sz w:val="13"/>
                <w:szCs w:val="13"/>
                <w:color w:val="auto"/>
              </w:rPr>
            </w:pPr>
          </w:p>
        </w:tc>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5"/>
              </w:rPr>
              <w:t>Paid-In Capital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Shares</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of Tax</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4"/>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405.2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6,588.9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2,403.2</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(44.1)</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(1,287.1)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7,705.7</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588.9</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589.1</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(357.3)</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357"/>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258"/>
        </w:trPr>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411.0</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6,764.9</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2,632.7</w:t>
            </w:r>
          </w:p>
        </w:tc>
        <w:tc>
          <w:tcPr>
            <w:tcW w:w="120" w:type="dxa"/>
            <w:vAlign w:val="bottom"/>
          </w:tcPr>
          <w:p>
            <w:pPr>
              <w:spacing w:after="0"/>
              <w:rPr>
                <w:sz w:val="22"/>
                <w:szCs w:val="2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(1,501.2)</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7,906.1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547.6</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547.9</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(383.6)</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(400.6)</w:t>
            </w:r>
          </w:p>
        </w:tc>
        <w:tc>
          <w:tcPr>
            <w:tcW w:w="0" w:type="dxa"/>
            <w:vAlign w:val="bottom"/>
          </w:tcPr>
          <w:p>
            <w:pPr>
              <w:spacing w:after="0"/>
              <w:rPr>
                <w:sz w:val="1"/>
                <w:szCs w:val="1"/>
                <w:color w:val="auto"/>
              </w:rPr>
            </w:pPr>
          </w:p>
        </w:tc>
      </w:tr>
      <w:tr>
        <w:trPr>
          <w:trHeight w:val="357"/>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58"/>
        </w:trPr>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414.4</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6,876.9</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2,795.0</w:t>
            </w:r>
          </w:p>
        </w:tc>
        <w:tc>
          <w:tcPr>
            <w:tcW w:w="120" w:type="dxa"/>
            <w:vAlign w:val="bottom"/>
          </w:tcPr>
          <w:p>
            <w:pPr>
              <w:spacing w:after="0"/>
              <w:rPr>
                <w:sz w:val="22"/>
                <w:szCs w:val="2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(1,901.8)</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7,747.8</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749.9</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(404.3)</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(404.3)</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(408.4)</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(2,294.7)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2,295.3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7"/>
        </w:trPr>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64"/>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4,677.7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3,138.3</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7,776.6</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-5796915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-5453380</wp:posOffset>
            </wp:positionV>
            <wp:extent cx="7246620"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-4819015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-4476115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-4081145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-3729990</wp:posOffset>
            </wp:positionV>
            <wp:extent cx="724662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-3189605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-2846705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-2451735</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-2049145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-1560195</wp:posOffset>
            </wp:positionV>
            <wp:extent cx="724662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-1165860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-822960</wp:posOffset>
            </wp:positionV>
            <wp:extent cx="72466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-427990</wp:posOffset>
            </wp:positionV>
            <wp:extent cx="724662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260" w:space="40"/>
            <w:col w:w="9120"/>
          </w:cols>
          <w:pgMar w:left="240" w:top="118" w:right="239" w:bottom="1440" w:gutter="0" w:footer="0" w:header="0"/>
          <w:type w:val="continuous"/>
        </w:sectPr>
      </w:pPr>
    </w:p>
    <w:p>
      <w:pP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18" w:right="239" w:bottom="1440" w:gutter="0" w:footer="0" w:header="0"/>
          <w:type w:val="continuous"/>
        </w:sectPr>
      </w:pPr>
    </w:p>
    <w:bookmarkStart w:id="70" w:name="page71"/>
    <w:bookmarkEnd w:id="7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00"/>
          </w:cols>
          <w:pgMar w:left="240" w:top="118" w:right="25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294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91"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Adjustments to reconcile net income to cash provided by operating activities: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Depreciation, amortization, depletion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Non-cash interest expense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Restructuring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Stock-based compensation</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Deferred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Provision for doubtful accounts, net of adjustments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Gain on disposition of assets, net and asset impairments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Withdrawal liability - Central States Pension Fund and Other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Environmental adjustments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Excess income tax benefit from stock-based compensation activity and other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assets and liabilities, net of effects from business acquisitions and divestitures: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Prepaid expenses and other assets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Restructuring expenditures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Capping, closure and post-closure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Remediation expenditures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Withdrawal expenditures - Central States Pension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Other liabilities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used in investing activities: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Proceeds from sales of property and equipment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used in business 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proceeds from divestitures, net of cash divested</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Change in restricted cash and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used in financing activities: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Proceeds from notes payable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Proceeds from issuance of senior notes, net of discount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Payments of notes payable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Fees paid to issue senior notes and retire certain hedging relationships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Issuances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Excess income tax benefit from stock-based compensation activity</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Purchases of common stock for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dividends paid</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Distributions paid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(Decrease) increase in cash and cash equivalents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25984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2015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2014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rPr>
              <w:t>2013</w:t>
            </w:r>
          </w:p>
        </w:tc>
      </w:tr>
      <w:tr>
        <w:trPr>
          <w:trHeight w:val="530"/>
        </w:trPr>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750.4</w:t>
            </w:r>
          </w:p>
        </w:tc>
        <w:tc>
          <w:tcPr>
            <w:tcW w:w="12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547.9</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589.1</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1,050.0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984.9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954.0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47.1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47.5</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8.6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19.2</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116.7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22.7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16.1</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140.7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233.2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83.7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35.6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37.9</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(88.4)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(85.6)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(80.0)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(122.5)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(153.5)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w:t>
            </w:r>
          </w:p>
        </w:tc>
      </w:tr>
      <w:tr>
        <w:trPr>
          <w:trHeight w:val="274"/>
        </w:trPr>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1,679.7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1,529.8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1,548.2</w:t>
            </w:r>
          </w:p>
        </w:tc>
      </w:tr>
      <w:tr>
        <w:trPr>
          <w:trHeight w:val="530"/>
        </w:trPr>
        <w:tc>
          <w:tcPr>
            <w:tcW w:w="30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(945.6)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(862.5)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(880.8)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21.2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23.9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(572.7)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(68.7)</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70.8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74"/>
        </w:trPr>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(1,482.8)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(959.8)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(933.9)</w:t>
            </w:r>
          </w:p>
        </w:tc>
      </w:tr>
      <w:tr>
        <w:trPr>
          <w:trHeight w:val="530"/>
        </w:trPr>
        <w:tc>
          <w:tcPr>
            <w:tcW w:w="300" w:type="dxa"/>
            <w:vAlign w:val="bottom"/>
          </w:tcPr>
          <w:p>
            <w:pPr>
              <w:spacing w:after="0"/>
              <w:rPr>
                <w:sz w:val="24"/>
                <w:szCs w:val="24"/>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918.4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1,383.3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1,219.2</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497.9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(915.7)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(1,398.4)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(1,278.1)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65.9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88.6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150.8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(404.7)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(214.1)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(399.3)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(348.5)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74"/>
        </w:trPr>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0.1</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(239.7)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(708.1)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(468.6)</w:t>
            </w:r>
          </w:p>
        </w:tc>
      </w:tr>
      <w:tr>
        <w:trPr>
          <w:trHeight w:val="246"/>
        </w:trPr>
        <w:tc>
          <w:tcPr>
            <w:tcW w:w="300" w:type="dxa"/>
            <w:vAlign w:val="bottom"/>
          </w:tcPr>
          <w:p>
            <w:pPr>
              <w:spacing w:after="0"/>
              <w:rPr>
                <w:sz w:val="21"/>
                <w:szCs w:val="21"/>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145.7</w:t>
            </w:r>
          </w:p>
        </w:tc>
      </w:tr>
      <w:tr>
        <w:trPr>
          <w:trHeight w:val="274"/>
        </w:trPr>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75.2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213.3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67.6</w:t>
            </w:r>
          </w:p>
        </w:tc>
      </w:tr>
      <w:tr>
        <w:trPr>
          <w:trHeight w:val="237"/>
        </w:trPr>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32.4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75.2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213.3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580" w:space="720"/>
            <w:col w:w="4100"/>
          </w:cols>
          <w:pgMar w:left="240" w:top="118" w:right="259" w:bottom="730" w:gutter="0" w:footer="0" w:header="0"/>
          <w:type w:val="continuous"/>
        </w:sectPr>
      </w:pPr>
    </w:p>
    <w:p>
      <w:pP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00"/>
          </w:cols>
          <w:pgMar w:left="240" w:top="118" w:right="259" w:bottom="730" w:gutter="0" w:footer="0" w:header="0"/>
          <w:type w:val="continuous"/>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118" w:right="259" w:bottom="73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Republic Services, Inc., a Delaware corporation, and its consolidated subsidiaries (also referred to collectively as Republic, the Company, we, us, or our), is the second largest provider of non-hazardous solid waste collection, transfer, recycling, disposal and energy services in the United States, as measured by revenue. During 2015, we managed and evaluated our operations through three geographic regions - East, Central and West, which we identified as our reportable segments.</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include the accounts of Republic and its wholly owned and majority owned subsidiaries in accordance with accounting principles generally accepted in the United States of America (U.S. GAAP). We account for investments in entities in which we do not have a controlling financial interest under either the equity method or cost method of accounting, as appropriate. All material intercompany accounts and transactions have been eliminated in consolidation.</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comparative purposes, certain prior year amounts have been reclassified to conform to the current year presentation. All dollar amounts in tabular presentations are in millions, except per share amounts and unless otherwise noted.</w:t>
      </w:r>
    </w:p>
    <w:p>
      <w:pPr>
        <w:spacing w:after="0" w:line="112"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Estimates and Assumptions</w:t>
      </w:r>
    </w:p>
    <w:p>
      <w:pPr>
        <w:spacing w:after="0" w:line="9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critical and subjective areas that deal with the greatest amount of uncertainty relate to our accounting for our long-lived assets, including recoverability, landfill development costs, and final capping, closure and post-closure costs; our valuation allowances for accounts receivable and deferred tax assets; our liabilities for potential litigation, claims and assessments; our liabilities for environmental remediation, multiemployer pension plans, employee benefit plans, deferred taxes, uncertain tax positions, and insurance reserves; and our estimates of the fair values of assets acquired and liabilities assumed in any acquisition. Each of these items is discussed in more detail elsewhere in these Notes to Consolidated Financial Statements. Our actual results may differ significantly from our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consider liquid investments with a maturity at the date of acquisition of three months or less to be cash equivalents.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may have net book credit balances in our primary disbursement accounts at the end of a reporting period. We classify such credit balances as accounts payable in our consolidated balance sheets as checks presented for payment to these accounts are not payable by our banks under overdraft arrangements, and, therefore, do not represent short-term borrowings. As of December 31, 2015 and 2014, there were net book credit balances of $84.4 million and $36.4 million, respectively, in our primary disbursement accounts that were classified as accounts payable on our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Financial instruments that potentially subject us to concentrations of credit risk consist of cash and cash equivalents, trade accounts receivable and derivative instruments. We place our cash and cash equivalents with high quality financial institutions. Such balances may be in excess of FDIC insured limits. To manage the related credit exposure, we continually monitor the credit worthiness of the financial institutions where we have deposits. Concentrations of credit risk with respect to trade accounts receivable are limited due to the wide variety of customers and markets in which we provide services, as well as the dispersion of our operations across many geographic areas. We provide services to small-container commercial, large-container industrial, municipal and residential customers in the United States and Puerto Rico. We perform ongoing credit evaluations of our customers, but generally do not require collateral to support customer receivables. We establish an allowance for doubtful accounts based on various factors including the credit risk of specific customers, age of receivables outstanding, historical trends, economic conditions and other information.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Accounts receivable represent receivables from customers for collection, transfer, recycling, disposal, energy services and other services. Our receivables are recorded when billed or when the related revenue is earned, if earlier, and represent claims against third parties that will be settled in cash. The carrying value of our receivables, net of the allowance for doubtful accounts and customer credits, represents their estimated net realizable value. Provisions for doubtful accounts are evaluated on a monthly basis and are recorded based on our historical collection experience, the age of the receivables, specific customer information and economic conditions. We also review outstanding balances on an account-specific basis. In general, reserves are provided for accounts receivable in excess of 90 days outstanding. Past due receivable balances are written-off when our collection efforts have been unsuccessful in collecting amounts due.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in our allowance for doubtful accounts for the years ended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charged to expense</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written-off</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7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Securities</w:t>
      </w:r>
    </w:p>
    <w:p>
      <w:pPr>
        <w:spacing w:after="0" w:line="9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of December 31, 2015, we had $100.3 million of restricted cash and marketable securities. We obtain funds through the issuance of tax-exempt bonds for the purpose of financing qualifying expenditures at our landfills, transfer stations, collection and recycling centers. The funds are deposited directly into trust accounts by the bonding authorities at the time of issuance. As the use of these funds is contractually restricted, and we do not have the ability to use these funds for general operating purposes, they are classified as restricted cash and marketable securities in our consolidated balance sheets.</w:t>
      </w:r>
    </w:p>
    <w:p>
      <w:pPr>
        <w:spacing w:after="0" w:line="1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normal course of business, we may be required to provide financial assurance to governmental agencies and a variety of other entities in connection with municipal residential collection contracts, closure or post-closure of landfills, environmental remediation, environmental permits, and business licenses and permits as a financial guarantee of our performance. At several of our landfills, we satisfy financial assurance requirements by depositing cash into restricted trust funds or escrow accounts.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record property and equipment at cost. Expenditures for major additions and improvements to facilities are capitalized, while maintenance and repairs are charged to expense as incurred. When property is retired or otherwise disposed, the related cost and accumulated depreciation are removed from the accounts and any resulting gain or loss is reflected in the consolidated statements of income.</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revise the estimated useful lives of property and equipment acquired through business acquisitions to conform with our policies. We depreciate assets over their estimated useful lives using the straight-line method. We assume no salvage value for our depreciable property and equipment. The estimated useful lives of our property and equipment are as follows: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7 - 40 years</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Vehicles</w:t>
            </w:r>
          </w:p>
        </w:tc>
        <w:tc>
          <w:tcPr>
            <w:tcW w:w="5080" w:type="dxa"/>
            <w:vAlign w:val="bottom"/>
          </w:tcPr>
          <w:p>
            <w:pPr>
              <w:jc w:val="right"/>
              <w:spacing w:after="0"/>
              <w:rPr>
                <w:sz w:val="20"/>
                <w:szCs w:val="20"/>
                <w:color w:val="auto"/>
              </w:rPr>
            </w:pPr>
            <w:r>
              <w:rPr>
                <w:rFonts w:ascii="Arial" w:cs="Arial" w:eastAsia="Arial" w:hAnsi="Arial"/>
                <w:sz w:val="18"/>
                <w:szCs w:val="18"/>
                <w:color w:val="auto"/>
              </w:rPr>
              <w:t>5 - 12 years</w:t>
            </w:r>
          </w:p>
        </w:tc>
      </w:tr>
      <w:tr>
        <w:trPr>
          <w:trHeight w:val="27"/>
        </w:trPr>
        <w:tc>
          <w:tcPr>
            <w:tcW w:w="63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equipment</w:t>
            </w:r>
          </w:p>
        </w:tc>
        <w:tc>
          <w:tcPr>
            <w:tcW w:w="5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Other equipment</w:t>
            </w:r>
          </w:p>
        </w:tc>
        <w:tc>
          <w:tcPr>
            <w:tcW w:w="5080" w:type="dxa"/>
            <w:vAlign w:val="bottom"/>
          </w:tcPr>
          <w:p>
            <w:pPr>
              <w:jc w:val="right"/>
              <w:spacing w:after="0"/>
              <w:rPr>
                <w:sz w:val="20"/>
                <w:szCs w:val="20"/>
                <w:color w:val="auto"/>
              </w:rPr>
            </w:pPr>
            <w:r>
              <w:rPr>
                <w:rFonts w:ascii="Arial" w:cs="Arial" w:eastAsia="Arial" w:hAnsi="Arial"/>
                <w:sz w:val="18"/>
                <w:szCs w:val="18"/>
                <w:color w:val="auto"/>
              </w:rPr>
              <w:t>3 - 20 years</w:t>
            </w:r>
          </w:p>
        </w:tc>
      </w:tr>
      <w:tr>
        <w:trPr>
          <w:trHeight w:val="27"/>
        </w:trPr>
        <w:tc>
          <w:tcPr>
            <w:tcW w:w="63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43"/>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r>
      <w:tr>
        <w:trPr>
          <w:trHeight w:val="27"/>
        </w:trPr>
        <w:tc>
          <w:tcPr>
            <w:tcW w:w="634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Landfill development costs also are included in property and equipment. Landfill development costs include direct costs incurred to obtain landfill permits and direct costs incurred to acquire, construct and develop sites, as well as final capping, closure and post-closure assets. These costs are amortized or depleted based on consumed airspace. All indirect landfill development costs are expensed as incurred. For additional information, see Note 8, </w:t>
      </w:r>
      <w:r>
        <w:rPr>
          <w:rFonts w:ascii="Arial" w:cs="Arial" w:eastAsia="Arial" w:hAnsi="Arial"/>
          <w:sz w:val="18"/>
          <w:szCs w:val="18"/>
          <w:i w:val="1"/>
          <w:iCs w:val="1"/>
          <w:color w:val="auto"/>
        </w:rPr>
        <w:t>Landfill and</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Environmental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capitalize interest on landfill cell construction and other construction projects if they meet the following criteria:</w:t>
      </w:r>
    </w:p>
    <w:p>
      <w:pPr>
        <w:spacing w:after="0" w:line="117" w:lineRule="exact"/>
        <w:rPr>
          <w:sz w:val="20"/>
          <w:szCs w:val="20"/>
          <w:color w:val="auto"/>
        </w:rPr>
      </w:pPr>
    </w:p>
    <w:p>
      <w:pPr>
        <w:ind w:left="640" w:hanging="321"/>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construction costs are $50,000 or greater;</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construction phase is one month or longer;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assets have a useful life of one year or longer.</w:t>
      </w:r>
    </w:p>
    <w:p>
      <w:pPr>
        <w:spacing w:after="0" w:line="1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Interest is capitalized on qualified assets while they undergo activities to ready them for their intended use. Capitalization of interest ceases once an asset is placed into service or if construction activity is suspended for more than a brief period of time. Our interest capitalization rate is based on our weighted average cost of indebtedness. Interest capitalized was $6.8 million, $6.4 million and $7.3 million for the years ended December 31, 2015, 2014 and 2013,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financial instruments include cash and cash equivalents, restricted cash and marketable securities, fuel, commodity and interest rate hedges, long-term debt, and assets in our defined benefit pension plan.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63" w:lineRule="exact"/>
        <w:rPr>
          <w:sz w:val="20"/>
          <w:szCs w:val="20"/>
          <w:color w:val="auto"/>
        </w:rPr>
      </w:pPr>
    </w:p>
    <w:p>
      <w:pPr>
        <w:ind w:left="640" w:hanging="321"/>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17" w:lineRule="exact"/>
        <w:rPr>
          <w:rFonts w:ascii="Arial" w:cs="Arial" w:eastAsia="Arial" w:hAnsi="Arial"/>
          <w:sz w:val="18"/>
          <w:szCs w:val="18"/>
          <w:color w:val="auto"/>
        </w:rPr>
      </w:pPr>
    </w:p>
    <w:p>
      <w:pPr>
        <w:ind w:left="640" w:right="100" w:hanging="321"/>
        <w:spacing w:after="0" w:line="264"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640" w:right="220" w:hanging="321"/>
        <w:spacing w:after="0" w:line="264"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fair value disclosures related to our defined benefit pension plan investments and financial instruments,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Other Than Derivatives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Investments other than derivatives primarily include money market funds, common stock, mutual funds, real estate investment trusts, U.S. government and agency securities, municipal and corporate bonds, and foreign government bonds. In general, and where applicable, we use quoted prices in active markets for identical assets or liabilities to determine fair value. This pricing methodology applies to our Level 1 investments, such as money market funds, common stock and certain mutual funds. If quoted prices in active markets for identical assets or liabilities are not available to determine fair value, then we use quoted prices for similar assets and liabilities or inputs other than the quoted prices that are observable either directly or indirectly. These investments are included in Level 2 and consist primarily of corporate bonds, foreign government bonds, real estate investment trusts and certain agency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use derivative financial instruments to manage our risk associated with changing interest rates and changing prices for commodities we frequently purchase or sell by creating offsetting market exposures. We use interest rate swap agreements to manage risk associated with fluctuations in interest rates. We have entered into multiple agreements designated as cash flow hedges to mitigate some of our exposure to changes in diesel fuel prices and prices of certain recycling commodities.</w:t>
      </w:r>
    </w:p>
    <w:p>
      <w:pPr>
        <w:spacing w:after="0" w:line="13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All derivatives are measured at fair value and recognized in the balance sheet as assets or liabilities, as appropriate. For derivatives designated as cash flow hedges, changes in fair value of the effective portions of derivative instruments are reported in stockholders’ equity as components of other comprehensive income until the forecasted transaction occurs or is not probable of occurring. When the forecasted transaction occurs or is not probable of occurring, the realized net gain or loss is then recognized in the consolidated statements of income. Changes in fair value of the ineffective portions of derivative instruments are recognized currently in earnings.</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fair values of our diesel fuel and recycling commodity hedges are determined using standard valuation models with assumptions about prices and other relevant information based on those observed in the underlying markets (Level 2 in the fair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value hierarchy). The estimated fair values of derivatives used to hedge risks fluctuate over time and should be viewed in relation to the underlying hedged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and Environmental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life-cycle accounting and the units-of-consumption method to recognize certain landfill costs over the life of the site. In life cycle accounting, all current and future capitalized costs to acquire and construct a site are calculated, and charged to expense based on the consumption of cubic yards of available airspace.</w:t>
      </w:r>
    </w:p>
    <w:p>
      <w:pPr>
        <w:spacing w:after="0" w:line="12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Costs and airspace estimates are developed at least annually by engineers. We use these estimates to adjust the rates we use to deplete capitalized costs. Changes in these estimates primarily relate to changes in available airspace, inflation and applicable regulations. Changes in available airspace include, but are not limited to, changes due to the addition of airspace lying in probable expansion areas, airspace consumed and changes in engineering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Probable Expansion Airspace</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classify landfill disposal capacity as either permitted (having received the final permit from the applicable regulatory agency) or as probable expansion airspace. Before airspace included in an expansion area is determined to be probable expansion airspace and, therefore, is included in our calculation of total available disposal capacity, all of the following criteria must be met:</w:t>
      </w:r>
    </w:p>
    <w:p>
      <w:pPr>
        <w:spacing w:after="0" w:line="73"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own the land associated with the expansion airspace or control it pursuant to an option agreement;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are committed to supporting the expansion project financially and with appropriate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are no identified fatal flaws or impediments associated with the project, including political impediments;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Progress is being made on the project;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expansion is attainable within a reasonable time frame;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believe it is likely the expansion permit will be received.</w:t>
      </w:r>
    </w:p>
    <w:p>
      <w:pPr>
        <w:spacing w:after="0" w:line="157" w:lineRule="exact"/>
        <w:rPr>
          <w:sz w:val="20"/>
          <w:szCs w:val="20"/>
          <w:color w:val="auto"/>
        </w:rPr>
      </w:pPr>
    </w:p>
    <w:p>
      <w:pPr>
        <w:ind w:left="60" w:right="20"/>
        <w:spacing w:after="0" w:line="264" w:lineRule="auto"/>
        <w:rPr>
          <w:sz w:val="20"/>
          <w:szCs w:val="20"/>
          <w:color w:val="auto"/>
        </w:rPr>
      </w:pPr>
      <w:r>
        <w:rPr>
          <w:rFonts w:ascii="Arial" w:cs="Arial" w:eastAsia="Arial" w:hAnsi="Arial"/>
          <w:sz w:val="18"/>
          <w:szCs w:val="18"/>
          <w:color w:val="auto"/>
        </w:rPr>
        <w:t>Upon meeting our expansion criteria, the rates used at each applicable landfill to expense costs to acquire, construct, cap, close and maintain a site during the post-closure period are adjusted to include both the probable expansion airspace and the additional costs to be capitalized or accrued associated with that expansion airspace.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 identified three steps that landfills generally follow to obtain expansion permits. These steps are as follows:</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Obtaining approval from local authorities;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Submitting a permit application to state authorities;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Obtaining permit approval from state authorities.</w:t>
      </w:r>
    </w:p>
    <w:p>
      <w:pPr>
        <w:spacing w:after="0" w:line="15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continually monitor our progress toward obtaining permits for each of our sites with probable airspace. If we determine that a landfill expansion area no longer meets our criteria, the probable expansion airspace is removed from the landfill’s total available capacity and the rates used at the landfill to deplete costs to acquire, construct, cap, close and maintain a site during the post-closure period are adjusted accordingly. In addition, any amounts capitalized for the probable expansion airspace are charged to expense in the period in which it is determined that the criteria are no longer met.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Landfill Costs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Capitalized landfill costs include expenditures for land, permitting, cell construction and environmental structures. Capitalized permitting and cell construction costs are limited to direct costs relating to these activities, including legal, engineering and construction costs associated with excavation, natural and synthetic liners, construction of leachate collection systems, installation of methane gas collection and monitoring systems, installation of groundwater monitoring wells and other costs associated with the development of the site. Interest is capitalized on landfill construction projects while the assets are undergoing activities to ready them for their intended use. Capitalized landfill costs also include final capping, closure and post-closure assets and are depleted as airspace is consumed using the units-of-consumption method.</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Costs related to acquiring land, excluding the estimated residual value of unpermitted, non-buffer land, and costs related to permitting and cell construction are depleted as airspace is consumed using the units-of-consumption method.</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Capitalized landfill costs also may include an allocation of purchase price paid for landfills. For landfills purchased as part of a group of assets, the purchase price assigned to the landfill is determined based on the estimated fair value of the landfill. If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2" w:right="25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landfill meets our expansion criteria, the purchase price is further allocated between permitted airspace and expansion airspace based on the respective ratios to total available airspace. Landfill purchase price is amortized using the units-of-consumption method over the total available airspace, including probable expansion airspace, where appropriate.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capping</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future obligations for final capping, closure and post-closure costs with respect to the landfills we own or operate as set forth in applicable landfill permits. The permit requirements are based on the Subtitle C and Subtitle D regulations of the Resource Conservation and Recovery Act, as implemented and applied on a state-by-state basis. We define final capping as activities required to permanently cover a portion of a landfill that has been completely filled with waste. Final capping typically includes installing flexible membrane and geosynthetic clay liners, drainage and compact soil layers, and topsoil, and is constructed over an area of the landfill where total airspace capacity has been consumed and waste disposal operations have ceased. These final capping activities occur in phases as needed throughout the operating life of a landfill as specific areas are filled to capacity and the final elevation for that specific area is reached in accordance with the provisions of the operating permit. We consider final capping events to be discrete activities that are recognized as asset retirement obligations separately from other closure and post-closure obligations. As a result, we use a separate rate per ton for recognizing the principal amount of the liability and related asset associated with each capping event. We amortize the asset recorded pursuant to this approach as waste volume related to the capacity covered by the capping event is placed into the landfill based on the consumption of cubic yards of available airspace.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and post-closure</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Closure and post-closure activities occur after the entire landfill ceases to accept waste and closes. These activities involve methane gas control, leachate management and groundwater monitoring, surface water monitoring and control, and other operational and maintenance activities that occur after the site ceases to accept waste. Obligations associated with monitoring and controlling methane gas migration and emissions are set forth in applicable landfill permits and these requirements are based on the provisions of the Clean Air Act. The post-closure period generally runs for 30 years after final site closure for municipal solid waste landfills and a shorter period for construction and demolition landfills and inert landfills. We recognize asset retirement obligations and the related amortization expense for closure and post-closure (excluding obligations for final capping) using the units-of-consumption method over the total remaining capacity of the landfill, including probable expansion airspace.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expenditures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Estimates of future expenditures for final capping, closure and post-closure are developed at least annually by engineers. Management reviews these estimates and our operating and accounting personnel use them to adjust the rates used to capitalize and amortize these costs. These estimates involve projections of costs that will be incurred during the remaining life of the landfill for final capping activities, after the landfill ceases operations and during the legally required post-closure monitoring period. We currently retain post-closure responsibility for 126 closed landfills.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general, we engage third parties to perform most of our final capping, closure and post-closure activities. Accordingly, the fair value of these activities is based on quoted and actual prices paid for similar work. We also perform some of our final capping, closure and post-closure activities using internal resources. Where we expect internal resources to be used to fulfill an asset retirement obligation, we add a profit margin to the estimated cost of such services to better reflect their fair value. If we perform these services internally, the added profit margin is recognized as a component of operating income in the period the obligation is settled.</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estimates of costs to discharge asset retirement obligations for landfills are developed in today’s dollars. These costs are inflated each year to reflect a normal escalation of prices up to the year they are expected to be paid. We use a 2.0% inflation rate, which is based on the ten-year historical moving average increase of the U.S. Consumer Price Index, and is the rate used by most waste industry participants.</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estimated costs are then discounted to their present values using a credit-adjusted, risk-free interest rate. The credit-adjusted, risk-free interest rate we used for liability recognition was 4.75% and 4.50% for the years ended December 31, 2015 and 2014, respectively, which was based on the estimated all-in yield we would have needed to offer to sell thirty-year debt in the public market. However, as part of the initial application of purchase accounting, our capping, closure and post-closure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obligations acquired from Allied Waste Industries, Inc. (Allied) were recorded at their fair values as of the acquisition date, and were discounted using a rate of 9.75% due to market conditions at the time of the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assets retirement obligations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liability for an asset retirement obligation is recognized in the period in which it is incurred and is initially measured at fair value. The offset to the liability is capitalized as part of the carrying amount of the related long-lived asset. Changes in the liabilities due to revisions to estimated future cash flows are recognized by increasing or decreasing the liabilities with the offsets adjusting the carrying amounts of the related long-lived assets, and may also require immediate adjustments to amortization expense in the consolidated statement of income. Upward revisions in the amount of undiscounted estimated cash flows used to record a liability are discounted using the credit-adjusted, risk-free interest rate in effect at the time of the change. Downward revisions in the amount of undiscounted estimated cash flows used to record a liability are discounted using the credit-adjusted, risk-free rate that existed when the original liability was recognized.</w:t>
      </w:r>
    </w:p>
    <w:p>
      <w:pPr>
        <w:spacing w:after="0" w:line="13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Changes in asset retirement obligations due to the passage of time are measured by recognizing accretion expense in a manner that results in a constant effective interest rate being applied to the average carrying amount of the liability. The effective interest rate used to calculate accretion expense is our credit-adjusted, risk-free interest rate in effect at the time the liabilities were recorded.</w:t>
      </w:r>
    </w:p>
    <w:p>
      <w:pPr>
        <w:spacing w:after="0" w:line="12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review our calculations with respect to landfill asset retirement obligations at least annually. If there is a significant change in the facts and circumstances related to a landfill during the year, we will review our calculations for the landfill as soon as practical after the change has occurred.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operating expenses</w:t>
      </w:r>
    </w:p>
    <w:p>
      <w:pPr>
        <w:spacing w:after="0" w:line="17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Costs associated with daily maintenance activities and environmental compliance during the operating life of the landfill are expensed as incurred. These costs include, among other things, leachate treatment and disposal, methane gas and groundwater monitoring and systems maintenance, interim cap maintenance, costs associated with the application of daily cover materials, and the legal and administrative costs of ongoing environmental compliance.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related legal costs.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We periodically review the status of all environmental matters and update our estimates 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the acquisition of Allied, environmental obligations are recorded on an undiscounted basis. Environmental obligations assumed in the acquisition of Allied, which were initially estimated on a discounted basis, are accreted to full value over time through charges to interest expense.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We have not reduced the liabilities we have recorded for recoveries from other potentially responsible parties or insurance companies.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acquire businesses in the waste industry, including non-hazardous waste collection, transfer, recycling, disposal and energy services operations, as part of our growth strategy. Businesses are included in the consolidated financial statements from the date of acquisition.</w:t>
      </w:r>
    </w:p>
    <w:p>
      <w:pPr>
        <w:spacing w:after="0" w:line="1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recognize, separately from goodwill, the identifiable assets acquired and liabilities assumed at their estimated acquisition-date fair values. We measure and recognize goodwill as of the acquisition date as the excess of: (1) the aggregate of the fair value of consideration transferred, the fair value of any noncontrolling interest in the acquiree (if any) and the acquisition date fair value of our previously held equity interest in the acquiree (if any), over (2) the fair value of assets acquired and liabilities assumed. If information about facts and circumstances existing as of the acquisition date is incomplete by the end of the reporting period in which a business combination occurs, we report provisional amounts for the items for which the accounting is incomplete. The measurement or allocation period ends once we receive the information we are seeking; however, this period will not exceed one year from the acquisition date. Any material adjustments recognized during the measurement period will be reflected retrospectively in the consolidated financial statements of the subsequent period. We recognize third-party transaction related costs as expense currently in the period in which they are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historically evaluated goodwill for impairment annually as of December 31, or when an indicator of impairment exists. During 2015 we changed the date of our annual goodwill impairment assessment for our reporting units to October 1st. This voluntary change in the annual goodwill testing date is a change in accounting principle, which we believe is preferable as it better aligns the timing of the assessment with our planning and forecasting process and also provides additional time to complete our annual assessment in advance of our year-end reporting. This change in assessment date was applied prospectively and did not delay, accelerate or avoid a potential impairment charge.</w:t>
      </w:r>
    </w:p>
    <w:p>
      <w:pPr>
        <w:spacing w:after="0" w:line="5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test goodwill for impairment using a two-step process. The first step is a screen for potential impairment, while the second step measures the amount of the impairment, if any. The first step compares the fair value of a reporting unit with its carrying amount, including goodwill.</w:t>
      </w:r>
    </w:p>
    <w:p>
      <w:pPr>
        <w:spacing w:after="0" w:line="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2015, we managed and evaluated our operations through three regions: East, Central and West. In determining fair value, we primarily use discounted future cash flows and operating results based on a comparative multiple of earnings or revenues.</w:t>
      </w:r>
    </w:p>
    <w:p>
      <w:pPr>
        <w:spacing w:after="0" w:line="1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Significant estimates used in our fair value calculation using discounted future cash flows include: (1) estimates of future revenue and expense growth by reporting unit, which we estimate to range from 3% to 5% annually; (2) future estimated effective tax rates, which we estimate to be 40%; (3) future estimated capital expenditures and future required investments in working capital; (4) estimated discount rates, which we estimate to range between 6% and 8%; and (5) the future terminal value of the reporting unit, which is based on its ability to exist into perpetuity. Significant estimates used in the fair value calculation utilizing market value multiples include: (a) estimated future growth potential of the reporting unit; (b) estimated multiples of revenue or earnings a willing buyer is likely to pay; and (c) the estimated control premium a willing buyer is likely to pay.</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we evaluate a reporting unit for impairment if events or circumstances change between annual tests, indicating a possible impairment. Examples of such events or circumstances include: (1) a significant adverse change in legal factors or in the business climate; (2) an adverse action or assessment by a regulator; (3) a more likely than not expectation that a reporting unit or a significant portion thereof will be sold; (4) continued or sustained losses at a reporting unit; (5) a significant decline in our market capitalization as compared to our book value; or (6) the testing for recoverability of a significant asset group within the reporting unit.</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assign assets and liabilities from our corporate operating segment to our three reporting units to the extent that such assets or liabilities relate to the cash flows of the reporting unit and would be included in determining the reporting unit’s fair value.</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preparing our annual test for impairment as of October 1, 2015, we determined that our indicated fair value of total invested capital exceeded our total market capitalization. We believe one of the primary reconciling differences between the indicated fair value of total invested capital and our total market capitalization is due to a control premium. We believe the control premium represents the value a market participant could extract as savings or synergies by obtaining control.</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October 1, 2015, we determined that the indicated fair value of our reporting units exceeded their carrying value by approximately 50% on average and, therefore, we noted no indicators of impairment at our reporting units.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operating segments, which also represent our reporting units, are comprised of several vertically integrated businesses. When an individual business within an integrated operating segment is divested, goodwill is allocated to that business based on its fair value relative to the fair value of its operating segment.</w:t>
      </w:r>
    </w:p>
    <w:p>
      <w:pPr>
        <w:spacing w:after="0" w:line="12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January 2016, we realigned our field support functions by combining two organizational layers into one. This includes the elimination of our three regions, the consolidation of our 20 areas into 10 and the streamlining of select roles at our Phoenix headquarters. The areas will be grouped and overseen by two Executive Vice Presidents of Operations. In connection with our restructuring, we will further evaluate our 2016 reporting segments. We have considered the implications of our restructuring on our reporting units used to measure for goodwill impairment, and we have noted no indicators of goodwill impairment.</w:t>
      </w:r>
    </w:p>
    <w:p>
      <w:pPr>
        <w:spacing w:after="0" w:line="1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intangible assets include values assigned to customer relationships, franchise agreements, other municipal agreements, non-compete agreements and trade names and are amortized generally on a straight-line basis over periods ranging from 1 to 20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continually consider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and identifiable intangible assets. Events or changes in circumstances that may indicate that an asset may be impaired include the following:</w:t>
      </w:r>
    </w:p>
    <w:p>
      <w:pPr>
        <w:spacing w:after="0" w:line="79"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128"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indicators of impairment exist, the asset or asset group is reviewed to determine whether its recoverability is impaired. We assess the recoverability of the asset or asset group by comparing its carrying value to an estimate (or estimates) of its undiscounted future cash flows over its remaining life. If the estimated undiscounted cash flows are not sufficient to recover the carrying value of the asset or asset group, we measure an impairment loss as the amount by which the carrying amount of the asset exceeds its fair value. The loss is recorded in the consolidated statement of income in the period in which such impairment is identified. Estimating future cash flows requires significant judgment, and our projections of future cash flows and remaining useful lives may vary materially from actual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insurance programs for workers' compensation, commercial general and auto liability, environmental and remediation liability, and employee-related health care benefits are subject to high deductible insurance policies. Accruals for insurance reserves are based on claims filed and estimates of claims incurred but not reported. We consider our past claims experience, including both frequency and settlement amount of claims, in determining these estimates. It is possible that recorded reserves may not be adequate to cover the future payment of claims. Adjustments, if any, to estimates recorded resulting from ultimate claim payments will be reflected in the consolidated statements of income in the periods in which such adjustments are known.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general, our insurance reserves are recorded on an undiscounted basis; however, the insurance liabilities we acquired in the Allied acquisition have been recorded at estimated fair value, and therefore have been discounted to present value based on our estimate of the timing of the related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Associated with Exit Activities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 costs associated with exit activities such as employee termination benefits that represent a one-time benefit when management approves and commits to a plan of termination, and communicates the termination arrangement to the employees, or over the future service period, if any. Other costs associated with exit activities may include contract termination costs, including costs related to leased facilities to be abandoned or subleased, and facility and employee relocation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subject to various legal proceedings, claims and regulatory matters, the outcomes of which are subject to significant uncertainty. In general, we determine whether to disclose or accrue for loss contingencies based on an assessment of whether the risk of loss is remote, reasonably possible or probable, and whether it can be reasonably estimated. We assess our potential liability relating to litigation and regulatory matters based on information available to us. Management develops its assessment based on an analysis of possible outcomes under various strategies. We accrue for loss contingencies when such amounts are probable and reasonably estimable. If a contingent liability is only reasonably possible, we disclose the potential range of the loss, if estimable. Contingent liabilities recorded in purchase accounting are recorded at their fair values. These fair values may be different from the values we would have otherwise recorded, had the contingent liability not been assumed as part of an acquisition of a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Accumulated other comprehensive income is a component of stockholders’ equity and includes the effective portion of the net changes in fair value of our cash flow hedges that consist of prices for diesel fuel and recycled commodities, net of tax, settlement and amortization of our interest rate locks and certain adjustments to liabilities associated with our employee defined benefit pension plan liabilities, net of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generally provide services under contracts with municipalities or individual customers. Municipal and small-container commercial contracts are generally long-term and often have renewal options. Advance billings are recorded as deferred revenue, and revenue is recognized over the period services are provided.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revenue when all four of the following criteria are met:</w:t>
      </w:r>
    </w:p>
    <w:p>
      <w:pPr>
        <w:spacing w:after="0" w:line="11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Persuasive evidence of an arrangement exists such as a service agreement with a municipality, a hauling customer or a disposal customer;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Services have been performed such as the collection and hauling of waste or the disposal of waste at a disposal facility we own or operate;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of the services provided to the customer is fixed or determinable;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we record deferred income taxes to reflect the effects of temporary differences between the carrying amounts of assets and liabilities and their tax bases using enacted tax rates that we expect to be in effect when the taxes are actually paid or recovered. The effect of a change in tax rates on deferred tax assets and liabilities is recognized in income in the period that includes the enactment date.</w:t>
      </w:r>
    </w:p>
    <w:p>
      <w:pPr>
        <w:spacing w:after="0" w:line="1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these determinations, we consider all available positive and negative evidence, including scheduled reversals of deferred tax liabilities, tax planning strategies, projected future taxable income and recent financial operating results. The weight given to the positive and negative evidence is commensurate with the extent such evidence can be objectively verified. If we determine that we would be able to realize a deferred income tax asset in the future in excess of its net recorded amount, we would make an adjustment to the valuation allowance, which would reduce the provision for income taxes.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22" w:right="27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record uncertain tax positions in accordance with ASC 740. A tax benefit from an uncertain tax position may be recognized when it is more likely than not that the position will be sustained upon examination, including resolution of any related appeals or litigation processes, based on the technical merits. Income tax positions must meet a more-likely-than-not recognition threshold at the effective date to be recognized.</w:t>
      </w:r>
    </w:p>
    <w:p>
      <w:pPr>
        <w:spacing w:after="0" w:line="1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recognize interest and penalties related to uncertain tax positions in the provision for income taxes in the accompanying consolidated statements of income. Accrued interest and penalties are included in other accrued liabilities, deferred income taxes and other long-term tax liabilities in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currently have one qualified defined benefit pension plan, the BFI Retirement Plan (the Plan). The Plan covers certain current and former employees of Allied in the United States, including some employees subject to collective bargaining agreements. The Plan’s benefit formula is based on a percentage of compensation as defined in the Plan document. However, the benefits of approximately 97% of the current plan participants were frozen upon Allied’s acquisition of BFI in 1999.</w:t>
      </w:r>
    </w:p>
    <w:p>
      <w:pPr>
        <w:spacing w:after="0" w:line="13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pension contributions are made in accordance with funding standards established by the Employee Retirement Income Security Act of 1974 and the Internal Revenue Code, as amended by the Pension Protection Act of 2006. The Plan’s assets have been invested as determined by our Employee Benefits Committee. The Employee Benefits Committee reviews and adjusts the Plan’s asset allocation as deemed necessary.</w:t>
      </w:r>
    </w:p>
    <w:p>
      <w:pPr>
        <w:spacing w:after="0" w:line="1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benefit obligation and associated income or expense related to the Plan are determined using annually established assumptions for discount rates, expected rates of return, mortality rates and average rates for compensation increases. We determine the discount rate based on a model that matches the timing and amount of expected benefit payments to maturities of high quality bonds priced as of the pension plan measurement date. When that timing does not correspond to a published high-quality bond rate, our model uses an expected yield curve to determine an appropriate current discount rate. The yields on the bonds are used to derive a discount rate for the liability. In developing our expected rate of return assumption, we evaluate long-term expected and historical actual returns on the Plan assets, giving consideration to the asset mix and the anticipated duration of our Plan obligations. The average rate of compensation increase reflects our expectations of average pay increases over the period benefits are earned. Our assumptions are reviewed annually and adjusted as deemed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Plans</w:t>
      </w:r>
    </w:p>
    <w:p>
      <w:pPr>
        <w:spacing w:after="0" w:line="9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recognize equity-based compensation expense on the estimated grant-date fair value of stock options and restricted stock units issued as compensation to employees over the requisite service periods for each separately vesting portion of the award, or to the employee’s retirement-eligible date, if earlier.</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fair value of each option on the date of grant is estimated using a lattice binomial option-pricing model based on certain valuation assumptions. Expected volatility is based on the weighted average of the most recent one year volatility and a historical rolling average volatility of our stock over the expected life of the option. The risk-free interest rates are based on the published U.S. Treasury yield curve in effect at the time of the grant for instruments with a similar life. The dividend yield reflects our dividend yield at the date of grant. The expected life represents the period that the stock options are expected to be outstanding, taking into consideration the contractual terms of the options and our employees’ historical exercise and post-vesting employment termination behavior, weighted to reflect the job level demographic profile of the employees receiving the option grants. The estimated forfeiture rate used to record compensation expense is based on historical forfeitures and is adjusted periodically based on actual results.</w:t>
      </w:r>
    </w:p>
    <w:p>
      <w:pPr>
        <w:spacing w:after="0" w:line="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Compensation expense associated with our performance shares that vest based on future performance targets is measured using the fair value of our common stock at the grant date for the stock-settled, equity classified awards, and the fair value of our common stock at the end of each reporting period for the cash-settled, liability classified awards. Compensation expense is recognized ratably over the performance period based on our estimated achievement of the established performance criteria. Compensation expense is only recognized for those awards that we expect to vest, which we estimate based on an assessment of the probability that the performance criteria will be achieved.</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flows resulting from tax benefits related to tax deductions in excess of those recorded for compensation expense, resulting from the exercise of stock options and the vesting of restricted stock units, are classified as cash flows from financing activities. All other tax benefits related to stock options have been presented as a component of cash flows from operating activities.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121" w:right="29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Share repurchases under our share repurchase authorization may be made through open market purchases or privately negotiated transactions at the current market prices. From time-to-time, the Company returns treasury shares acquired through share repurchases to the status of authorized but unissued. Our accounting policy is to deduct the par value from common stock and to reflect any excess of cost over par value as a deduction from additional paid-in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lease property and equipment in the ordinary course of our business. Our most significant lease obligations are for property and equipment specific to our industry, including real property operated as a landfill or transfer station and operating equipment. Our leases have varying terms. Some may include renewal or purchase options, escalation clauses, restrictions, penalties or other obligations that we consider in determining minimum lease payments. Leases are classified as either operating leases or capital leases, as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Many of our leases are operating leases. This classification generally can be attributed to either (1) relatively low fixed minimum lease payments (including, for example, real property lease payments that are not fixed and vary based on the volume of waste we receive or process), or (2) minimum lease terms that are much shorter than the assets’ economic useful lives. We expect that, in the normal course of business, our operating leases will be renewed, replaced by other leases, or replaced with fixed asset expenditures. We record rental expense over the lease term as it becomes payable.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capitalize assets acquired under capital leases at the inception of each lease and amortize them to depreciation expense over the lesser of the useful life of the asset or the lease term on either a straight-line or a units-of-consumption basis, depending on the asset leased. We record the present value of the related lease payments as a debt obligation. Our capital lease liability relates primarily to certain long-term landfill operating agreements that require minimum lease payments with offsetting capital lease assets recorded as part of the landfill development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It is our policy that transactions with related parties must be on terms that, on the whole, are no less favorable than those that would be available from unaffiliated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2320"/>
        <w:spacing w:after="0" w:line="272" w:lineRule="auto"/>
        <w:rPr>
          <w:sz w:val="20"/>
          <w:szCs w:val="20"/>
          <w:color w:val="auto"/>
        </w:rPr>
      </w:pPr>
      <w:r>
        <w:rPr>
          <w:rFonts w:ascii="Arial" w:cs="Arial" w:eastAsia="Arial" w:hAnsi="Arial"/>
          <w:sz w:val="17"/>
          <w:szCs w:val="17"/>
          <w:color w:val="auto"/>
        </w:rPr>
        <w:t>In May 2014, the Financial Accounting Standards Board (FASB) amended the Accounting Standards Codification and created Topic 606, Revenue from Contracts with Customers, to clarify the principles for recognizing revenue. In July 2015, the FASB voted to amend the guidance by approving a one-year deferral of the effective date and providing the option to early adopt the standard on the original effective date of 2017. Republic will adopt the standard beginning January 1, 2018. The new standard must be adopted using either a full retrospective approach for all periods presented in the period of adoption or a modified retrospective approach. We are currently assessing the method of adoption and the potential impact this guidance may have on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April 2015, the FASB issued Accounting Standards Update 2015-03, Interest - Imputation of Interest (Subtopic 835-30) -</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Simplifying the Presentation of Debt Issuance Costs. This guidance requires that debt issuance costs related to a recognized debt liability be presented in the balance sheet as a direct deduction from the carrying amount of that debt liability, consistent with the presentation of debt discounts. The standard is effective for fiscal years beginning after December 15, 2015 and interim periods within those fiscal years. Early adoption is permitted for financial statements that have not been previously issued. The balance sheet presentation of Republic's debt issuance costs and related debt liabilities will be affected beginning January 1, 2016.</w:t>
      </w:r>
    </w:p>
    <w:p>
      <w:pPr>
        <w:spacing w:after="0" w:line="13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November 2015, the FASB issued Accounting Standards Update (ASU) 2015-17, Income Taxes (Topic 740) - Balance Sheet Classification of Deferred Taxes, which simplifies the presentation of deferred income taxes. This guidance requires that deferred tax assets and liabilities be classified as noncurrent in the balance sheet. The standard is effective for fiscal years beginning after December 15, 2016 and interim periods within those annual periods. Early adoption is permitted for financial statements that have not been previously issued. We have elected early adoption of this standard on a prospective basis in the fourth quarter of 2015. Adoption of this ASU resulted in a reclassification of our net current deferred tax asset to the net noncurrent deferred tax liability in our consolidated balance sheet as of December 31, 2015. No prior periods were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retrospectively adjusted. The adoption of this guidance had no impact on our consolidated results of income or comprehensive income.</w:t>
      </w:r>
    </w:p>
    <w:p>
      <w:pPr>
        <w:spacing w:after="0" w:line="22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acquired various waste businesses during the years ended December 31, 2015 and 2014. The purchase price paid for these acquisitions and the allocations of the purchase price follow: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used in acquisitions, net of cash acquired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572.7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Holdbacks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future guaranteed payments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Fair value, future minimum lease payments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Allocated as follows: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Landfill airspace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Future service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Environmental remediation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Closure and post-closure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tangible assets acquired and liabilities assumed</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Excess purchase price to be allocated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155.5</w:t>
            </w:r>
          </w:p>
        </w:tc>
      </w:tr>
      <w:tr>
        <w:trPr>
          <w:trHeight w:val="67"/>
        </w:trPr>
        <w:tc>
          <w:tcPr>
            <w:tcW w:w="85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Excess purchase price to be allocated as follows: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intangible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allocated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155.5</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purchase price allocations are preliminary and are based on information existing at the acquisition dates. Accordingly, the purchase price allocations are subject to change. Substantially all of the goodwill and intangible assets recorded for these acquisitions are deductible for tax purposes. These acquisitions are not material to the Company's results of operations, individually or in the aggregate. As a result, no pro forma financial information is provided.</w:t>
      </w:r>
    </w:p>
    <w:p>
      <w:pPr>
        <w:spacing w:after="0" w:line="147" w:lineRule="exact"/>
        <w:rPr>
          <w:sz w:val="20"/>
          <w:szCs w:val="20"/>
          <w:color w:val="auto"/>
        </w:rPr>
      </w:pPr>
    </w:p>
    <w:p>
      <w:pPr>
        <w:ind w:right="2220"/>
        <w:spacing w:after="0" w:line="284" w:lineRule="auto"/>
        <w:rPr>
          <w:sz w:val="20"/>
          <w:szCs w:val="20"/>
          <w:color w:val="auto"/>
        </w:rPr>
      </w:pPr>
      <w:r>
        <w:rPr>
          <w:rFonts w:ascii="Arial" w:cs="Arial" w:eastAsia="Arial" w:hAnsi="Arial"/>
          <w:sz w:val="16"/>
          <w:szCs w:val="16"/>
          <w:color w:val="auto"/>
        </w:rPr>
        <w:t>In April 2015, we entered into a waste management contract with the County of Sonoma, California (Sonoma). Under the agreement, Sonoma grants us the exclusive right to use and operate the county's waste management facilities. We will operate and manage the Sonoma County Landfill for the remaining life of the site, which we estimate to be approximately 30 years. We also have assumed all closure and post-closure obligations for the site. In addition to the landfill, we will operate five transfer stations and a gas-to-energy plant. By entering this agreement, we have effectively obtained control of the business through contract. In exchange, we have agreed to pay a contingent concession fee per ton of waste disposed at the landfill. The potential undiscounted amount of all future contingent payments that we could be required to make under the agreement is</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estimated to be between approximately $92 million and $180 million. The fair value of the contingent consideration was recorded as a $70.1 million liability as of the acquisition date and was determined using probability assessments of the expected future consideration payments over the remaining useful life of the landfill, and applying a discount rate of 4.0%. The fair value measure is based on significant inputs that are not observable in the market. Key assumptions include volume of annual tons disposed at the landfill, price paid per annual ton, and the discount rate that represent the best estimates of management, which are subject to remeasurement at each reporting date. The contingent consideration and purchase price allocation are preliminary and are subject to revision.</w:t>
      </w:r>
    </w:p>
    <w:p>
      <w:pPr>
        <w:sectPr>
          <w:pgSz w:w="11900" w:h="16838" w:orient="portrait"/>
          <w:cols w:equalWidth="0" w:num="1">
            <w:col w:w="11420"/>
          </w:cols>
          <w:pgMar w:left="240" w:top="121"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880"/>
        <w:spacing w:after="0" w:line="258" w:lineRule="auto"/>
        <w:rPr>
          <w:sz w:val="20"/>
          <w:szCs w:val="20"/>
          <w:color w:val="auto"/>
        </w:rPr>
      </w:pPr>
      <w:r>
        <w:rPr>
          <w:rFonts w:ascii="Arial" w:cs="Arial" w:eastAsia="Arial" w:hAnsi="Arial"/>
          <w:sz w:val="18"/>
          <w:szCs w:val="18"/>
          <w:color w:val="auto"/>
        </w:rPr>
        <w:t>In February 2015, we acquired all of the equity interests of Tervita, LLC (Tervita) in exchange for a cash payment of $479.6 million. Tervita is an environmental solutions provider serving oil and natural gas producers in the United States. Tervita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provides energy services to its diverse customer base and operates three types of waste management and disposal facilities:</w:t>
      </w:r>
    </w:p>
    <w:p>
      <w:pPr>
        <w:spacing w:after="0" w:line="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treatment, recovery and disposal facilities, engineered landfills and salt water disposal injection wells. Additionally, Tervita provides closed loop solids control systems and transportation services. Tervita's assets complement Republic's existing energy services business, core competencies and expertise in waste handling, recovery and disposal. We retained an independent</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third-party appraiser to assist us in our valuations. Based on valuation work performed through December 31, 2015, we allocated $109.3 million of the purchase price to property and equipment, $85.5 million to landfill airspace, and $7.2 million to intangible assets. We also assumed $6.9 million of closure and post-closure obligations and $5.3 million of environmental remediation liabilities. During the fourth quarter of 2015, we settled working capital and other seller-related items for approximately $3 million, which resulted in a reduction to our purchase price and an allocation of $19.2 million of the purchase price to net working capital. Approximately $268 million of the remaining purchase price was allocated to goodwill and represents the future economic benefits expected to arise from other assets acquired that could not be individually identified and separately recognized. The purchase price allocation is still preliminary and remains subject to revision. Adjustments may be made to the carrying value of the assets acquired and liabilities assumed as additional information is obtained about the facts and circumstances that existed at the valuation date. The preliminary allocation of the purchase price is based on the best estimates of management and is subject to revision based on the final valuations. These final valuations and assessments will be completed in early 2016.</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In October 2014, we acquired all of the shares of Rainbow Disposal Co., Inc. (Rainbow) for $112.0 million cash, of which $16.8 million of the funds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placed into an escrow account pursuant to a holdback arrangement and classified as restricted cash. We also assumed a capital lease agreement with a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$25.2 million for operational facilities in Southern California, and entered into agreements not to compete, along with other restrictive covenants,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key executives. We allocated $53.5 million of the purchase price to property and equipment and $34.8 million to intangible assets. We also assumed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$18.9 million of liabilities. Approximately $66 million of the remaining purchase price was allocated to goodwill and represents the future economic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to arise from other assets acquired that could not be individually identified and separately recognized. Rainbow's operations in Southern California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 hauling routes, a recycling facility, a transfer station, a compressed natural gas (CNG) refueling station, and a CNG-powered vehicle fleet.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 is not material to the Company's results of operations.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August 2014, we entered into a life-of-site operating agreement for the City of San Angelo Landfill located in Texas, which we have recorded as the acquisition of a business. Previously, we operated the site on behalf of the City of San Angelo under an agreement that expired in July 2014. Consideration transferred included cash of $10.3 million and future guaranteed payments of $6.8 million. We assumed future service obligations of $11.0 million and closure and post-closure obligations of $3.2 million. We allocated $26.6 million of purchase price to landfill airspace and no purchase price was allocated to goodwill.</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21" w:right="27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net as of December 31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Non-depletable landfill land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5,645.3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Vehicles and equipment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6,211.8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5,834.1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Construction-in-progress - landfill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 - 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37"/>
        </w:trPr>
        <w:tc>
          <w:tcPr>
            <w:tcW w:w="85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14,196.6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13,196.1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Landfill development costs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(2,723.0)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(2,437.4)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7,552.8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7,165.3</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Depreciation, amortization and depletion of property and equipment was $898.7 million, $838.5 million and $806.7 million for the years ended December 31, 2015, 2014 and 2013, respectively.</w:t>
      </w:r>
    </w:p>
    <w:p>
      <w:pPr>
        <w:spacing w:after="0" w:line="166"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in goodwill accounts by reporting segment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Balance as of December</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Adjustments to</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9"/>
              </w:rPr>
              <w:t>Balance as of December</w:t>
            </w:r>
          </w:p>
        </w:tc>
      </w:tr>
      <w:tr>
        <w:trPr>
          <w:trHeight w:val="230"/>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center"/>
              <w:ind w:right="290"/>
              <w:spacing w:after="0"/>
              <w:rPr>
                <w:sz w:val="20"/>
                <w:szCs w:val="20"/>
                <w:color w:val="auto"/>
              </w:rPr>
            </w:pPr>
            <w:r>
              <w:rPr>
                <w:rFonts w:ascii="Arial" w:cs="Arial" w:eastAsia="Arial" w:hAnsi="Arial"/>
                <w:sz w:val="18"/>
                <w:szCs w:val="18"/>
                <w:color w:val="auto"/>
                <w:w w:val="91"/>
              </w:rPr>
              <w:t>31, 2014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Acquisitions</w:t>
            </w:r>
          </w:p>
        </w:tc>
        <w:tc>
          <w:tcPr>
            <w:tcW w:w="400" w:type="dxa"/>
            <w:vAlign w:val="bottom"/>
          </w:tcPr>
          <w:p>
            <w:pPr>
              <w:spacing w:after="0"/>
              <w:rPr>
                <w:sz w:val="20"/>
                <w:szCs w:val="20"/>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color w:val="auto"/>
                <w:w w:val="88"/>
              </w:rPr>
              <w:t>31, 2015</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Central</w:t>
            </w:r>
          </w:p>
        </w:tc>
        <w:tc>
          <w:tcPr>
            <w:tcW w:w="38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3,279.0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3,294.7</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3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4,788.5</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10,830.9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11,145.5</w:t>
            </w:r>
          </w:p>
        </w:tc>
      </w:tr>
      <w:tr>
        <w:trPr>
          <w:trHeight w:val="27"/>
        </w:trPr>
        <w:tc>
          <w:tcPr>
            <w:tcW w:w="42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r>
      <w:tr>
        <w:trPr>
          <w:trHeight w:val="560"/>
        </w:trPr>
        <w:tc>
          <w:tcPr>
            <w:tcW w:w="4240" w:type="dxa"/>
            <w:vAlign w:val="bottom"/>
          </w:tcPr>
          <w:p>
            <w:pPr>
              <w:spacing w:after="0"/>
              <w:rPr>
                <w:sz w:val="24"/>
                <w:szCs w:val="24"/>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Balance as of December</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Adjustments to</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9"/>
              </w:rPr>
              <w:t>Balance as of December</w:t>
            </w:r>
          </w:p>
        </w:tc>
      </w:tr>
      <w:tr>
        <w:trPr>
          <w:trHeight w:val="230"/>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center"/>
              <w:ind w:right="290"/>
              <w:spacing w:after="0"/>
              <w:rPr>
                <w:sz w:val="20"/>
                <w:szCs w:val="20"/>
                <w:color w:val="auto"/>
              </w:rPr>
            </w:pPr>
            <w:r>
              <w:rPr>
                <w:rFonts w:ascii="Arial" w:cs="Arial" w:eastAsia="Arial" w:hAnsi="Arial"/>
                <w:sz w:val="18"/>
                <w:szCs w:val="18"/>
                <w:color w:val="auto"/>
                <w:w w:val="91"/>
              </w:rPr>
              <w:t>31, 2013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Acquisitions</w:t>
            </w:r>
          </w:p>
        </w:tc>
        <w:tc>
          <w:tcPr>
            <w:tcW w:w="400" w:type="dxa"/>
            <w:vAlign w:val="bottom"/>
          </w:tcPr>
          <w:p>
            <w:pPr>
              <w:spacing w:after="0"/>
              <w:rPr>
                <w:sz w:val="20"/>
                <w:szCs w:val="20"/>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color w:val="auto"/>
                <w:w w:val="88"/>
              </w:rPr>
              <w:t>31, 2014</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Central</w:t>
            </w:r>
          </w:p>
        </w:tc>
        <w:tc>
          <w:tcPr>
            <w:tcW w:w="38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3,264.8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3,279.0</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3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4,505.9</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10,724.1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10,830.9</w:t>
            </w: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Adjustments to acquisitions during the year ended December 31, 2015 primarily related to working capital and deferred taxes, which were recorded to goodwill in purchase accounting. During 2014, adjustments to acquisitions related to deferred tax asset adjustments resulting from the exercise of legacy Allied stock options.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 Net</w:t>
      </w:r>
    </w:p>
    <w:p>
      <w:pPr>
        <w:spacing w:after="0" w:line="9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Other intangible assets, net, include values assigned to customer relationships, franchise agreements, other municipal agreements, non-compete agreements and trade names, and are amortized over periods ranging from 1 to 20 years. A summary of the activity and balances by intangible asset type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1"/>
              </w:rPr>
              <w:t>Gross Intangible Assets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12"/>
          </w:tcPr>
          <w:p>
            <w:pPr>
              <w:ind w:left="780"/>
              <w:spacing w:after="0"/>
              <w:rPr>
                <w:sz w:val="20"/>
                <w:szCs w:val="20"/>
                <w:color w:val="auto"/>
              </w:rPr>
            </w:pPr>
            <w:r>
              <w:rPr>
                <w:rFonts w:ascii="Arial" w:cs="Arial" w:eastAsia="Arial" w:hAnsi="Arial"/>
                <w:sz w:val="14"/>
                <w:szCs w:val="14"/>
                <w:color w:val="auto"/>
              </w:rPr>
              <w:t>Accumulated Amortization</w:t>
            </w:r>
          </w:p>
        </w:tc>
        <w:tc>
          <w:tcPr>
            <w:tcW w:w="1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8"/>
              <w:spacing w:after="0" w:line="157" w:lineRule="exact"/>
              <w:rPr>
                <w:sz w:val="20"/>
                <w:szCs w:val="20"/>
                <w:color w:val="auto"/>
              </w:rPr>
            </w:pPr>
            <w:r>
              <w:rPr>
                <w:rFonts w:ascii="Arial" w:cs="Arial" w:eastAsia="Arial" w:hAnsi="Arial"/>
                <w:sz w:val="14"/>
                <w:szCs w:val="14"/>
                <w:color w:val="auto"/>
                <w:w w:val="89"/>
              </w:rPr>
              <w:t>Balance as of</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right="260"/>
              <w:spacing w:after="0" w:line="157" w:lineRule="exact"/>
              <w:rPr>
                <w:sz w:val="20"/>
                <w:szCs w:val="20"/>
                <w:color w:val="auto"/>
              </w:rPr>
            </w:pPr>
            <w:r>
              <w:rPr>
                <w:rFonts w:ascii="Arial" w:cs="Arial" w:eastAsia="Arial" w:hAnsi="Arial"/>
                <w:sz w:val="14"/>
                <w:szCs w:val="14"/>
                <w:color w:val="auto"/>
                <w:w w:val="89"/>
              </w:rPr>
              <w:t>Balance as of</w:t>
            </w:r>
          </w:p>
        </w:tc>
        <w:tc>
          <w:tcPr>
            <w:tcW w:w="120" w:type="dxa"/>
            <w:vAlign w:val="bottom"/>
          </w:tcPr>
          <w:p>
            <w:pPr>
              <w:spacing w:after="0"/>
              <w:rPr>
                <w:sz w:val="13"/>
                <w:szCs w:val="13"/>
                <w:color w:val="auto"/>
              </w:rPr>
            </w:pPr>
          </w:p>
        </w:tc>
        <w:tc>
          <w:tcPr>
            <w:tcW w:w="1120" w:type="dxa"/>
            <w:vAlign w:val="bottom"/>
            <w:gridSpan w:val="4"/>
          </w:tcPr>
          <w:p>
            <w:pPr>
              <w:jc w:val="center"/>
              <w:ind w:right="220"/>
              <w:spacing w:after="0" w:line="157" w:lineRule="exact"/>
              <w:rPr>
                <w:sz w:val="20"/>
                <w:szCs w:val="20"/>
                <w:color w:val="auto"/>
              </w:rPr>
            </w:pPr>
            <w:r>
              <w:rPr>
                <w:rFonts w:ascii="Arial" w:cs="Arial" w:eastAsia="Arial" w:hAnsi="Arial"/>
                <w:sz w:val="14"/>
                <w:szCs w:val="14"/>
                <w:color w:val="auto"/>
                <w:w w:val="91"/>
              </w:rPr>
              <w:t>Balance as of</w:t>
            </w:r>
          </w:p>
        </w:tc>
        <w:tc>
          <w:tcPr>
            <w:tcW w:w="100" w:type="dxa"/>
            <w:vAlign w:val="bottom"/>
          </w:tcPr>
          <w:p>
            <w:pPr>
              <w:spacing w:after="0"/>
              <w:rPr>
                <w:sz w:val="13"/>
                <w:szCs w:val="13"/>
                <w:color w:val="auto"/>
              </w:rPr>
            </w:pPr>
          </w:p>
        </w:tc>
        <w:tc>
          <w:tcPr>
            <w:tcW w:w="900" w:type="dxa"/>
            <w:vAlign w:val="bottom"/>
            <w:gridSpan w:val="4"/>
          </w:tcPr>
          <w:p>
            <w:pPr>
              <w:jc w:val="center"/>
              <w:ind w:right="220"/>
              <w:spacing w:after="0" w:line="157"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3"/>
                <w:szCs w:val="13"/>
                <w:color w:val="auto"/>
              </w:rPr>
            </w:pPr>
          </w:p>
        </w:tc>
        <w:tc>
          <w:tcPr>
            <w:tcW w:w="1100" w:type="dxa"/>
            <w:vAlign w:val="bottom"/>
            <w:gridSpan w:val="4"/>
          </w:tcPr>
          <w:p>
            <w:pPr>
              <w:jc w:val="center"/>
              <w:ind w:right="240"/>
              <w:spacing w:after="0" w:line="157" w:lineRule="exact"/>
              <w:rPr>
                <w:sz w:val="20"/>
                <w:szCs w:val="20"/>
                <w:color w:val="auto"/>
              </w:rPr>
            </w:pPr>
            <w:r>
              <w:rPr>
                <w:rFonts w:ascii="Arial" w:cs="Arial" w:eastAsia="Arial" w:hAnsi="Arial"/>
                <w:sz w:val="14"/>
                <w:szCs w:val="14"/>
                <w:color w:val="auto"/>
                <w:w w:val="91"/>
              </w:rPr>
              <w:t>Balance as of</w:t>
            </w:r>
          </w:p>
        </w:tc>
        <w:tc>
          <w:tcPr>
            <w:tcW w:w="1580" w:type="dxa"/>
            <w:vAlign w:val="bottom"/>
            <w:gridSpan w:val="3"/>
          </w:tcPr>
          <w:p>
            <w:pPr>
              <w:jc w:val="center"/>
              <w:spacing w:after="0" w:line="157" w:lineRule="exact"/>
              <w:rPr>
                <w:sz w:val="20"/>
                <w:szCs w:val="20"/>
                <w:color w:val="auto"/>
              </w:rPr>
            </w:pPr>
            <w:r>
              <w:rPr>
                <w:rFonts w:ascii="Arial" w:cs="Arial" w:eastAsia="Arial" w:hAnsi="Arial"/>
                <w:sz w:val="14"/>
                <w:szCs w:val="14"/>
                <w:color w:val="auto"/>
                <w:w w:val="92"/>
              </w:rPr>
              <w:t>Other Intangible Assets,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2"/>
                <w:szCs w:val="12"/>
                <w:color w:val="auto"/>
              </w:rPr>
            </w:pPr>
          </w:p>
        </w:tc>
        <w:tc>
          <w:tcPr>
            <w:tcW w:w="112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2"/>
                <w:szCs w:val="12"/>
                <w:color w:val="auto"/>
              </w:rPr>
            </w:pPr>
          </w:p>
        </w:tc>
        <w:tc>
          <w:tcPr>
            <w:tcW w:w="9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89"/>
              </w:rPr>
              <w:t>Charged</w:t>
            </w:r>
          </w:p>
        </w:tc>
        <w:tc>
          <w:tcPr>
            <w:tcW w:w="12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Net as of December 31,</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color w:val="auto"/>
                <w:w w:val="89"/>
              </w:rPr>
              <w:t>2014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Acquisitions</w:t>
            </w: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color w:val="auto"/>
                <w:w w:val="89"/>
              </w:rPr>
              <w:t>2014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4"/>
                <w:szCs w:val="14"/>
                <w:color w:val="auto"/>
                <w:w w:val="91"/>
              </w:rPr>
              <w:t>to Expense</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2015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8"/>
              <w:spacing w:after="0"/>
              <w:rPr>
                <w:sz w:val="20"/>
                <w:szCs w:val="20"/>
                <w:color w:val="auto"/>
              </w:rPr>
            </w:pPr>
            <w:r>
              <w:rPr>
                <w:rFonts w:ascii="Arial" w:cs="Arial" w:eastAsia="Arial" w:hAnsi="Arial"/>
                <w:sz w:val="14"/>
                <w:szCs w:val="14"/>
                <w:color w:val="auto"/>
                <w:w w:val="96"/>
              </w:rPr>
              <w:t>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6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Customer relationships,</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franchise and other municipal</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651.6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Non-compete agreements</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w:t>
            </w: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6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733.2</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(434.3)</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(501.6)</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1"/>
              </w:rPr>
              <w:t>Gross Intangible Assets</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1"/>
          </w:tcPr>
          <w:p>
            <w:pPr>
              <w:jc w:val="center"/>
              <w:ind w:right="28"/>
              <w:spacing w:after="0"/>
              <w:rPr>
                <w:sz w:val="20"/>
                <w:szCs w:val="20"/>
                <w:color w:val="auto"/>
              </w:rPr>
            </w:pPr>
            <w:r>
              <w:rPr>
                <w:rFonts w:ascii="Arial" w:cs="Arial" w:eastAsia="Arial" w:hAnsi="Arial"/>
                <w:sz w:val="14"/>
                <w:szCs w:val="14"/>
                <w:color w:val="auto"/>
                <w:w w:val="95"/>
              </w:rPr>
              <w:t>Accumulated Amortization</w:t>
            </w:r>
          </w:p>
        </w:tc>
        <w:tc>
          <w:tcPr>
            <w:tcW w:w="1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8"/>
              <w:spacing w:after="0" w:line="157" w:lineRule="exact"/>
              <w:rPr>
                <w:sz w:val="20"/>
                <w:szCs w:val="20"/>
                <w:color w:val="auto"/>
              </w:rPr>
            </w:pPr>
            <w:r>
              <w:rPr>
                <w:rFonts w:ascii="Arial" w:cs="Arial" w:eastAsia="Arial" w:hAnsi="Arial"/>
                <w:sz w:val="14"/>
                <w:szCs w:val="14"/>
                <w:color w:val="auto"/>
                <w:w w:val="89"/>
              </w:rPr>
              <w:t>Balance as of</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right="260"/>
              <w:spacing w:after="0" w:line="157" w:lineRule="exact"/>
              <w:rPr>
                <w:sz w:val="20"/>
                <w:szCs w:val="20"/>
                <w:color w:val="auto"/>
              </w:rPr>
            </w:pPr>
            <w:r>
              <w:rPr>
                <w:rFonts w:ascii="Arial" w:cs="Arial" w:eastAsia="Arial" w:hAnsi="Arial"/>
                <w:sz w:val="14"/>
                <w:szCs w:val="14"/>
                <w:color w:val="auto"/>
                <w:w w:val="89"/>
              </w:rPr>
              <w:t>Balance as of</w:t>
            </w:r>
          </w:p>
        </w:tc>
        <w:tc>
          <w:tcPr>
            <w:tcW w:w="120" w:type="dxa"/>
            <w:vAlign w:val="bottom"/>
          </w:tcPr>
          <w:p>
            <w:pPr>
              <w:spacing w:after="0"/>
              <w:rPr>
                <w:sz w:val="13"/>
                <w:szCs w:val="13"/>
                <w:color w:val="auto"/>
              </w:rPr>
            </w:pPr>
          </w:p>
        </w:tc>
        <w:tc>
          <w:tcPr>
            <w:tcW w:w="1120" w:type="dxa"/>
            <w:vAlign w:val="bottom"/>
            <w:gridSpan w:val="4"/>
          </w:tcPr>
          <w:p>
            <w:pPr>
              <w:jc w:val="center"/>
              <w:ind w:right="260"/>
              <w:spacing w:after="0" w:line="157" w:lineRule="exact"/>
              <w:rPr>
                <w:sz w:val="20"/>
                <w:szCs w:val="20"/>
                <w:color w:val="auto"/>
              </w:rPr>
            </w:pPr>
            <w:r>
              <w:rPr>
                <w:rFonts w:ascii="Arial" w:cs="Arial" w:eastAsia="Arial" w:hAnsi="Arial"/>
                <w:sz w:val="14"/>
                <w:szCs w:val="14"/>
                <w:color w:val="auto"/>
                <w:w w:val="91"/>
              </w:rPr>
              <w:t>Balance as of</w:t>
            </w:r>
          </w:p>
        </w:tc>
        <w:tc>
          <w:tcPr>
            <w:tcW w:w="100" w:type="dxa"/>
            <w:vAlign w:val="bottom"/>
          </w:tcPr>
          <w:p>
            <w:pPr>
              <w:spacing w:after="0"/>
              <w:rPr>
                <w:sz w:val="13"/>
                <w:szCs w:val="13"/>
                <w:color w:val="auto"/>
              </w:rPr>
            </w:pPr>
          </w:p>
        </w:tc>
        <w:tc>
          <w:tcPr>
            <w:tcW w:w="900" w:type="dxa"/>
            <w:vAlign w:val="bottom"/>
            <w:gridSpan w:val="4"/>
          </w:tcPr>
          <w:p>
            <w:pPr>
              <w:jc w:val="center"/>
              <w:ind w:right="260"/>
              <w:spacing w:after="0" w:line="157"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3"/>
                <w:szCs w:val="13"/>
                <w:color w:val="auto"/>
              </w:rPr>
            </w:pPr>
          </w:p>
        </w:tc>
        <w:tc>
          <w:tcPr>
            <w:tcW w:w="1100" w:type="dxa"/>
            <w:vAlign w:val="bottom"/>
            <w:gridSpan w:val="4"/>
          </w:tcPr>
          <w:p>
            <w:pPr>
              <w:jc w:val="center"/>
              <w:ind w:right="260"/>
              <w:spacing w:after="0" w:line="157" w:lineRule="exact"/>
              <w:rPr>
                <w:sz w:val="20"/>
                <w:szCs w:val="20"/>
                <w:color w:val="auto"/>
              </w:rPr>
            </w:pPr>
            <w:r>
              <w:rPr>
                <w:rFonts w:ascii="Arial" w:cs="Arial" w:eastAsia="Arial" w:hAnsi="Arial"/>
                <w:sz w:val="14"/>
                <w:szCs w:val="14"/>
                <w:color w:val="auto"/>
                <w:w w:val="89"/>
              </w:rPr>
              <w:t>Balance as of</w:t>
            </w:r>
          </w:p>
        </w:tc>
        <w:tc>
          <w:tcPr>
            <w:tcW w:w="1580" w:type="dxa"/>
            <w:vAlign w:val="bottom"/>
            <w:gridSpan w:val="3"/>
          </w:tcPr>
          <w:p>
            <w:pPr>
              <w:jc w:val="center"/>
              <w:ind w:right="20"/>
              <w:spacing w:after="0" w:line="157" w:lineRule="exact"/>
              <w:rPr>
                <w:sz w:val="20"/>
                <w:szCs w:val="20"/>
                <w:color w:val="auto"/>
              </w:rPr>
            </w:pPr>
            <w:r>
              <w:rPr>
                <w:rFonts w:ascii="Arial" w:cs="Arial" w:eastAsia="Arial" w:hAnsi="Arial"/>
                <w:sz w:val="14"/>
                <w:szCs w:val="14"/>
                <w:color w:val="auto"/>
                <w:w w:val="93"/>
              </w:rPr>
              <w:t>Other Intangible Assets,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2"/>
                <w:szCs w:val="12"/>
                <w:color w:val="auto"/>
              </w:rPr>
            </w:pPr>
          </w:p>
        </w:tc>
        <w:tc>
          <w:tcPr>
            <w:tcW w:w="112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2"/>
                <w:szCs w:val="12"/>
                <w:color w:val="auto"/>
              </w:rPr>
            </w:pPr>
          </w:p>
        </w:tc>
        <w:tc>
          <w:tcPr>
            <w:tcW w:w="9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89"/>
              </w:rPr>
              <w:t>Charged</w:t>
            </w:r>
          </w:p>
        </w:tc>
        <w:tc>
          <w:tcPr>
            <w:tcW w:w="1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0"/>
              </w:rPr>
              <w:t>December 31,</w:t>
            </w:r>
          </w:p>
        </w:tc>
        <w:tc>
          <w:tcPr>
            <w:tcW w:w="15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Net as of December 31,</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color w:val="auto"/>
                <w:w w:val="89"/>
              </w:rPr>
              <w:t>2013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Acquisitions</w:t>
            </w: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center"/>
              <w:ind w:right="260"/>
              <w:spacing w:after="0"/>
              <w:rPr>
                <w:sz w:val="20"/>
                <w:szCs w:val="20"/>
                <w:color w:val="auto"/>
              </w:rPr>
            </w:pPr>
            <w:r>
              <w:rPr>
                <w:rFonts w:ascii="Arial" w:cs="Arial" w:eastAsia="Arial" w:hAnsi="Arial"/>
                <w:sz w:val="14"/>
                <w:szCs w:val="14"/>
                <w:color w:val="auto"/>
                <w:w w:val="91"/>
              </w:rPr>
              <w:t>to Expense</w:t>
            </w:r>
          </w:p>
        </w:tc>
        <w:tc>
          <w:tcPr>
            <w:tcW w:w="120" w:type="dxa"/>
            <w:vAlign w:val="bottom"/>
          </w:tcPr>
          <w:p>
            <w:pPr>
              <w:spacing w:after="0"/>
              <w:rPr>
                <w:sz w:val="16"/>
                <w:szCs w:val="16"/>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color w:val="auto"/>
                <w:w w:val="89"/>
              </w:rPr>
              <w:t>2014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28"/>
              <w:spacing w:after="0"/>
              <w:rPr>
                <w:sz w:val="20"/>
                <w:szCs w:val="20"/>
                <w:color w:val="auto"/>
              </w:rPr>
            </w:pPr>
            <w:r>
              <w:rPr>
                <w:rFonts w:ascii="Arial" w:cs="Arial" w:eastAsia="Arial" w:hAnsi="Arial"/>
                <w:sz w:val="14"/>
                <w:szCs w:val="14"/>
                <w:color w:val="auto"/>
                <w:w w:val="89"/>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6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Customer relationships,</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franchise and other municipal</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Non-compete agreements</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w:t>
            </w: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40"/>
              <w:spacing w:after="0"/>
              <w:rPr>
                <w:sz w:val="20"/>
                <w:szCs w:val="20"/>
                <w:color w:val="auto"/>
              </w:rPr>
            </w:pPr>
            <w:r>
              <w:rPr>
                <w:rFonts w:ascii="Arial" w:cs="Arial" w:eastAsia="Arial" w:hAnsi="Arial"/>
                <w:sz w:val="14"/>
                <w:szCs w:val="14"/>
                <w:color w:val="auto"/>
              </w:rPr>
              <w:t>Total</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686.4</w:t>
            </w:r>
          </w:p>
        </w:tc>
        <w:tc>
          <w:tcPr>
            <w:tcW w:w="3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733.2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(370.6)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(63.7)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(434.3)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298.9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6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2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 amortizable intangible assets recorded in the consolidated balance sheet as of December 31, 2015, amortization expense for each of the next five years is estimated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432"/>
        </w:trPr>
        <w:tc>
          <w:tcPr>
            <w:tcW w:w="8580" w:type="dxa"/>
            <w:vAlign w:val="bottom"/>
          </w:tcPr>
          <w:p>
            <w:pPr>
              <w:spacing w:after="0"/>
              <w:rPr>
                <w:sz w:val="20"/>
                <w:szCs w:val="20"/>
                <w:color w:val="auto"/>
              </w:rPr>
            </w:pPr>
            <w:r>
              <w:rPr>
                <w:rFonts w:ascii="Arial" w:cs="Arial" w:eastAsia="Arial" w:hAnsi="Arial"/>
                <w:sz w:val="18"/>
                <w:szCs w:val="18"/>
                <w:b w:val="1"/>
                <w:bCs w:val="1"/>
                <w:color w:val="auto"/>
              </w:rPr>
              <w:t>6.  OTHER 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A summary of prepaid expenses and other current assets as of December 31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0"/>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non-trade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Reinsurance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assets as of December 31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compensation plan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recoverable for capping, closure and post-closure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Reinsurance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OTHER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b w:val="1"/>
                <w:bCs w:val="1"/>
                <w:color w:val="auto"/>
              </w:rPr>
              <w:t>Other Accrued Liabilities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A summary of other accrued liabilities as of December 31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fees and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reserves,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Ceded insurance reserves, current portion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tax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hedge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professional fees and legal settlement reserves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Withdrawal liability - Central States Pension and Other Funds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580" w:type="dxa"/>
            <w:vAlign w:val="bottom"/>
          </w:tcPr>
          <w:p>
            <w:pPr>
              <w:spacing w:after="0"/>
              <w:rPr>
                <w:sz w:val="20"/>
                <w:szCs w:val="20"/>
                <w:color w:val="auto"/>
              </w:rPr>
            </w:pPr>
            <w:r>
              <w:rPr>
                <w:rFonts w:ascii="Arial" w:cs="Arial" w:eastAsia="Arial" w:hAnsi="Arial"/>
                <w:sz w:val="18"/>
                <w:szCs w:val="18"/>
                <w:color w:val="auto"/>
              </w:rPr>
              <w:t>A summary of other long-term liabilities as of December 31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Pension and other post-retirement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 reserves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Ceded insurance reserves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Withdrawal liability - Central States Pension and Other Funds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Contingent consideration and acquisition holdbacks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liabilities for unpaid and incurred but not reported claims as of December 31, 2015 and 2014 (which include claims for workers’ compensation, commercial general and auto liability, and employee-related health care benefits) were $405.8 million and $416.6 million, respectively, under our risk management program and are included in other accrued liabilities and insurance reserves, net of current portion, in our consolidated balance sheets. While the ultimate amount of claims incurred depends on future developments, we believe the recorded reserves are adequate to cover the future payment of claims; however, it is possible that these recorded reserves may not be adequate to cover the future payment of claims. Adjustments, if</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any, to estimates recorded resulting from ultimate claim payments will be reflected in our consolidated statements of income in the periods in which such adjustments are known. The following table summarizes the activity in our insurance reserves for the years ended December 31: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charged to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379.1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portion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2015, we owned or operated 193 active landfills with total available disposal capacity of approximately 5.0 billion in-place cubic yards.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had post-closure responsibility for 126 closed landfills.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accrued landfill and environmental liabilities as of December 31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final capping, closure and post-closure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1,144.3</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Environmental remediation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697.5</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landfill and environmental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1,841.8</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1,677.5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Capping, Closure and Post-Closure Costs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the activity in our asset retirement obligation liabilities, which include liabilities for final capping, closure and post-closure, for the years ended December 31: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liabilities,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Non-cash additions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other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Asset retirement obligation adjustments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liabilities, end of year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review our landfill asset retirement obligations at least annually. As a result, we recorded a net decrease in amortization expense of $0.7 million, $13.3 million and $0.3 million for 2015, 2014 and 2013, respectively, primarily related to changes in estimates and assumptions concerning the anticipated waste flow, cost and timing of future final capping, closure and post-closure activities.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 of assets that are legally restricted for purposes of settling final capping, closure and post-closure obligations was approximately $27.3 million as of December 31, 2015 and is included in restricted cash and marketable securities in our consolidated balance sheet.</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2" w:right="239" w:bottom="1440" w:gutter="0" w:footer="0" w:header="0"/>
          <w:type w:val="continuous"/>
        </w:sectPr>
      </w:pPr>
    </w:p>
    <w:bookmarkStart w:id="88" w:name="page89"/>
    <w:bookmarkEnd w:id="88"/>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54"/>
        </w:trPr>
        <w:tc>
          <w:tcPr>
            <w:tcW w:w="1020" w:type="dxa"/>
            <w:vAlign w:val="bottom"/>
            <w:tcBorders>
              <w:top w:val="single" w:sz="8" w:color="0000EE"/>
            </w:tcBorders>
          </w:tcPr>
          <w:p>
            <w:pPr>
              <w:spacing w:after="0"/>
              <w:rPr>
                <w:sz w:val="22"/>
                <w:szCs w:val="22"/>
                <w:color w:val="auto"/>
              </w:rPr>
            </w:pPr>
          </w:p>
        </w:tc>
        <w:tc>
          <w:tcPr>
            <w:tcW w:w="900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REPUBLIC SERVICES, INC.</w:t>
            </w: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6"/>
        </w:trPr>
        <w:tc>
          <w:tcPr>
            <w:tcW w:w="1020" w:type="dxa"/>
            <w:vAlign w:val="bottom"/>
          </w:tcPr>
          <w:p>
            <w:pPr>
              <w:spacing w:after="0"/>
              <w:rPr>
                <w:sz w:val="23"/>
                <w:szCs w:val="23"/>
                <w:color w:val="auto"/>
              </w:rPr>
            </w:pPr>
          </w:p>
        </w:tc>
        <w:tc>
          <w:tcPr>
            <w:tcW w:w="9000" w:type="dxa"/>
            <w:vAlign w:val="bottom"/>
          </w:tcPr>
          <w:p>
            <w:pPr>
              <w:jc w:val="center"/>
              <w:ind w:left="29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621"/>
        </w:trPr>
        <w:tc>
          <w:tcPr>
            <w:tcW w:w="10020" w:type="dxa"/>
            <w:vAlign w:val="bottom"/>
            <w:gridSpan w:val="2"/>
          </w:tcPr>
          <w:p>
            <w:pPr>
              <w:spacing w:after="0"/>
              <w:rPr>
                <w:sz w:val="20"/>
                <w:szCs w:val="20"/>
                <w:color w:val="auto"/>
              </w:rPr>
            </w:pPr>
            <w:r>
              <w:rPr>
                <w:rFonts w:ascii="Arial" w:cs="Arial" w:eastAsia="Arial" w:hAnsi="Arial"/>
                <w:sz w:val="18"/>
                <w:szCs w:val="18"/>
                <w:color w:val="auto"/>
              </w:rPr>
              <w:t>The expected future payments for final capping, closure and post-closure as of December 31, 2015 follows: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10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2017</w:t>
            </w:r>
          </w:p>
        </w:tc>
        <w:tc>
          <w:tcPr>
            <w:tcW w:w="9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106.5</w:t>
            </w:r>
          </w:p>
        </w:tc>
      </w:tr>
      <w:tr>
        <w:trPr>
          <w:trHeight w:val="27"/>
        </w:trPr>
        <w:tc>
          <w:tcPr>
            <w:tcW w:w="10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2019</w:t>
            </w:r>
          </w:p>
        </w:tc>
        <w:tc>
          <w:tcPr>
            <w:tcW w:w="9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83.3</w:t>
            </w:r>
          </w:p>
        </w:tc>
      </w:tr>
      <w:tr>
        <w:trPr>
          <w:trHeight w:val="27"/>
        </w:trPr>
        <w:tc>
          <w:tcPr>
            <w:tcW w:w="10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r>
      <w:tr>
        <w:trPr>
          <w:trHeight w:val="243"/>
        </w:trPr>
        <w:tc>
          <w:tcPr>
            <w:tcW w:w="100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5,571.5</w:t>
            </w:r>
          </w:p>
        </w:tc>
      </w:tr>
      <w:tr>
        <w:trPr>
          <w:trHeight w:val="27"/>
        </w:trPr>
        <w:tc>
          <w:tcPr>
            <w:tcW w:w="1020" w:type="dxa"/>
            <w:vAlign w:val="bottom"/>
            <w:tcBorders>
              <w:bottom w:val="single" w:sz="8" w:color="CCEEFF"/>
            </w:tcBorders>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9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6,035.9</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estimated remaining final capping, closure and post-closure expenditures presented above are not inflated and not discounted and reflect the estimated future payments for liabilities incurred and recorded as of December 31, 2015 and for liabilities yet to be incurred over the remaining life of our landfills.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such range. It is reasonably possible that we will need to adjust the liabilities recorded for remediation to reflect the effects of new or additional information, to the extent such information impacts the costs, timing or duration of the required actions. If we used the reasonably possible high ends of our ranges, our aggregate potential remediation liability as of December 31, 2015 would be approximately $350 million higher than the amounts recorded. Future changes in our estimates of the cost, timing or duration of the required actions could have a material adverse effect on our consolidated financial position, results of operations or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environmental remediation liabilities for the years ended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liabilities, beginning of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additions charged to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expense (non-cash interest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Environmental remediation liabilities, end of year</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551.7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Long-term portion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466.6</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59"/>
        </w:trPr>
        <w:tc>
          <w:tcPr>
            <w:tcW w:w="7400" w:type="dxa"/>
            <w:vAlign w:val="bottom"/>
            <w:gridSpan w:val="2"/>
          </w:tcPr>
          <w:p>
            <w:pPr>
              <w:spacing w:after="0"/>
              <w:rPr>
                <w:sz w:val="20"/>
                <w:szCs w:val="20"/>
                <w:color w:val="auto"/>
              </w:rPr>
            </w:pPr>
            <w:r>
              <w:rPr>
                <w:rFonts w:ascii="Arial" w:cs="Arial" w:eastAsia="Arial" w:hAnsi="Arial"/>
                <w:sz w:val="18"/>
                <w:szCs w:val="18"/>
                <w:color w:val="auto"/>
                <w:w w:val="92"/>
              </w:rPr>
              <w:t>The expected undiscounted future payments for remediation costs as of December 31, 2015 follows: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7"/>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89.3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546.5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reasonably possible that we will need to adjust our liabilities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or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13"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certain of our significant remediation matters: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Bridgeton Landfill. </w:t>
      </w:r>
      <w:r>
        <w:rPr>
          <w:rFonts w:ascii="Arial" w:cs="Arial" w:eastAsia="Arial" w:hAnsi="Arial"/>
          <w:sz w:val="16"/>
          <w:szCs w:val="16"/>
          <w:color w:val="auto"/>
        </w:rPr>
        <w:t>During the year ended December 31, 2015, we paid $34.5 million related to management and monitoring of the remediation area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closed Bridgeton Landfill in Missouri. We continue to work with state and federal regulatory agencies on our remediation efforts. From time to time, this may require us to modify our future operating timeline and procedures, which could result in changes to our expected liability. As of December 31, 2015, the remediation liability recorded for this site is $217.5 million, of which $21.7 million is expected to be paid during 2016. We believe the remaining reasonably possible high end of our range would be approximately $164 million higher than the amount recorded as of December 31, 2015.</w:t>
      </w:r>
    </w:p>
    <w:p>
      <w:pPr>
        <w:spacing w:after="0" w:line="10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2015, we collected an insurance recovery of $50.0 million related to our Bridgeton Landfill. As such, we recorded a reduction of remediation expenses included in our cost of operations during the year ended December 31, 2015.</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Congress Landfill. </w:t>
      </w:r>
      <w:r>
        <w:rPr>
          <w:rFonts w:ascii="Arial" w:cs="Arial" w:eastAsia="Arial" w:hAnsi="Arial"/>
          <w:sz w:val="17"/>
          <w:szCs w:val="17"/>
          <w:color w:val="auto"/>
        </w:rPr>
        <w:t>In August 2010, Congress Development Company agreed with the State of Illinois to have a Final Consent Order (Final Order) entered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Circuit Court of Illinois, Cook County. Pursuant to the Final Order, we agreed to continue to implement certain remedial activities at the Congress Landfill. The remediation liability recorded as of December 31, 2015 is $78.5 million, of which $3.4 million is expected to be paid during 2016. We believe the remaining reasonably possible high end of our range would be approximately $16 million higher than the amount recorded as of December 31, 2015. Because favorable developments have occurred with respect to (1) the volume of leachate pumped at the site and (2) our ability to dispose of leachate in the local publicly owned treatment works, we no longer need to expand the on-site treatment facility and our expected costs have decreased from prior years. Further, the majority of the Final Order requirements have been satisfied and the site now is primarily going through routine operation for a closed landfill. Accordingly, we will omit the Congress Landfill from future reports.</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121" w:right="31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carrying value of our notes payable, capital leases and long-term debt as of December 31, 2015 and 2014 is listed in the following table, and is adjusted for the fair value of interest rate swaps, unamortized discounts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42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Interest Rate</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Principal</w:t>
            </w: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0"/>
              </w:rPr>
              <w:t>Carrying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Principal</w:t>
            </w: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0"/>
              </w:rPr>
              <w:t>Carrying Value</w:t>
            </w:r>
          </w:p>
        </w:tc>
      </w:tr>
      <w:tr>
        <w:trPr>
          <w:trHeight w:val="27"/>
        </w:trPr>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Credit facilities:</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Uncommitted Credit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420" w:type="dxa"/>
            <w:vAlign w:val="bottom"/>
            <w:gridSpan w:val="2"/>
          </w:tcPr>
          <w:p>
            <w:pPr>
              <w:ind w:left="440"/>
              <w:spacing w:after="0"/>
              <w:rPr>
                <w:sz w:val="20"/>
                <w:szCs w:val="20"/>
                <w:color w:val="auto"/>
              </w:rPr>
            </w:pPr>
            <w:r>
              <w:rPr>
                <w:rFonts w:ascii="Arial" w:cs="Arial" w:eastAsia="Arial" w:hAnsi="Arial"/>
                <w:sz w:val="18"/>
                <w:szCs w:val="18"/>
                <w:color w:val="auto"/>
              </w:rPr>
              <w:t>Facility</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Puerto Rico Uncommitted</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Facility</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Variable</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May 2017</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June 2019</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Variable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Senior notes: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May 2018</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699.9</w:t>
            </w: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September 2019</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647.5</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March 2020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849.9</w:t>
            </w: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November 2021</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600.0</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June 2022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848.2</w:t>
            </w: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May 2023</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561.5</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March 2025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March 2035</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251.8</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March 2040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649.5</w:t>
            </w: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May 2041</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596.8</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Debentures:</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May 2021</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9.250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33.7</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September 2035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Tax-exempt: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2019 - 2044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0.450 - 5.625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1,083.8</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 leases: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2018 - 2046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4.000 - 12.203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w:t>
            </w:r>
          </w:p>
        </w:tc>
      </w:tr>
      <w:tr>
        <w:trPr>
          <w:trHeight w:val="297"/>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Debt</w:t>
            </w: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7,635.8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7,574.2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7,123.9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7,061.2</w:t>
            </w:r>
          </w:p>
        </w:tc>
      </w:tr>
      <w:tr>
        <w:trPr>
          <w:trHeight w:val="257"/>
        </w:trPr>
        <w:tc>
          <w:tcPr>
            <w:tcW w:w="2420" w:type="dxa"/>
            <w:vAlign w:val="bottom"/>
            <w:tcBorders>
              <w:bottom w:val="single" w:sz="8" w:color="CCEEFF"/>
            </w:tcBorders>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Less: current portion</w:t>
            </w: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7"/>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Long-term portion</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7,568.7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7,050.8</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During 2014, we refinanced our credit facilities and certain of our tax-exempt financings, resulting in non-cash charges for deferred issuance costs of $1.4 million. During 2013, we refinanced certain of our tax-exempt financings that resulted in a $2.1 million non-cash charge for deferred issuance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June 2014, we entered into a $1.25 billion unsecured revolving credit facility (the Replacement Credit Facility), which replaced our $1.0 billion credit facility maturing in April 2016. The Replacement Credit Facility matures in June 2019 and includes a feature that allows us to increase availability, at our option, by an aggregate amount up to $500.0 million through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increased commitments from existing lenders or the addition of new lenders. At our option, borrowings under the Replacement Credit Facility bear interest at a Base Rate, or a Eurodollar Rate, plus an applicable margin based on our Debt Ratings (all as defined in the agreements).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Contemporaneous with the execution of the Replacement Credit Facility, we entered into Amendment No. 3 to our existing $1.25 billion unsecured credit facility (the Existing Credit Facility and, together with the Replacement Credit Facility, the Credit Facilities), to reduce the commitments under the Existing Credit Facility to $1.0 billion and conform certain terms of the Existing Credit Facility with those of the Replacement Credit Facility. Amendment No. 3 does not extend the maturity date of the Existing Credit Facility, which matures in May 2017. The Existing Credit Facility also maintains the feature that allows us to increase availability, at our option, by an aggregate amount of up to $500.0 million through increased commitments from existing lenders or the addition of new lenders.</w:t>
      </w:r>
    </w:p>
    <w:p>
      <w:pPr>
        <w:spacing w:after="0" w:line="13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Credit Facilities are subject to facility fees based on applicable rates defined in the agreements and the aggregate commitments, regardless of usage. Availability under our Credit Facilities totaled $1,727.7 million and $1,615.4 million as of December 31, 2015 and 2014, respectively, and can be used for working capital, capital expenditures, acquisitions, letters of credit and other general corporate purposes. The credit agreements require us to comply with financial and other covenants. We may pay dividends and repurchase common stock if we are in compliance with these covenants. As of December 31, 2015 and 2014, we had no borrowings under our Credit Facilities. We had $503.3 million and $615.1 million of letters of credit outstanding under our Credit Facilities, as of December 31, 2015 and 2014, respectively.</w:t>
      </w:r>
    </w:p>
    <w:p>
      <w:pPr>
        <w:spacing w:after="0" w:line="139"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We also have a $125.0 million unsecured credit facility agreement (the Uncommitted Credit Facility) bearing interest at LIBOR plus an applicable margin. Our Uncommitted Credit Facility is subject to facility fees defined in the agreement, regardless of usage. We can use borrowings under the Uncommitted Credit Facility for working capital and other general corporate purposes. The agreements governing our Uncommitted Credit Facility require us to comply with covenants. The Uncommitted Credit Facility may be terminated by either party at any time. As of December 31, 2015, we had $19.0 million of borrowings under our Uncommitted Credit Facility. We had no borrowings under our Uncommitted Credit Facility as of December 31, 2014.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January 2015, we entered into a $20.0 million uncommitted credit facility agreement (the Puerto Rico Facility) that matured in January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Debentures</w:t>
      </w:r>
    </w:p>
    <w:p>
      <w:pPr>
        <w:spacing w:after="0" w:line="94"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During 2015, we issued $500.0 million of 3.20% notes due 2025 (the 3.20% Notes). The 3.20% Notes are unsubordinated and unsecured obligations. We used the net proceeds from the 3.20% Notes to refinance debt incurred in connection with our acquisition of all of the equity interests of Tervita during 2015.</w:t>
      </w:r>
    </w:p>
    <w:p>
      <w:pPr>
        <w:spacing w:after="0" w:line="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senior notes are general senior unsecured obligations. Interest is payable semi-annually. These senior notes have a make-whole provision that is exercisable at any time prior to the respective maturity dates per the debt table above at a stated redemption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Financings</w:t>
      </w:r>
    </w:p>
    <w:p>
      <w:pPr>
        <w:spacing w:after="0" w:line="9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of December 31, 2015 and 2014, we had $1,079.1 million and $1,083.8 million, respectively, of fixed and variable rate tax-exempt financings outstanding with maturities ranging from 2019 to 2044. Approximately 90% of our tax-exempt financings are remarketed quarterly by remarketing agents to effectively maintain a variable yield. The holders of the bonds can put them back to the remarketing agents at the end of each interest period. To date, the remarketing agents have been able to remarket our variable rate unsecured tax-exempt bonds. These bonds have been classified as long-term because of our ability and intent to refinance them using availability under our Credit Facilities, if necessary.</w:t>
      </w:r>
    </w:p>
    <w:p>
      <w:pPr>
        <w:spacing w:after="0" w:line="11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December 31, 2015, we had $100.3 million of restricted cash and marketable securities, of which $2.1 million represented proceeds from the issuance of tax-exempt bonds and other tax-exempt financings and will be used to fund capital expenditures under the terms of the agreements. Restricted cash and marketable securities also include amounts held in trust as a financial guarantee of our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had capital lease liabilities of $111.5 million and $113.8 million as of December 31, 2015 and 2014, respectively, with maturities ranging from 2018 to 2046.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54"/>
        </w:trPr>
        <w:tc>
          <w:tcPr>
            <w:tcW w:w="1020" w:type="dxa"/>
            <w:vAlign w:val="bottom"/>
            <w:tcBorders>
              <w:top w:val="single" w:sz="8" w:color="0000EE"/>
            </w:tcBorders>
          </w:tcPr>
          <w:p>
            <w:pPr>
              <w:spacing w:after="0"/>
              <w:rPr>
                <w:sz w:val="22"/>
                <w:szCs w:val="22"/>
                <w:color w:val="auto"/>
              </w:rPr>
            </w:pPr>
          </w:p>
        </w:tc>
        <w:tc>
          <w:tcPr>
            <w:tcW w:w="904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REPUBLIC SERVICES, INC.</w:t>
            </w: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6"/>
        </w:trPr>
        <w:tc>
          <w:tcPr>
            <w:tcW w:w="1020" w:type="dxa"/>
            <w:vAlign w:val="bottom"/>
          </w:tcPr>
          <w:p>
            <w:pPr>
              <w:spacing w:after="0"/>
              <w:rPr>
                <w:sz w:val="23"/>
                <w:szCs w:val="23"/>
                <w:color w:val="auto"/>
              </w:rPr>
            </w:pPr>
          </w:p>
        </w:tc>
        <w:tc>
          <w:tcPr>
            <w:tcW w:w="904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675"/>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Future Maturities of Debt</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10060" w:type="dxa"/>
            <w:vAlign w:val="bottom"/>
            <w:gridSpan w:val="2"/>
          </w:tcPr>
          <w:p>
            <w:pPr>
              <w:spacing w:after="0"/>
              <w:rPr>
                <w:sz w:val="20"/>
                <w:szCs w:val="20"/>
                <w:color w:val="auto"/>
              </w:rPr>
            </w:pPr>
            <w:r>
              <w:rPr>
                <w:rFonts w:ascii="Arial" w:cs="Arial" w:eastAsia="Arial" w:hAnsi="Arial"/>
                <w:sz w:val="18"/>
                <w:szCs w:val="18"/>
                <w:color w:val="auto"/>
              </w:rPr>
              <w:t>Aggregate principal maturities of notes payable, capital leases and other long-term debt as of December 31, 2015 follow:</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10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2017</w:t>
            </w:r>
          </w:p>
        </w:tc>
        <w:tc>
          <w:tcPr>
            <w:tcW w:w="9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10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2019</w:t>
            </w:r>
          </w:p>
        </w:tc>
        <w:tc>
          <w:tcPr>
            <w:tcW w:w="9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689.8</w:t>
            </w:r>
          </w:p>
        </w:tc>
      </w:tr>
      <w:tr>
        <w:trPr>
          <w:trHeight w:val="27"/>
        </w:trPr>
        <w:tc>
          <w:tcPr>
            <w:tcW w:w="10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5,304.5</w:t>
            </w:r>
          </w:p>
        </w:tc>
      </w:tr>
      <w:tr>
        <w:trPr>
          <w:trHeight w:val="27"/>
        </w:trPr>
        <w:tc>
          <w:tcPr>
            <w:tcW w:w="1020" w:type="dxa"/>
            <w:vAlign w:val="bottom"/>
            <w:tcBorders>
              <w:bottom w:val="single" w:sz="8" w:color="CCEEFF"/>
            </w:tcBorders>
          </w:tcPr>
          <w:p>
            <w:pPr>
              <w:spacing w:after="0"/>
              <w:rPr>
                <w:sz w:val="2"/>
                <w:szCs w:val="2"/>
                <w:color w:val="auto"/>
              </w:rPr>
            </w:pPr>
          </w:p>
        </w:tc>
        <w:tc>
          <w:tcPr>
            <w:tcW w:w="9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9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7,635.8</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Interest Paid</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paid was $327.6 million, $320.2 million and $324.0 million for the years ended December 31, 2015, 2014 and 2013, respectively. The components of interest expense follow: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debt and capital lease obligations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debt discounts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remediation liabilities and other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capitalized interest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364.9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and Lock Agreements</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ability to obtain financing through the capital markets is a key component of our financial strategy. Historically, we have managed risk associated with executing this strategy, particularly as it relates to fluctuations in interest rates, by using a combination of fixed and floating rate debt. From time to time, we also have entered into interest rate swap and lock agreements to manage risks associated with interest rates, either to effectively convert specific fixed rate debt to a floating rate (fair value hedges), or to lock interest rates in anticipation of future debt issuances (cash flow hedges).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7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During the second half of 2013, we entered into various interest rate swap agreements relative to our 4.750% fixed rate senior notes due in May 2023. The goal was to reduce overall borrowing costs and rebalance our debt portfolio's ratio of fixed to floating interest rates. As of December 31, 2015, these swap agreements have a total notional value of $300.0 million and mature in May 2023, which is identical to the maturity of the hedged senior notes. We pay interest at floating rates based on changes in LIBOR and receive interest at a fixed rate of 4.750%. These transactions were designated as fair value hedges because the swaps hedge against the changes in fair value of the fixed rate senior notes resulting from changes in interest rates.</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2015 and 2014, the interest rate swap agreements are reflected at their fair value of $16.5 million and $14.1 million, respectively, and are included in other assets in our consolidated balance sheets. To the extent they are effective, these interest rate swap agreements are included as an adjustment to long-term debt in our consolidated balance sheets. We recognized net interest income of $7.5 million, $7.7 million and $2.0 million, respectively, during 2015, 2014 and 2013 related to net swap settlements for these interest rate swap agreements, which is included as an offset to interest expense in our consolidated statements of income.</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years ended December 31, 2015, 2014 and 2013, we recognized a loss (gain) of $0.8 million, $12.6 million and $(4.5) million, respectively, on the change in fair value of the hedged senior notes attributable to changes in the benchmark interest rate, with an offsetting gain (loss) of $2.3 million, $14.1 million and $(4.4) million, respectively, on the related interest rate swaps. The difference of these fair value changes represents hedge ineffectiveness, which is recorded directly in earnings as other income, net.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2015, we entered into a number of interest rate lock agreements having an aggregate notional amount of $200.0 million with fixed interest rates ranging from 2.155% to 2.270% to manage exposure to fluctuations in interest rates in anticipation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14"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planned issuance of the 3.20% Notes. Upon issuance of the 3.20% Notes, we terminated the interest rate locks and received $1.2 million from the counterparties. This transaction was accounted for as a cash flow hedge.</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December 31, 2015 and 2014, no interest rate lock cash flow hedges were outstanding. The effective portion of the interest rate locks, recorded as a component of accumulated other comprehensive loss, net of tax, was $19.4 million and $21.6 million as of December 31, 2015 and 2014, respectively. The effective portion of the interest rate locks is amortized as an adjustment to interest expense over the life of the issued debt using the effective interest method. We expect to amortize $2.8 million of net expense over the next twelve months as a yield adjustment of our senior notes.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effective portion of the interest rate locks amortized as a net increase to interest expense during the years ended December 31, 2015, 2014 and 2013 was $2.5 million, $2.7 million and $2.7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for the years ended December 31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Federal</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337.6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289.6</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State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Federal</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deferred benefit - change in valuation allowance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Uncertain tax positions and interest, and other</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445.5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 statutory federal income tax rate to our effective tax rate for the years ended December 31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ind w:left="7420"/>
              <w:spacing w:after="0"/>
              <w:rPr>
                <w:sz w:val="20"/>
                <w:szCs w:val="20"/>
                <w:color w:val="auto"/>
              </w:rPr>
            </w:pPr>
            <w:r>
              <w:rPr>
                <w:rFonts w:ascii="Arial" w:cs="Arial" w:eastAsia="Arial" w:hAnsi="Arial"/>
                <w:sz w:val="18"/>
                <w:szCs w:val="18"/>
                <w:color w:val="auto"/>
                <w:w w:val="84"/>
              </w:rPr>
              <w:t>2015</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2013</w:t>
            </w: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(0.9)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Non-deductible expenses</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Uncertain tax position taxes and interest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37.3 %</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38.1 %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2015 effective tax rate was favorably impacted by $17.4 million due to the resolution of outstanding tax matters in various states and Puerto Rico.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Our 2014 effective tax rate was favorably impacted by $5.1 million due to the realization of tax credits and lower state rates due to changes in estimates.</w:t>
      </w:r>
    </w:p>
    <w:p>
      <w:pPr>
        <w:spacing w:after="0" w:line="1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2013 effective tax rate was favorably impacted by approximately $42 million for adjustments to our valuation allowance, primarily due to the determination that it was more likely than not the Company would be able to realize certain state loss carryforwards. In addition, our 2013 effective tax rate was favorably impacted by approximately $14 million due to a settlement for tax years 2009 to 2010 with the Internal Revenue Service appeals division and the Joint Committee of Taxation. Lastly, our 2013 effective tax rate was favorably impacted by the realization of tax credits and lower state rates due to changes in estimates of $9.6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w w:val="96"/>
              </w:rPr>
              <w:t>The components of the net deferred income tax asset and liability as of December 31 follow:</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relating to:</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Differences between book and tax basis of property</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(1,050.9)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Difference between book and tax basis of 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Basis difference due to redemption of partnership interests</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Deferred tax assets relating to:</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Environmental reserves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Accruals not currently deductible</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operating loss carryforwards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Difference between book and tax basis of other assets</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Deferred taxes on uncertain tax positions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Valuation allowance</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deferred tax asset</w:t>
            </w:r>
          </w:p>
        </w:tc>
        <w:tc>
          <w:tcPr>
            <w:tcW w:w="9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(990.9)</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w w:val="98"/>
              </w:rPr>
              <w:t>Changes in the deferred tax valuation allowance for the years ended December 31 follow:</w:t>
            </w: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0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beginning of year</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charged to income</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realized or written-off</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end of year</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deferred tax assets related to state net operating loss carryforwards. We provide a partial valuation allowance due to uncertainty surrounding the future utilization of these carryforwards in the taxing jurisdictions where the loss carryforwards exist. When determining the need for a valuation allowance, we consider all positive and negative evidence, including recent</w:t>
      </w:r>
    </w:p>
    <w:p>
      <w:pPr>
        <w:spacing w:after="0"/>
        <w:rPr>
          <w:sz w:val="20"/>
          <w:szCs w:val="20"/>
          <w:color w:val="auto"/>
        </w:rPr>
      </w:pPr>
      <w:r>
        <w:rPr>
          <w:rFonts w:ascii="Arial" w:cs="Arial" w:eastAsia="Arial" w:hAnsi="Arial"/>
          <w:sz w:val="18"/>
          <w:szCs w:val="18"/>
          <w:color w:val="auto"/>
        </w:rPr>
        <w:t>financial results, scheduled reversals of deferred tax liabilities, projected future taxable income and tax planning strategies. The</w:t>
      </w:r>
    </w:p>
    <w:p>
      <w:pPr>
        <w:spacing w:after="0" w:line="9" w:lineRule="exact"/>
        <w:rPr>
          <w:sz w:val="20"/>
          <w:szCs w:val="20"/>
          <w:color w:val="auto"/>
        </w:rPr>
      </w:pPr>
    </w:p>
    <w:p>
      <w:pPr>
        <w:ind w:right="600"/>
        <w:spacing w:after="0" w:line="290" w:lineRule="auto"/>
        <w:rPr>
          <w:sz w:val="20"/>
          <w:szCs w:val="20"/>
          <w:color w:val="auto"/>
        </w:rPr>
      </w:pPr>
      <w:r>
        <w:rPr>
          <w:rFonts w:ascii="Arial" w:cs="Arial" w:eastAsia="Arial" w:hAnsi="Arial"/>
          <w:sz w:val="17"/>
          <w:szCs w:val="17"/>
          <w:color w:val="auto"/>
        </w:rPr>
        <w:t>weight given to the positive and negative evidence is commensurate with the extent such evidence can be objectively verified. We adjust the valuation allowance in the period management determines it is more likely than not that deferred tax assets will or will not be realized.</w:t>
      </w:r>
    </w:p>
    <w:p>
      <w:pPr>
        <w:spacing w:after="0" w:line="10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2015, we completed a tax restructuring between two of our subsidiaries that possess the majority of our state loss carryforwards. This resulted in a reduction to the valuation allowance of $10.2 million. This reduction was offset by a corresponding decrease to our deferred tax asset related to those same state loss carryforwards.</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year ended December 31, 2013, we determined that it is more likely than not that we would realize a portion of our deferred tax asset related to certain state loss carryforwards. Most of these loss carryforwards were attributable to a specific subsidiary for which we had historically provided a valuation allowance due to uncertainty surrounding the future utilization of these carryforwards in the taxing jurisdictions where the loss carryforwards existed. Evaluating both positive and negative evidence, and most notably, the exit by the specific subsidiary from a cumulative loss position, we determined it was more likely than not that a portion of these loss carryforwards would be realized. This resulted in a reduction to our valuation allowance of approximately $44 million for the year ended December 31, 2013.</w:t>
      </w:r>
    </w:p>
    <w:p>
      <w:pPr>
        <w:spacing w:after="0" w:line="13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Substantially all of our valuation allowance is associated with state loss carryforwards. The realization of our deferred tax asset for state loss carryforwards ultimately depends upon the existence of sufficient taxable income in the appropriate state taxing jurisdictions in future periods. We continue to regularly monitor both positive and negative evidence in determining the ongoing need for a valuation allowance.</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deferred tax assets related to state net operating loss carryforwards with an estimated tax effect of $100.9 million available as of December 31, 2015. These state net operating loss carryforwards expire at various times between 2016 and 2035. We believe that it is more likely than not that the benefit from some of our state net operating loss carryforwards will not be realized due to limitations on these loss carryforwards in certain states. In recognition of this risk, as of December 31, 2015, we have provided a valuation allowance of $61.0 million. Also as of December 31, 2015, we have provided a valuation allowance of $2.7 million for certain other deferred tax assets.</w:t>
      </w:r>
    </w:p>
    <w:p>
      <w:pPr>
        <w:spacing w:after="0" w:line="13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Deferred income taxes have not been provided on the undistributed earnings of our Puerto Rican subsidiaries of approximately $49 million as of December 31, 2015 as such earnings are considered to be permanently reinvested. This amount would become taxable upon a repatriation of assets or a sale or liquidation of the subsidiaries. If such an event were to occur, we would incur approximately $17 million of federal income taxes.</w:t>
      </w:r>
    </w:p>
    <w:p>
      <w:pPr>
        <w:spacing w:after="0" w:line="11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We made income tax payments (net of refunds received) of approximately $321 million, $382 million and $288 million for 2015, 2014 and 2013, respectively.</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taxes paid in 2015 reflect the favorable tax depreciation provisions of the Protecting Americans from Tax Hikes Act signed into law in December 2015. This legislation extends bonus depreciation for property placed in service through 2019. Bonus depreciation for assets placed in service in 2015 to 2017 is 50% and later decreases to 40% in 2018 and 30% in 2019.</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Income taxes paid in 2014 reflect the favorable tax depreciation provisions of the Tax Increase Protection Act of 2014, signed into law in December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legislation extended 50% bonus depreciation for property placed in service during 2014.</w:t>
      </w:r>
    </w:p>
    <w:p>
      <w:pPr>
        <w:spacing w:after="0" w:line="1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Income taxes paid in 2013 reflect the favorable tax depreciation provisions of the American Tax Relief Act of 2012 signed into law in January 2013. This legislation extended 50% bonus depreciation for property placed in service during 2013.</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subject to income tax in the United States and Puerto Rico, as well as income tax in multiple state jurisdictions. Our compliance with income tax rules and regulations is periodically audited by tax authorities. These authorities may challenge the positions taken in our tax filings. Thus, to provide for certain potential tax exposures, we maintain liabilities for uncertain tax positions for our estimate of the final outcome of the examinations. Our federal statute of limitations is closed for all years prior to 2012. We are currently under state examination or administrative review in various jurisdictions for tax years 2003 to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gross unrecognized tax benefits for the years ended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current year</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9"/>
              </w:rPr>
              <w:t>(10.2)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resulting from lapse of statute of limitations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9"/>
              </w:rPr>
              <w:t>(13.9)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70.1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2015, we settled tax matters in various states and Puerto Rico which reduced our gross unrecognized tax benefits by $13.9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2014, we settled tax matters in various jurisdictions and reduced our gross unrecognized tax benefits by $1.5 million.</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2013, we settled with the IRS appeals division and the Joint Committee on Taxation our 2009 and 2010 tax years. The resolution of these tax periods in addition to various state tax resolutions during the year reduced our gross unrecognized tax benefits by $20.7 million.</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Included in our gross unrecognized tax benefits as of December 31, 2015 and 2014 are $30.5 million and $45.6 million of unrecognized tax benefits (net of the federal benefit on state matters) that, if recognized, would affect our effective income tax rate in future periods.</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recognize interest and penalties as incurred within the provision for income taxes in our consolidated statements of income. Related to the unrecognized tax benefits previously noted, we recorded interest expense of approximately $1.2 million during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2015 and, in total as of December 31, 2015, have recognized a liability for penalties of $0.5 million and interest of $10.3 million.</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2014, we accrued interest of approximately $1.5 million and, in total as of December 31, 2014, had recognized a liability for penalties of $0.5 million and interest of $18.7 million. During 2013, we accrued interest of approximately $1.2 million and, in total as of December 31, 2013, had recognized a liability for penalties of $0.5 million and interest of $17.0 million.</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Gross unrecognized benefits that we expect to settle in the following twelve months are in the range of $0 to $10 million; however, it is reasonably possible that the amount of unrecognized tax benefits may either increase or decrease 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under examination or administrative review by state and local taxing authorities for various tax years. These state audits are ongoing.</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the recorded liabilities for uncertain tax positions are adequate. However, a significant assessment against us in excess of the liabilities recorded could have a material adverse effect on our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February 2007, our board of directors approved the 2007 Stock Incentive Plan (2007 Plan), and in May 2007 our shareholders ratified the 2007 Plan. In March 2011, our board of directors approved the Amended and Restated 2007 Stock Incentive Plan, and in May 2011 our shareholders ratified the Amended and Restated 2007 Stock Incentive Plan. In March 2013, our board of directors approved the Republic Services, Inc. Amended and Restated 2007 Stock Incentive Plan (the Amended and Restated Plan), and in May 2013 our shareholders ratified the Amended and Restated Plan. We currently have approximately 15.6 million shares of common stock reserved for future grants under the Amended and Restated Plan.</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Options granted under the 2007 Plan and the Amended and Restated Plan are non-qualified and are granted at a price equal to the fair market value of our common stock at the date of grant. Generally, options granted have a term of seven to ten years from the date of grant, and vest in increments of 25% per year over a period of four years beginning on the first anniversary date of the grant. Options granted to non-employee directors have a term of ten years and are fully vested at the grant date.</w:t>
      </w:r>
    </w:p>
    <w:p>
      <w:pPr>
        <w:spacing w:after="0" w:line="13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December 2008, the board of directors amended and restated the Republic Services, Inc. 2006 Incentive Stock Plan (formerly known as the Allied Waste Industries, Inc. 2006 Incentive Stock Plan) (the 2006 Plan). Allied’s shareholders approved the 2006 Plan in May 2006. The 2006 Plan was amended and restated in December 2008 to reflect Republic as the new sponsor of the Plan, to reflect that any references to shares of common stock are to shares of common stock of Republic, and to adjust outstanding awards and the number of shares available under the Plan to reflect the Allied acquisition. The 2006 Plan, as amended and restated, provided for the grant of non-qualified stock options, incentive stock options, shares of restricted stock, shares of phantom stock, stock bonuses, restricted stock units, stock appreciation rights, performance awards, dividend equivalents, cash awards, or other stock-based awards. Awards granted under the 2006 Plan prior to December 5, 2008 became fully vested and nonforfeitable upon the closing of the Allied acquisition. No further awards will be made under the 2006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use a lattice binomial option-pricing model to value our stock option grants. We recognize compensation expense on a straight-line basis over the requisite service period for each separately vesting portion of the award, or to the employee’s retirement eligible date, if earlier. Expected volatility is based on the weighted average of the most recent one year volatility and a historical rolling average volatility of our stock over the expected life of the option. The risk-free interest rate is based on Federal Reserve rates in effect for bonds with maturity dates equal to the expected term of the option. We use historical data to estimate future option exercises, forfeitures (at 3.0% for 2014 and 2013) and expected life of the options. When appropriate, separate groups of employees that have similar historical exercise behavior are considered separately for valuation purposes. We did not grant stock options during the year ended December 31, 2015. The weighted-average estimated fair values of stock options granted during the years ended December 31, 2014 and 2013 were $5.74 and $5.27 per option, respectively, which were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w w:val="94"/>
              </w:rPr>
              <w:t>calculated using the following weighted-average assumptions: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45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life (in years)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78"/>
        </w:trPr>
        <w:tc>
          <w:tcPr>
            <w:tcW w:w="8120" w:type="dxa"/>
            <w:vAlign w:val="bottom"/>
            <w:gridSpan w:val="6"/>
          </w:tcPr>
          <w:p>
            <w:pPr>
              <w:spacing w:after="0"/>
              <w:rPr>
                <w:sz w:val="20"/>
                <w:szCs w:val="20"/>
                <w:color w:val="auto"/>
              </w:rPr>
            </w:pPr>
            <w:r>
              <w:rPr>
                <w:rFonts w:ascii="Arial" w:cs="Arial" w:eastAsia="Arial" w:hAnsi="Arial"/>
                <w:sz w:val="18"/>
                <w:szCs w:val="18"/>
                <w:color w:val="auto"/>
                <w:w w:val="92"/>
              </w:rPr>
              <w:t>The following table summarizes stock option activity for the years ended December 31, 2015, 2014 and 2013:</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4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Weighted Average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 Average</w:t>
            </w:r>
          </w:p>
        </w:tc>
        <w:tc>
          <w:tcPr>
            <w:tcW w:w="320" w:type="dxa"/>
            <w:vAlign w:val="bottom"/>
          </w:tcPr>
          <w:p>
            <w:pPr>
              <w:spacing w:after="0"/>
              <w:rPr>
                <w:sz w:val="18"/>
                <w:szCs w:val="18"/>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Remaining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186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Contractual Term</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millions)</w:t>
            </w:r>
          </w:p>
        </w:tc>
        <w:tc>
          <w:tcPr>
            <w:tcW w:w="18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 per Share</w:t>
            </w:r>
          </w:p>
        </w:tc>
        <w:tc>
          <w:tcPr>
            <w:tcW w:w="320" w:type="dxa"/>
            <w:vAlign w:val="bottom"/>
          </w:tcPr>
          <w:p>
            <w:pPr>
              <w:spacing w:after="0"/>
              <w:rPr>
                <w:sz w:val="20"/>
                <w:szCs w:val="20"/>
                <w:color w:val="auto"/>
              </w:rPr>
            </w:pPr>
          </w:p>
        </w:tc>
        <w:tc>
          <w:tcPr>
            <w:tcW w:w="154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(years)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2012</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Forfeited or expired</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30.02</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2013</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Forfeited or expired</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31.02</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2014</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Forfeited or expired</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30.39</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2015</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as of December 31, 2015</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years ended December 31, 2015, 2014 and 2013, compensation expense for stock options was $2.5 million, $6.3 million and $12.9 million, respectively.</w:t>
      </w:r>
    </w:p>
    <w:p>
      <w:pPr>
        <w:spacing w:after="0" w:line="13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December 31, 2015, total unrecognized compensation expense related to outstanding stock options was $1.2 million, which will be recognized over a weighted average period of 1.1 years. The total fair value of stock options that vested in 2015, 2014 and 2013 was $9.0 million, $12.5 million and $10.8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classified excess tax benefits of $8.5 million, $4.3 million and $3.8 million as cash flows from financing activities for 2015, 2014 and 2013,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other tax benefits related to stock options have been presented as a component of cash flows from operating activities.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(RSU) activity for the years ended December 31, 2015, 2014 and 2013:</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w w:val="91"/>
              </w:rPr>
              <w:t>Weighted-Average</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RSUs</w:t>
            </w:r>
          </w:p>
        </w:tc>
        <w:tc>
          <w:tcPr>
            <w:tcW w:w="14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Grant Date Fair</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Contractual Term</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w w:val="96"/>
              </w:rPr>
              <w:t>Value per Share</w:t>
            </w: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Unissued as of December 31, 2012</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Unissued as of December 31, 2013</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784.9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Unissued as of December 31, 2014</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Unissued as of December 31, 2015</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unissued as of December 31, 2015</w:t>
            </w: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561.5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2015, we awarded our non-employee directors 75,000 RSUs, which vested immediately. During 2015, we awarded 599,356 RSUs to executives and employees that vest in four equal annual installments beginning on the anniversary date of the original grant or cliff vest after four years. In addition, 48,163 RSUs were earned as dividend equivalents. The RSUs do not carry any voting or dividend rights, except the right to receive additional RSUs in lieu of dividends.</w:t>
      </w:r>
    </w:p>
    <w:p>
      <w:pPr>
        <w:spacing w:after="0" w:line="13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2014, we awarded our non-employee directors 86,425 RSUs, which vested immediately. During 2014, we awarded 657,476 RSUs to executives and employees that vest in four equal annual installments beginning on the anniversary date of the original grant or cliff vest after four years. In addition, 41,032 RSUs were earned as dividend equivalents.</w:t>
      </w:r>
    </w:p>
    <w:p>
      <w:pPr>
        <w:spacing w:after="0" w:line="12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During 2013, we awarded our non-employee directors 72,842 RSUs, which vested immediately. During 2013, we awarded 258,944 RSUs to executives that vest in four equal annual installments beginning on the anniversary date of the original grant. In addition, 30,009 RSUs were earned as dividend equivalents.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RSUs is based on the closing market price on the date of the grant. The compensation expense related to RSUs is amortized ratably over the vesting period, or to the employee's retirement eligible date, if earlier.</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2015, 2014 and 2013, compensation expense related to RSUs totaled $15.6 million, $11.1 million and $6.3 million, respectively. As of December 31, 2015, total unrecognized compensation expense related to outstanding RSUs was $28.9 million, which will be recognized over a weighted average period of 2.7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year ended December 31, 2015, we awarded 140,443 performance shares (PSUs) to our named executive officers. These awards are performance-based as the number of shares ultimately earned depends on performance against pre-determined targets for return on invested capital (ROIC) and cash flow value creation (CFVC), as well as total shareholder return relative to the S&amp;P 500 index (RTSR). The PSUs are payable 50% in shares of common stock and 50% in cash after the end of a three-year performance period, when the Company's financial performance for the entire performance period is reported, typically in February of the succeeding year. At the end of the performance period, the number of PSUs awarded can range from 0% to 150% of the targeted amount, depending on the performance against the pre-determined targets.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The following table summarizes PSU activity for the year ended December 31, 2015:</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26"/>
        </w:trPr>
        <w:tc>
          <w:tcPr>
            <w:tcW w:w="754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w w:val="93"/>
              </w:rPr>
              <w:t>Weighted Average</w:t>
            </w:r>
          </w:p>
        </w:tc>
      </w:tr>
      <w:tr>
        <w:trPr>
          <w:trHeight w:val="216"/>
        </w:trPr>
        <w:tc>
          <w:tcPr>
            <w:tcW w:w="754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PSUs</w:t>
            </w:r>
          </w:p>
        </w:tc>
        <w:tc>
          <w:tcPr>
            <w:tcW w:w="18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Grant Date Fair</w:t>
            </w:r>
          </w:p>
        </w:tc>
      </w:tr>
      <w:tr>
        <w:trPr>
          <w:trHeight w:val="230"/>
        </w:trPr>
        <w:tc>
          <w:tcPr>
            <w:tcW w:w="754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20"/>
                <w:szCs w:val="20"/>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color w:val="auto"/>
                <w:w w:val="98"/>
              </w:rPr>
              <w:t>Value per Share</w:t>
            </w:r>
          </w:p>
        </w:tc>
      </w:tr>
      <w:tr>
        <w:trPr>
          <w:trHeight w:val="27"/>
        </w:trPr>
        <w:tc>
          <w:tcPr>
            <w:tcW w:w="75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2014</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38.69</w:t>
            </w:r>
          </w:p>
        </w:tc>
      </w:tr>
      <w:tr>
        <w:trPr>
          <w:trHeight w:val="27"/>
        </w:trPr>
        <w:tc>
          <w:tcPr>
            <w:tcW w:w="7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2015</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2015, 2,946 PSUs accumulated as dividend equivalents. The PSUs do not carry any voting or dividend rights, except the right to accumulate additional PSUs in lieu of dividends.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the stock-settled portion of the award that vests based on future ROIC and CFVC performance, compensation expense is measured using the fair value of our common stock at the grant date. For the cash-settled portion of the award that vests based on future ROIC and CFVC performance, compensation expense is recorded based on the fair value of our common stock at the end of each reporting period. Compensation expense is recognized ratably over the performance period based on our estimated achievement of the established performance criteria. Compensation expense is only recognized for the portion of the award that we expect to vest, which we estimate based on an assessment of the probability that the performance criteria will be achieved.</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stock-settled portion of the award that vests based on RTSR, the grant date fair value is based on a Monte Carlo valuation and compensation expense is recognized on a straight-line basis over the vesting period. For the cash-settled portion of the award that vests based on RTSR, compensation expense also incorporates the fair value of our PSUs at the end of each reporting period. Compensation expense is recognized for RTSR portion of the award whether or not the market conditions are achieved.</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2015, compensation expense related to PSUs totaled $1.8 million. As of December 31, 2015, total unrecognized compensation expense related to outstanding PSUs was $3.7 million, which will be recognized over a weighted average period of 2.1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currently have one qualified defined benefit pension plan, the BFI Retirement Plan (the Plan). The Plan covers certain employees in the United States, including some employees subject to collective bargaining agreements.</w:t>
      </w:r>
    </w:p>
    <w:p>
      <w:pPr>
        <w:spacing w:after="0" w:line="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Plan benefits are frozen. Interest credits continue to be earned by participants in the Plan, and participants whose collective bargaining agreements provide for additional benefit accruals under the Plan continue to receive those credits in accordance with the terms of their bargaining agreements. The Plan was converted from a traditional defined benefit plan to a cash balance plan in 1993.</w:t>
      </w:r>
    </w:p>
    <w:p>
      <w:pPr>
        <w:spacing w:after="0" w:line="12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Prior to the conversion to the cash balance design, benefits payable as a single life annuity under the Plan were based on the participant’s highest five years of earnings out of the last ten years of service. Upon conversion to the cash balance plan, the existing accrued benefits were converted to a lump-sum value using the actuarial assumptions in effect at the time. Participants’ cash balance accounts are increased until retirement by certain benefit and interest credits under the terms of their bargaining agreements. Participants may elect early retirement with the attainment of age 55 and completion of ten years of credited service at reduced benefits. Participants with 35 years of service may retire at age 62 without any reduction in benefits.</w:t>
      </w:r>
    </w:p>
    <w:p>
      <w:pPr>
        <w:spacing w:after="0" w:line="10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Our pension contributions are made in accordance with funding standards established by the Employee Retirement Income Security Act of 1974 and the Internal Revenue Code, as amended by the Pension Protection Act enacted in 2006 (the PPA). No contributions were made in 2015 or 2014.</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must separately recognize the overfunded or underfunded status of the Plan as an asset or liability. The funded status represents the difference between the projected benefit obligation (PBO) and the fair value of the Plan assets. The PBO is the present value of benefits earned to date by Plan participants, including the effect of assumed future salary increases, if any.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PBO is equal to the accumulated benefit obligation (ABO) as the present value of these liabilities is not affected by assumed future salary increases. We use a measurement date that coincides with our year end of December 31.</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ABO and reconciliations of the changes in the PBO, the Plan assets and the accounting funded status of our defined benefit pension plan for the years ended December 31:</w:t>
      </w:r>
    </w:p>
    <w:p>
      <w:pPr>
        <w:spacing w:after="0" w:line="279" w:lineRule="exact"/>
        <w:rPr>
          <w:sz w:val="20"/>
          <w:szCs w:val="20"/>
          <w:color w:val="auto"/>
        </w:rPr>
      </w:pPr>
    </w:p>
    <w:p>
      <w:pPr>
        <w:jc w:val="center"/>
        <w:ind w:left="8440"/>
        <w:spacing w:after="0"/>
        <w:rPr>
          <w:sz w:val="20"/>
          <w:szCs w:val="20"/>
          <w:color w:val="auto"/>
        </w:rPr>
      </w:pPr>
      <w:r>
        <w:rPr>
          <w:rFonts w:ascii="Arial" w:cs="Arial" w:eastAsia="Arial" w:hAnsi="Arial"/>
          <w:sz w:val="18"/>
          <w:szCs w:val="18"/>
          <w:color w:val="auto"/>
        </w:rPr>
        <w:t>Defined Benefit</w:t>
      </w:r>
    </w:p>
    <w:p>
      <w:pPr>
        <w:spacing w:after="0" w:line="23" w:lineRule="exact"/>
        <w:rPr>
          <w:sz w:val="20"/>
          <w:szCs w:val="20"/>
          <w:color w:val="auto"/>
        </w:rPr>
      </w:pPr>
    </w:p>
    <w:p>
      <w:pPr>
        <w:jc w:val="center"/>
        <w:ind w:left="8440"/>
        <w:spacing w:after="0"/>
        <w:rPr>
          <w:sz w:val="20"/>
          <w:szCs w:val="20"/>
          <w:color w:val="auto"/>
        </w:rPr>
      </w:pPr>
      <w:r>
        <w:rPr>
          <w:rFonts w:ascii="Arial" w:cs="Arial" w:eastAsia="Arial" w:hAnsi="Arial"/>
          <w:sz w:val="18"/>
          <w:szCs w:val="18"/>
          <w:color w:val="auto"/>
        </w:rPr>
        <w:t>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903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Change in projected benefit obligation: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Estimated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Underfunded status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2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7"/>
        </w:trPr>
        <w:tc>
          <w:tcPr>
            <w:tcW w:w="84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Amounts recognized in the statement of financial position consist of:</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assumptions used to determine benefit obligations: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340" w:type="dxa"/>
            <w:vAlign w:val="bottom"/>
          </w:tcPr>
          <w:p>
            <w:pPr>
              <w:spacing w:after="0"/>
              <w:rPr>
                <w:sz w:val="21"/>
                <w:szCs w:val="21"/>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amounts included in accumulated other comprehensive loss on the consolidated balance sheets that have not yet been recognized as components of net periodic benefit cost as of December 31, 2015 and 2014 were $16.9 million and $19.9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the years ended December 31 are summarized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2013</w:t>
            </w:r>
          </w:p>
        </w:tc>
      </w:tr>
      <w:tr>
        <w:trPr>
          <w:trHeight w:val="27"/>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w:t>
            </w: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(16.2)</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net actuarial gain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income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r>
      <w:tr>
        <w:trPr>
          <w:trHeight w:val="67"/>
        </w:trPr>
        <w:tc>
          <w:tcPr>
            <w:tcW w:w="69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6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assumptions used to determine net periodic benefit cost: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340" w:type="dxa"/>
            <w:vAlign w:val="bottom"/>
          </w:tcPr>
          <w:p>
            <w:pPr>
              <w:spacing w:after="0"/>
              <w:rPr>
                <w:sz w:val="21"/>
                <w:szCs w:val="21"/>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determine the discount rate used in the measurement of our obligations based on a model that matches the timing and amount of expected benefit payments to maturities of high quality bonds priced as of the Plan measurement date. When that timing does not correspond to a published high-quality bond rate, our model uses an expected yield curve to determine an appropriate current discount rate. The yields on the bonds are used to derive a discount rate for the liability. The term of our obligation, based on the expected retirement dates of our workforce, is approximately eight years.</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developing our expected rate of return assumption, we have evaluated the actual historical performance and long-term return projections of the Plan assets, which give consideration to the asset mix and the anticipated timing of the Plan outflows. We employ a total return investment approach whereby a mix of equity and fixed income investments are used to maximize the long-term return of Plan assets for what we consider a prudent level of risk. The intent of this strategy is to minimize Plan expenses by outperforming Plan liabilities over the long run. Risk tolerance is established through careful consideration of Plan liabilities, Plan funded status and our financial condition. The investment portfolio contains a diversified blend of equity and fixed income investments. Furthermore, equity investments are diversified across U.S. and non-U.S. stocks as well as growth, value, and small and large capitalizations. Derivatives may be used to gain market exposure in an efficient and timely manner; however, derivatives may not be used to leverage the portfolio beyond the market value of the underlying investments. Investment risk is measured and monitored on an ongoing basis through annual liability measurements, periodic asset and liability studies, and quarterly investment portfolio reviews.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target asset allocation for 2015 and actual asset allocation as of December 31, 2015 and 2014 for our Plan: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69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Target</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Actual</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Actual</w:t>
            </w:r>
          </w:p>
        </w:tc>
      </w:tr>
      <w:tr>
        <w:trPr>
          <w:trHeight w:val="216"/>
        </w:trPr>
        <w:tc>
          <w:tcPr>
            <w:tcW w:w="69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Asset</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Asset</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Asset</w:t>
            </w:r>
          </w:p>
        </w:tc>
      </w:tr>
      <w:tr>
        <w:trPr>
          <w:trHeight w:val="230"/>
        </w:trPr>
        <w:tc>
          <w:tcPr>
            <w:tcW w:w="69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Allocation</w:t>
            </w:r>
          </w:p>
        </w:tc>
      </w:tr>
      <w:tr>
        <w:trPr>
          <w:trHeight w:val="27"/>
        </w:trPr>
        <w:tc>
          <w:tcPr>
            <w:tcW w:w="69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69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2016, the investment strategy for pension plan assets is to maintain a broadly diversified portfolio designed to achieve our target of an average long-term rate of return of 5.64%. While we believe we can achieve a long-term average return of 5.64%, we cannot be certain that the portfolio will perform to our expectations. Assets are strategically allocated among debt and equity portfolios to achieve a diversification level that reduces fluctuations in investment returns. Asset allocation target ranges and strategies are reviewed periodically with the assistance of an independent external consulting firm.</w:t>
      </w:r>
    </w:p>
    <w:p>
      <w:pPr>
        <w:spacing w:after="0" w:line="1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pension assets are measured at fair value. The following table summarizes, by level, within the fair value hierarchy, the investments of the Plan at fair value as of December 31, 2015 and 2014: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8"/>
          </w:tcPr>
          <w:p>
            <w:pPr>
              <w:jc w:val="center"/>
              <w:spacing w:after="0"/>
              <w:rPr>
                <w:sz w:val="20"/>
                <w:szCs w:val="20"/>
                <w:color w:val="auto"/>
              </w:rPr>
            </w:pPr>
            <w:r>
              <w:rPr>
                <w:rFonts w:ascii="Arial" w:cs="Arial" w:eastAsia="Arial" w:hAnsi="Arial"/>
                <w:sz w:val="18"/>
                <w:szCs w:val="18"/>
                <w:color w:val="auto"/>
                <w:w w:val="90"/>
              </w:rPr>
              <w:t>Fair Value Measurements Using</w:t>
            </w:r>
          </w:p>
        </w:tc>
      </w:tr>
      <w:tr>
        <w:trPr>
          <w:trHeight w:val="27"/>
        </w:trPr>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6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230"/>
              <w:spacing w:after="0"/>
              <w:rPr>
                <w:sz w:val="20"/>
                <w:szCs w:val="20"/>
                <w:color w:val="auto"/>
              </w:rPr>
            </w:pPr>
            <w:r>
              <w:rPr>
                <w:rFonts w:ascii="Arial" w:cs="Arial" w:eastAsia="Arial" w:hAnsi="Arial"/>
                <w:sz w:val="18"/>
                <w:szCs w:val="18"/>
                <w:color w:val="auto"/>
                <w:w w:val="91"/>
              </w:rPr>
              <w:t>Quoted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30"/>
              <w:spacing w:after="0"/>
              <w:rPr>
                <w:sz w:val="20"/>
                <w:szCs w:val="20"/>
                <w:color w:val="auto"/>
              </w:rPr>
            </w:pPr>
            <w:r>
              <w:rPr>
                <w:rFonts w:ascii="Arial" w:cs="Arial" w:eastAsia="Arial" w:hAnsi="Arial"/>
                <w:sz w:val="18"/>
                <w:szCs w:val="18"/>
                <w:color w:val="auto"/>
                <w:w w:val="89"/>
              </w:rPr>
              <w:t>Prices in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6"/>
              </w:rPr>
              <w:t>Significant</w:t>
            </w:r>
          </w:p>
        </w:tc>
      </w:tr>
      <w:tr>
        <w:trPr>
          <w:trHeight w:val="216"/>
        </w:trPr>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Total as of</w:t>
            </w:r>
          </w:p>
        </w:tc>
        <w:tc>
          <w:tcPr>
            <w:tcW w:w="1020" w:type="dxa"/>
            <w:vAlign w:val="bottom"/>
          </w:tcPr>
          <w:p>
            <w:pPr>
              <w:jc w:val="center"/>
              <w:ind w:left="250"/>
              <w:spacing w:after="0"/>
              <w:rPr>
                <w:sz w:val="20"/>
                <w:szCs w:val="20"/>
                <w:color w:val="auto"/>
              </w:rPr>
            </w:pPr>
            <w:r>
              <w:rPr>
                <w:rFonts w:ascii="Arial" w:cs="Arial" w:eastAsia="Arial" w:hAnsi="Arial"/>
                <w:sz w:val="18"/>
                <w:szCs w:val="18"/>
                <w:color w:val="auto"/>
                <w:w w:val="97"/>
              </w:rPr>
              <w:t>Active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Observable</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Unobservable</w:t>
            </w:r>
          </w:p>
        </w:tc>
      </w:tr>
      <w:tr>
        <w:trPr>
          <w:trHeight w:val="216"/>
        </w:trPr>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December 31,</w:t>
            </w:r>
          </w:p>
        </w:tc>
        <w:tc>
          <w:tcPr>
            <w:tcW w:w="1020" w:type="dxa"/>
            <w:vAlign w:val="bottom"/>
          </w:tcPr>
          <w:p>
            <w:pPr>
              <w:jc w:val="center"/>
              <w:ind w:left="230"/>
              <w:spacing w:after="0"/>
              <w:rPr>
                <w:sz w:val="20"/>
                <w:szCs w:val="20"/>
                <w:color w:val="auto"/>
              </w:rPr>
            </w:pPr>
            <w:r>
              <w:rPr>
                <w:rFonts w:ascii="Arial" w:cs="Arial" w:eastAsia="Arial" w:hAnsi="Arial"/>
                <w:sz w:val="18"/>
                <w:szCs w:val="18"/>
                <w:color w:val="auto"/>
                <w:w w:val="90"/>
              </w:rPr>
              <w:t>Markets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Inputs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Inputs</w:t>
            </w:r>
          </w:p>
        </w:tc>
      </w:tr>
      <w:tr>
        <w:trPr>
          <w:trHeight w:val="230"/>
        </w:trPr>
        <w:tc>
          <w:tcPr>
            <w:tcW w:w="3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1020" w:type="dxa"/>
            <w:vAlign w:val="bottom"/>
          </w:tcPr>
          <w:p>
            <w:pPr>
              <w:jc w:val="center"/>
              <w:ind w:left="230"/>
              <w:spacing w:after="0"/>
              <w:rPr>
                <w:sz w:val="20"/>
                <w:szCs w:val="20"/>
                <w:color w:val="auto"/>
              </w:rPr>
            </w:pPr>
            <w:r>
              <w:rPr>
                <w:rFonts w:ascii="Arial" w:cs="Arial" w:eastAsia="Arial" w:hAnsi="Arial"/>
                <w:sz w:val="18"/>
                <w:szCs w:val="18"/>
                <w:color w:val="auto"/>
                <w:w w:val="94"/>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rPr>
              <w:t>(Level 3)</w:t>
            </w:r>
          </w:p>
        </w:tc>
      </w:tr>
      <w:tr>
        <w:trPr>
          <w:trHeight w:val="27"/>
        </w:trPr>
        <w:tc>
          <w:tcPr>
            <w:tcW w:w="36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accounts</w:t>
            </w:r>
          </w:p>
        </w:tc>
        <w:tc>
          <w:tcPr>
            <w:tcW w:w="22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partnerships</w:t>
            </w:r>
          </w:p>
        </w:tc>
        <w:tc>
          <w:tcPr>
            <w:tcW w:w="1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9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8"/>
          </w:tcPr>
          <w:p>
            <w:pPr>
              <w:jc w:val="center"/>
              <w:spacing w:after="0"/>
              <w:rPr>
                <w:sz w:val="20"/>
                <w:szCs w:val="20"/>
                <w:color w:val="auto"/>
              </w:rPr>
            </w:pPr>
            <w:r>
              <w:rPr>
                <w:rFonts w:ascii="Arial" w:cs="Arial" w:eastAsia="Arial" w:hAnsi="Arial"/>
                <w:sz w:val="18"/>
                <w:szCs w:val="18"/>
                <w:color w:val="auto"/>
                <w:w w:val="90"/>
              </w:rPr>
              <w:t>Fair Value Measurements Using</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230"/>
              <w:spacing w:after="0"/>
              <w:rPr>
                <w:sz w:val="20"/>
                <w:szCs w:val="20"/>
                <w:color w:val="auto"/>
              </w:rPr>
            </w:pPr>
            <w:r>
              <w:rPr>
                <w:rFonts w:ascii="Arial" w:cs="Arial" w:eastAsia="Arial" w:hAnsi="Arial"/>
                <w:sz w:val="18"/>
                <w:szCs w:val="18"/>
                <w:color w:val="auto"/>
                <w:w w:val="91"/>
              </w:rPr>
              <w:t>Quoted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30"/>
              <w:spacing w:after="0"/>
              <w:rPr>
                <w:sz w:val="20"/>
                <w:szCs w:val="20"/>
                <w:color w:val="auto"/>
              </w:rPr>
            </w:pPr>
            <w:r>
              <w:rPr>
                <w:rFonts w:ascii="Arial" w:cs="Arial" w:eastAsia="Arial" w:hAnsi="Arial"/>
                <w:sz w:val="18"/>
                <w:szCs w:val="18"/>
                <w:color w:val="auto"/>
                <w:w w:val="89"/>
              </w:rPr>
              <w:t>Prices in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6"/>
              </w:rPr>
              <w:t>Significant</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Total as of</w:t>
            </w:r>
          </w:p>
        </w:tc>
        <w:tc>
          <w:tcPr>
            <w:tcW w:w="1020" w:type="dxa"/>
            <w:vAlign w:val="bottom"/>
          </w:tcPr>
          <w:p>
            <w:pPr>
              <w:jc w:val="center"/>
              <w:ind w:left="250"/>
              <w:spacing w:after="0"/>
              <w:rPr>
                <w:sz w:val="20"/>
                <w:szCs w:val="20"/>
                <w:color w:val="auto"/>
              </w:rPr>
            </w:pPr>
            <w:r>
              <w:rPr>
                <w:rFonts w:ascii="Arial" w:cs="Arial" w:eastAsia="Arial" w:hAnsi="Arial"/>
                <w:sz w:val="18"/>
                <w:szCs w:val="18"/>
                <w:color w:val="auto"/>
                <w:w w:val="97"/>
              </w:rPr>
              <w:t>Active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Observable</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Unobservable</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December 31,</w:t>
            </w:r>
          </w:p>
        </w:tc>
        <w:tc>
          <w:tcPr>
            <w:tcW w:w="1020" w:type="dxa"/>
            <w:vAlign w:val="bottom"/>
          </w:tcPr>
          <w:p>
            <w:pPr>
              <w:jc w:val="center"/>
              <w:ind w:left="230"/>
              <w:spacing w:after="0"/>
              <w:rPr>
                <w:sz w:val="20"/>
                <w:szCs w:val="20"/>
                <w:color w:val="auto"/>
              </w:rPr>
            </w:pPr>
            <w:r>
              <w:rPr>
                <w:rFonts w:ascii="Arial" w:cs="Arial" w:eastAsia="Arial" w:hAnsi="Arial"/>
                <w:sz w:val="18"/>
                <w:szCs w:val="18"/>
                <w:color w:val="auto"/>
                <w:w w:val="90"/>
              </w:rPr>
              <w:t>Markets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Inputs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Inputs</w:t>
            </w:r>
          </w:p>
        </w:tc>
      </w:tr>
      <w:tr>
        <w:trPr>
          <w:trHeight w:val="230"/>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1020" w:type="dxa"/>
            <w:vAlign w:val="bottom"/>
          </w:tcPr>
          <w:p>
            <w:pPr>
              <w:jc w:val="center"/>
              <w:ind w:left="230"/>
              <w:spacing w:after="0"/>
              <w:rPr>
                <w:sz w:val="20"/>
                <w:szCs w:val="20"/>
                <w:color w:val="auto"/>
              </w:rPr>
            </w:pPr>
            <w:r>
              <w:rPr>
                <w:rFonts w:ascii="Arial" w:cs="Arial" w:eastAsia="Arial" w:hAnsi="Arial"/>
                <w:sz w:val="18"/>
                <w:szCs w:val="18"/>
                <w:color w:val="auto"/>
                <w:w w:val="94"/>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rPr>
              <w:t>(Level 3)</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partnerships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59"/>
        </w:trPr>
        <w:tc>
          <w:tcPr>
            <w:tcW w:w="5780" w:type="dxa"/>
            <w:vAlign w:val="bottom"/>
            <w:gridSpan w:val="2"/>
          </w:tcPr>
          <w:p>
            <w:pPr>
              <w:spacing w:after="0"/>
              <w:rPr>
                <w:sz w:val="20"/>
                <w:szCs w:val="20"/>
                <w:color w:val="auto"/>
              </w:rPr>
            </w:pPr>
            <w:r>
              <w:rPr>
                <w:rFonts w:ascii="Arial" w:cs="Arial" w:eastAsia="Arial" w:hAnsi="Arial"/>
                <w:sz w:val="18"/>
                <w:szCs w:val="18"/>
                <w:color w:val="auto"/>
                <w:w w:val="90"/>
              </w:rPr>
              <w:t>Estimated future benefit payments for the next ten years under the Plan follows: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2021 through 2025</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Collective Bargaining Agreements</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2015, approximately 26% of our workforce was represented by various labor unions, and approximately 6% of our workforce was covered by collective bargaining agreements (CBAs) that are set to expire during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contribute to 27 multiemployer pension plans under CBAs covering union-represented employees. As of December 31, 2015, approximately 21% of our total current employees were participants in such multiemployer plans. These plans generally provide retirement benefits to participants based on their service to contributing employers. We do not administer these plans. In general, these plans are managed by a board of trustees with the unions appointing certain trustees and other contributing employers of the plan appointing certain members. We generally are not represented on the board of trustees.</w:t>
      </w:r>
    </w:p>
    <w:p>
      <w:pPr>
        <w:spacing w:after="0" w:line="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Based on the information available to us, we believe that some of the multiemployer plans to which we contribute are either “critical” or “endangered” as those terms are defined in the PPA. The PPA requires underfunded pension plans to improve their funding ratios within prescribed intervals based on the level of their underfunding. Until the plan trustees develop the funding improvement plans or rehabilitation plans as required by the PPA, we cannot determine the amount of assessments we may be subject to, if any. Accordingly, we cannot presently determine the impact that the PPA may have on our consolidated financial position, results of operations or cash flows.</w:t>
      </w:r>
    </w:p>
    <w:p>
      <w:pPr>
        <w:spacing w:after="0" w:line="1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Furthermore, under current law regarding multiemployer benefit plans, a plan’s termination, our voluntary withdrawal (which we consider from time to time), or the mass withdrawal of all contributing employers from any under-funded multiemployer pension plan would require us to make payments to the plan for our proportionate share of the multiemployer plan’s unfunded vested liabilities. It is possible that there may be a mass withdrawal of employers contributing to these plans or plans may terminate in the near future. We could have adjustments to our estimates for these matters in the near term that could have a material effect on our consolidated financial position, results of operations or cash flows.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Republic’s participation in individually significant multiemployer pension plans for the year ended December 31, 2015 is outlined in the table below. Only with respect to multiemployer pension plans, we considered contributions in excess of $3.0 million in any period disclosed to be individually significant. The most recent PPA zone status available in 2015 and 2014 is for the plans’ year ended September 30 or December 31, 2014 and 2013, respectively. The status is based on information that Republic received from the plans and is certified by the plans’ actuary. Among other factors, plans in the “critical” red zone are generally less than 65% funded, plans in the “endangered” yellow zone are less than 80% funded, and plans in the “safe” green zone are at least 80% funded. The last column lists the expiration dates of the CBAs to which the plans are subject. There have been no significant changes that affect the comparability of the 2015, 2014 and 2013 contributions.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Funding</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5"/>
              </w:rPr>
              <w:t>Improvement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or Rehabilitation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Pension Protection</w:t>
            </w:r>
          </w:p>
        </w:tc>
        <w:tc>
          <w:tcPr>
            <w:tcW w:w="16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Plan Status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Republic</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Expiration</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Act Zone Status</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Pending /</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5"/>
              </w:rPr>
              <w:t>Contributions to Plan</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Surcharge</w:t>
            </w:r>
          </w:p>
        </w:tc>
        <w:tc>
          <w:tcPr>
            <w:tcW w:w="1000" w:type="dxa"/>
            <w:vAlign w:val="bottom"/>
          </w:tcPr>
          <w:p>
            <w:pPr>
              <w:jc w:val="center"/>
              <w:spacing w:after="0"/>
              <w:rPr>
                <w:sz w:val="20"/>
                <w:szCs w:val="20"/>
                <w:color w:val="auto"/>
              </w:rPr>
            </w:pPr>
            <w:r>
              <w:rPr>
                <w:rFonts w:ascii="Arial" w:cs="Arial" w:eastAsia="Arial" w:hAnsi="Arial"/>
                <w:sz w:val="14"/>
                <w:szCs w:val="14"/>
                <w:color w:val="auto"/>
                <w:w w:val="87"/>
              </w:rPr>
              <w:t>Dates</w:t>
            </w:r>
          </w:p>
        </w:tc>
        <w:tc>
          <w:tcPr>
            <w:tcW w:w="0" w:type="dxa"/>
            <w:vAlign w:val="bottom"/>
          </w:tcPr>
          <w:p>
            <w:pPr>
              <w:spacing w:after="0"/>
              <w:rPr>
                <w:sz w:val="1"/>
                <w:szCs w:val="1"/>
                <w:color w:val="auto"/>
              </w:rPr>
            </w:pPr>
          </w:p>
        </w:tc>
      </w:tr>
      <w:tr>
        <w:trPr>
          <w:trHeight w:val="264"/>
        </w:trPr>
        <w:tc>
          <w:tcPr>
            <w:tcW w:w="1680" w:type="dxa"/>
            <w:vAlign w:val="bottom"/>
          </w:tcPr>
          <w:p>
            <w:pPr>
              <w:ind w:left="40"/>
              <w:spacing w:after="0"/>
              <w:rPr>
                <w:sz w:val="20"/>
                <w:szCs w:val="20"/>
                <w:color w:val="auto"/>
              </w:rPr>
            </w:pPr>
            <w:r>
              <w:rPr>
                <w:rFonts w:ascii="Arial" w:cs="Arial" w:eastAsia="Arial" w:hAnsi="Arial"/>
                <w:sz w:val="14"/>
                <w:szCs w:val="14"/>
                <w:color w:val="auto"/>
              </w:rPr>
              <w:t>Legal Plan Name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rPr>
              <w:t>EIN</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2013</w:t>
            </w:r>
          </w:p>
        </w:tc>
        <w:tc>
          <w:tcPr>
            <w:tcW w:w="120" w:type="dxa"/>
            <w:vAlign w:val="bottom"/>
          </w:tcPr>
          <w:p>
            <w:pPr>
              <w:spacing w:after="0"/>
              <w:rPr>
                <w:sz w:val="22"/>
                <w:szCs w:val="22"/>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Implemented</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Imposed</w:t>
            </w:r>
          </w:p>
        </w:tc>
        <w:tc>
          <w:tcPr>
            <w:tcW w:w="1000" w:type="dxa"/>
            <w:vAlign w:val="bottom"/>
          </w:tcPr>
          <w:p>
            <w:pPr>
              <w:jc w:val="center"/>
              <w:spacing w:after="0"/>
              <w:rPr>
                <w:sz w:val="20"/>
                <w:szCs w:val="20"/>
                <w:color w:val="auto"/>
              </w:rPr>
            </w:pPr>
            <w:r>
              <w:rPr>
                <w:rFonts w:ascii="Arial" w:cs="Arial" w:eastAsia="Arial" w:hAnsi="Arial"/>
                <w:sz w:val="14"/>
                <w:szCs w:val="14"/>
                <w:color w:val="auto"/>
              </w:rPr>
              <w:t>of CBAs</w:t>
            </w:r>
          </w:p>
        </w:tc>
        <w:tc>
          <w:tcPr>
            <w:tcW w:w="0" w:type="dxa"/>
            <w:vAlign w:val="bottom"/>
          </w:tcPr>
          <w:p>
            <w:pPr>
              <w:spacing w:after="0"/>
              <w:rPr>
                <w:sz w:val="1"/>
                <w:szCs w:val="1"/>
                <w:color w:val="auto"/>
              </w:rPr>
            </w:pPr>
          </w:p>
        </w:tc>
      </w:tr>
      <w:tr>
        <w:trPr>
          <w:trHeight w:val="156"/>
        </w:trPr>
        <w:tc>
          <w:tcPr>
            <w:tcW w:w="168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Local 731 Private</w:t>
            </w:r>
          </w:p>
        </w:tc>
        <w:tc>
          <w:tcPr>
            <w:tcW w:w="10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Scavengers and Garage</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Various dates</w:t>
            </w:r>
          </w:p>
        </w:tc>
        <w:tc>
          <w:tcPr>
            <w:tcW w:w="0" w:type="dxa"/>
            <w:vAlign w:val="bottom"/>
          </w:tcPr>
          <w:p>
            <w:pPr>
              <w:spacing w:after="0"/>
              <w:rPr>
                <w:sz w:val="1"/>
                <w:szCs w:val="1"/>
                <w:color w:val="auto"/>
              </w:rPr>
            </w:pPr>
          </w:p>
        </w:tc>
      </w:tr>
      <w:tr>
        <w:trPr>
          <w:trHeight w:val="149"/>
        </w:trPr>
        <w:tc>
          <w:tcPr>
            <w:tcW w:w="1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Attendants Pension</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through</w:t>
            </w: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Trust Fund</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36-6513567</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Critical</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Critical</w:t>
            </w:r>
          </w:p>
        </w:tc>
        <w:tc>
          <w:tcPr>
            <w:tcW w:w="1660" w:type="dxa"/>
            <w:vAlign w:val="bottom"/>
            <w:gridSpan w:val="3"/>
            <w:shd w:val="clear" w:color="auto" w:fill="CCEEFF"/>
          </w:tcPr>
          <w:p>
            <w:pPr>
              <w:jc w:val="center"/>
              <w:ind w:right="300"/>
              <w:spacing w:after="0"/>
              <w:rPr>
                <w:sz w:val="20"/>
                <w:szCs w:val="20"/>
                <w:color w:val="auto"/>
              </w:rPr>
            </w:pPr>
            <w:r>
              <w:rPr>
                <w:rFonts w:ascii="Arial" w:cs="Arial" w:eastAsia="Arial" w:hAnsi="Arial"/>
                <w:sz w:val="14"/>
                <w:szCs w:val="14"/>
                <w:color w:val="auto"/>
                <w:w w:val="93"/>
              </w:rPr>
              <w:t>Implemented</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No</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1/31/19</w:t>
            </w: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8"/>
              </w:rPr>
              <w:t>Various dates</w:t>
            </w:r>
          </w:p>
        </w:tc>
        <w:tc>
          <w:tcPr>
            <w:tcW w:w="0" w:type="dxa"/>
            <w:vAlign w:val="bottom"/>
          </w:tcPr>
          <w:p>
            <w:pPr>
              <w:spacing w:after="0"/>
              <w:rPr>
                <w:sz w:val="1"/>
                <w:szCs w:val="1"/>
                <w:color w:val="auto"/>
              </w:rPr>
            </w:pPr>
          </w:p>
        </w:tc>
      </w:tr>
      <w:tr>
        <w:trPr>
          <w:trHeight w:val="149"/>
        </w:trPr>
        <w:tc>
          <w:tcPr>
            <w:tcW w:w="1680" w:type="dxa"/>
            <w:vAlign w:val="bottom"/>
          </w:tcPr>
          <w:p>
            <w:pPr>
              <w:ind w:left="40"/>
              <w:spacing w:after="0" w:line="149" w:lineRule="exact"/>
              <w:rPr>
                <w:sz w:val="20"/>
                <w:szCs w:val="20"/>
                <w:color w:val="auto"/>
              </w:rPr>
            </w:pPr>
            <w:r>
              <w:rPr>
                <w:rFonts w:ascii="Arial" w:cs="Arial" w:eastAsia="Arial" w:hAnsi="Arial"/>
                <w:sz w:val="14"/>
                <w:szCs w:val="14"/>
                <w:color w:val="auto"/>
              </w:rPr>
              <w:t>Western Conference of</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through</w:t>
            </w:r>
          </w:p>
        </w:tc>
        <w:tc>
          <w:tcPr>
            <w:tcW w:w="0" w:type="dxa"/>
            <w:vAlign w:val="bottom"/>
          </w:tcPr>
          <w:p>
            <w:pPr>
              <w:spacing w:after="0"/>
              <w:rPr>
                <w:sz w:val="1"/>
                <w:szCs w:val="1"/>
                <w:color w:val="auto"/>
              </w:rPr>
            </w:pPr>
          </w:p>
        </w:tc>
      </w:tr>
      <w:tr>
        <w:trPr>
          <w:trHeight w:val="188"/>
        </w:trPr>
        <w:tc>
          <w:tcPr>
            <w:tcW w:w="1680" w:type="dxa"/>
            <w:vAlign w:val="bottom"/>
          </w:tcPr>
          <w:p>
            <w:pPr>
              <w:ind w:left="100"/>
              <w:spacing w:after="0"/>
              <w:rPr>
                <w:sz w:val="20"/>
                <w:szCs w:val="20"/>
                <w:color w:val="auto"/>
              </w:rPr>
            </w:pPr>
            <w:r>
              <w:rPr>
                <w:rFonts w:ascii="Arial" w:cs="Arial" w:eastAsia="Arial" w:hAnsi="Arial"/>
                <w:sz w:val="14"/>
                <w:szCs w:val="14"/>
                <w:color w:val="auto"/>
              </w:rPr>
              <w:t>Teamsters Pension Plan</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91-6145047</w:t>
            </w:r>
          </w:p>
        </w:tc>
        <w:tc>
          <w:tcPr>
            <w:tcW w:w="14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Safe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Safe</w:t>
            </w: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color w:val="auto"/>
              </w:rPr>
              <w:t>No</w:t>
            </w:r>
          </w:p>
        </w:tc>
        <w:tc>
          <w:tcPr>
            <w:tcW w:w="52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No</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10/23/19</w:t>
            </w:r>
          </w:p>
        </w:tc>
        <w:tc>
          <w:tcPr>
            <w:tcW w:w="0" w:type="dxa"/>
            <w:vAlign w:val="bottom"/>
          </w:tcPr>
          <w:p>
            <w:pPr>
              <w:spacing w:after="0"/>
              <w:rPr>
                <w:sz w:val="1"/>
                <w:szCs w:val="1"/>
                <w:color w:val="auto"/>
              </w:rPr>
            </w:pPr>
          </w:p>
        </w:tc>
      </w:tr>
      <w:tr>
        <w:trPr>
          <w:trHeight w:val="143"/>
        </w:trPr>
        <w:tc>
          <w:tcPr>
            <w:tcW w:w="168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Individually significant</w:t>
            </w:r>
          </w:p>
        </w:tc>
        <w:tc>
          <w:tcPr>
            <w:tcW w:w="10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plans</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80" w:type="dxa"/>
            <w:vAlign w:val="bottom"/>
          </w:tcPr>
          <w:p>
            <w:pPr>
              <w:ind w:left="40"/>
              <w:spacing w:after="0"/>
              <w:rPr>
                <w:sz w:val="20"/>
                <w:szCs w:val="20"/>
                <w:color w:val="auto"/>
              </w:rPr>
            </w:pPr>
            <w:r>
              <w:rPr>
                <w:rFonts w:ascii="Arial" w:cs="Arial" w:eastAsia="Arial" w:hAnsi="Arial"/>
                <w:sz w:val="14"/>
                <w:szCs w:val="14"/>
                <w:color w:val="auto"/>
              </w:rPr>
              <w:t>All other plans</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N/A</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rPr>
              <w:t>N/A</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N/A</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N/A</w:t>
            </w:r>
          </w:p>
        </w:tc>
        <w:tc>
          <w:tcPr>
            <w:tcW w:w="160" w:type="dxa"/>
            <w:vAlign w:val="bottom"/>
            <w:vMerge w:val="restart"/>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N/A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80" w:type="dxa"/>
            <w:vAlign w:val="bottom"/>
            <w:tcBorders>
              <w:bottom w:val="single" w:sz="8" w:color="CCEEFF"/>
            </w:tcBorders>
          </w:tcPr>
          <w:p>
            <w:pPr>
              <w:spacing w:after="0"/>
              <w:rPr>
                <w:sz w:val="6"/>
                <w:szCs w:val="6"/>
                <w:color w:val="auto"/>
              </w:rPr>
            </w:pPr>
          </w:p>
        </w:tc>
        <w:tc>
          <w:tcPr>
            <w:tcW w:w="1200" w:type="dxa"/>
            <w:vAlign w:val="bottom"/>
            <w:tcBorders>
              <w:bottom w:val="single" w:sz="8" w:color="CCEEFF"/>
            </w:tcBorders>
            <w:gridSpan w:val="2"/>
            <w:vMerge w:val="continue"/>
          </w:tcPr>
          <w:p>
            <w:pPr>
              <w:spacing w:after="0"/>
              <w:rPr>
                <w:sz w:val="6"/>
                <w:szCs w:val="6"/>
                <w:color w:val="auto"/>
              </w:rPr>
            </w:pPr>
          </w:p>
        </w:tc>
        <w:tc>
          <w:tcPr>
            <w:tcW w:w="1140" w:type="dxa"/>
            <w:vAlign w:val="bottom"/>
            <w:tcBorders>
              <w:bottom w:val="single" w:sz="8" w:color="CCEEFF"/>
            </w:tcBorders>
            <w:gridSpan w:val="2"/>
            <w:vMerge w:val="continue"/>
          </w:tcPr>
          <w:p>
            <w:pPr>
              <w:spacing w:after="0"/>
              <w:rPr>
                <w:sz w:val="6"/>
                <w:szCs w:val="6"/>
                <w:color w:val="auto"/>
              </w:rPr>
            </w:pPr>
          </w:p>
        </w:tc>
        <w:tc>
          <w:tcPr>
            <w:tcW w:w="1140" w:type="dxa"/>
            <w:vAlign w:val="bottom"/>
            <w:tcBorders>
              <w:bottom w:val="single" w:sz="8" w:color="CCEEFF"/>
            </w:tcBorders>
            <w:gridSpan w:val="2"/>
            <w:vMerge w:val="continue"/>
          </w:tcPr>
          <w:p>
            <w:pPr>
              <w:spacing w:after="0"/>
              <w:rPr>
                <w:sz w:val="6"/>
                <w:szCs w:val="6"/>
                <w:color w:val="auto"/>
              </w:rPr>
            </w:pPr>
          </w:p>
        </w:tc>
        <w:tc>
          <w:tcPr>
            <w:tcW w:w="1500" w:type="dxa"/>
            <w:vAlign w:val="bottom"/>
            <w:tcBorders>
              <w:bottom w:val="single" w:sz="8" w:color="CCEEFF"/>
            </w:tcBorders>
            <w:gridSpan w:val="2"/>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gridSpan w:val="2"/>
            <w:vMerge w:val="continue"/>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3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6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60" w:type="dxa"/>
            <w:vAlign w:val="bottom"/>
            <w:gridSpan w:val="3"/>
            <w:vMerge w:val="continue"/>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340" w:type="dxa"/>
            <w:vAlign w:val="bottom"/>
            <w:gridSpan w:val="3"/>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We are listed in the Form 5500 for Local 731 Private Scavengers and Garage Attendants Pension Trust Fund as providing more than 5% of the total contributions. At the date these financial statements were issued, Forms 5500 were not available for the plan years ended in 2015.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States, Southeast and Southwest Areas Pension Fund</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Before September 30, 2013, we had CBAs with local bargaining units of the Teamsters under which we contributed to the Central States, Southeast and Southwest Areas Pension Fund (the Fund). These CBAs were under negotiation during 2012 and 2013. As part of our CBA negotiations, we partially withdrew from participation in the Fund in 2012 and completely withdrew from the Fund in 2013. Accordingly, we were required to make payments to the Fund for our allocated share of its unfunded vested liabilities.</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January 2014, we received from the Fund a notice and demand for payment of the Fund's calculated and assessed withdrawal liabilities. In April 2014, we submitted to the Fund a request for review and an information request for supporting documentation surrounding the Fund’s calculation and assessment of withdrawal liability. In September 2014, we submitted a formal demand for arbitration.</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December 2015 we settled outstanding liabilities with respect to the withdrawal events and paid $139.0 million to the Fund. The settlement of the withdrawal liability was based on negotiations and discussions between Republic and the Fund. As of December 31, 2015, the settlement has been paid and we have no remaining liability for our withdrawal from the Fund.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the Republic Services 401(k) Plan (401(k) Plan), which is a defined contribution plan covering all eligible employees. Under the 401(k) Plan, participants may direct us to defer a portion of their compensation to the 401(k) Plan, subject to Internal Revenue Code limitations. We provide for an employer matching contribution equal to 100% of the first 3% of eligible compensation and 50% of the next 2% of eligible compensation contributed by each employee, which is funded in cash. All contributions vest immediately.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Total expense recorded for matching 401(k) contributions in 2015, 2014 and 2013 was $37.3 million, $32.1 million and $30.1 million, respectively.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121" w:right="27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provide eligible Republic employees, officers and directors with the opportunity to voluntarily defer base salary, bonus payments, long-term incentive awards and other compensation, as applicable, on a pre-tax basis through the Republic Services, Inc. Deferred Compensation Plan (the DCP). The DCP is a nonqualified deferred compensation plan that conforms to Section 409A of the Internal Revenue Code. Eligible participants can defer up to 80% of base salary and up to 100% of bonus, long-term compensation and directors’ fees. Under the DCP, some participants also are eligible for matching contributions. The matching contribution under the DCP is equal to the lesser of 2% of the participant’s compensation over established 401(k) limits or 50% of the amount the participant has deferred. The DCP participants have no ownership or security interest in any of the amounts deferred or the measurement funds under the DCP. The right of each participant in the DCP is solely that of a general, unsecured creditor of Republic with respect to his or her own interest under the DCP. Deferred amounts may be subject to forfeiture and are deemed invested among investment funds offered under the DCP, as directed by each participant. Payments of deferred amounts are payable following separation from service or at a date or dates elected by the participant when the deferral is elected. Payments of deferred amounts are made in either a lump sum or in annual installments over a period not exceeding 15 years.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Republic invested in corporate-owned life insurance policies to satisfy future obligations under the DCP. These corporate-owned life insurance policies are held in a Rabbi Trust and are recorded at the amount that can be realized under insurance contracts at the balance sheet date, which is the cash surrender value adjusted for other charges or other amounts due that are probable at settlement. The aggregate cash surrender value of these life insurance policies was $90.5 million and $77.1 million as of December 31, 2015 and 2014, respectively, and is classified in other assets in our consolidated balance sheets. The DCP liability was $83.3 million and $76.3 million as of December 31, 2015 and 2014, respectively, and is classified in other long-term liabilities in our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9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Republic employees are eligible to participate in an employee stock purchase plan. The plan allows participants to purchase our common stock for 95% of its quoted market price on the last day of each calendar quarter. For the years ended December 31, 2015, 2014 and 2013, issuances under this plan totaled 141,055 shares, 139,941 shares and 142,217 shares, respectively. As of December 31, 2015, shares reserved for issuance to employees under this plan totaled 0.6 million and Republic held employee contributions of approximately $1.4 million for the purchase of common stock.</w:t>
      </w:r>
    </w:p>
    <w:p>
      <w:pPr>
        <w:spacing w:after="0" w:line="150" w:lineRule="exact"/>
        <w:rPr>
          <w:sz w:val="20"/>
          <w:szCs w:val="20"/>
          <w:color w:val="auto"/>
        </w:rPr>
      </w:pPr>
    </w:p>
    <w:p>
      <w:pPr>
        <w:ind w:right="7580" w:firstLine="8"/>
        <w:spacing w:after="0" w:line="440" w:lineRule="auto"/>
        <w:tabs>
          <w:tab w:leader="none" w:pos="32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 AND DIVIDENDS Stock Repurchases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 repurchase activity during the years ended December 31, 2015 and 2014 follows (in millions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repurchased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 paid</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404.7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400.4</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cost per share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41.39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35.92</w:t>
            </w:r>
          </w:p>
        </w:tc>
      </w:tr>
      <w:tr>
        <w:trPr>
          <w:trHeight w:val="27"/>
        </w:trPr>
        <w:tc>
          <w:tcPr>
            <w:tcW w:w="8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2015, 0.1 million repurchased shares were pending settlement and $3.7 million were unpaid and included within our accrued liabilities.</w:t>
      </w: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2015, our board of directors added $900.0 million to the existing share repurchase authorization, which now extends through December 31, 2017.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2015, the October 2015 repurchase program had remaining authorized purchase capacity of $855.5 million.</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December 2015, our board of directors changed the status of 71,272,964 treasury shares to authorized and unissued. In doing so, the number of our issued shares was reduced by the stated amount. Our accounting policy is to deduct the par value from common stock and to reflect the excess of cost over par value as a deduction from additional paid-in capital. The change in unissued shares resulted in a reduction of $2,295.3 million in treasury stock, $0.6 million in common stock, and $2,294.7 million in additional paid-in capital. There was no effect on our total stockholders' equity position as a result of the change.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October 2015, our board of directors approved a quarterly dividend of $0.30 per share. Cash dividends declared were $404.3 million, $383.6 million and $357.3 million for the years ended December 31, 2015, 2014 and 2013, respectively. As of December 31, 2015, we recorded a quarterly dividend payable of $103.7 million to shareholders of record at the close of business on January 4,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94"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Basic earnings per share is computed by dividing net income attributable to Republic Services, Inc. by the weighted average number of common shares (including vested but unissued RSUs) outstanding during the period. Diluted earnings per share is based on the combined weighted average number of common shares and common share equivalents outstanding, which include, where appropriate, the assumed exercise of employee stock options, unvested RSUs and unvested PSUs at the expected attainment levels. We use the treasury stock method in computing diluted earnings per share.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Earnings per share for the years ended December 31, 2015, 2014, and 2013 are calculated as follows (in thousands, except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attributable to Republic Services,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749,906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547,600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588,900</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356,673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362,054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attributable to Republic Services,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749,906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547,600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588,900</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356,673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362,054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to purchase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Unvested RSU awards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Unvested PSU awards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Weighted average common and common equivalent shares outstanding</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351,388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358,107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363,422</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securities not included in the diluted earnings per share calculations: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to purchase common stock</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2015, we managed and evaluated our operations through three regions: East, Central and West. These regions all provided integrated waste management services consisting of non-hazardous solid waste collection, transfer, recycling, disposal and energy services. These three regions are presented below as our 2015 reportable segments.</w:t>
      </w:r>
    </w:p>
    <w:p>
      <w:pPr>
        <w:sectPr>
          <w:pgSz w:w="11900" w:h="16838" w:orient="portrait"/>
          <w:cols w:equalWidth="0" w:num="1">
            <w:col w:w="11420"/>
          </w:cols>
          <w:pgMar w:left="240" w:top="28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283" w:right="2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concerning our reportable segments for the years ended December 31, 2015, 2014 and 2013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Depreciation,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Operating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Intercompany</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Net</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Depletion and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Revenue</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Accretion</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(Loss)</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Expenditures</w:t>
            </w:r>
          </w:p>
        </w:tc>
        <w:tc>
          <w:tcPr>
            <w:tcW w:w="14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88"/>
              </w:rPr>
              <w:t>Total Assets</w:t>
            </w:r>
          </w:p>
        </w:tc>
      </w:tr>
      <w:tr>
        <w:trPr>
          <w:trHeight w:val="27"/>
        </w:trPr>
        <w:tc>
          <w:tcPr>
            <w:tcW w:w="1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East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2,936.0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2,527.8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4,483.5</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5,594.9</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4,585.8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3,739.9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8,999.2</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entities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1,499.6</w:t>
            </w: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11,013.5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9,115.0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20,577.2</w:t>
            </w:r>
          </w:p>
        </w:tc>
      </w:tr>
      <w:tr>
        <w:trPr>
          <w:trHeight w:val="67"/>
        </w:trPr>
        <w:tc>
          <w:tcPr>
            <w:tcW w:w="18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18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East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2,905.7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4,538.4</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5,775.7</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4,281.6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3,494.2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8,413.7</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entities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1,366.2</w:t>
            </w: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10,626.3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8,803.3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1,233.1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20,094.0</w:t>
            </w:r>
          </w:p>
        </w:tc>
      </w:tr>
      <w:tr>
        <w:trPr>
          <w:trHeight w:val="67"/>
        </w:trPr>
        <w:tc>
          <w:tcPr>
            <w:tcW w:w="18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18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East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2,857.4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4,972.3</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5,794.7</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8,274.9</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entities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907.3</w:t>
            </w: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10,144.7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8,417.2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19,949.2</w:t>
            </w:r>
          </w:p>
        </w:tc>
      </w:tr>
      <w:tr>
        <w:trPr>
          <w:trHeight w:val="27"/>
        </w:trPr>
        <w:tc>
          <w:tcPr>
            <w:tcW w:w="1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Intercompany revenue reflects transactions within and between segments that generally are made on a basis intended to reflect the market value of such services. Capital expenditures for corporate entities primarily include vehicle inventory acquired but not yet assigned to operating locations and facilities. Corporate functions include legal, tax, treasury, information technology, risk management, human resources, closed landfills and other administrative functions. During the years ended December 31, 2015, 2014 and 2013, environmental remediation charges and recoveries were incurred at our closed Bridgeton Landfill in Missouri. See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During 2014 and 2013, we recorded charges related to our withdrawal from the Central States, Southeast and Southwest Areas Pension Fund and reached a settlement during 2015. See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for a summary of our withdrawal and the related settlement. During 2014 and 2013, we completed various refinancing transactions that resulted in cash paid for premiums and professional fees to repurchase outstanding debt, as well as non-cash charges for unamortized debt discounts and deferred issuance costs. See Note 9,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January 2016, we realigned our field support functions by combining two organizational layers into one. This includes the elimination of our three regions, the consolidation of our 20 areas into 10 and the streamlining of select roles at our Phoenix headquarters. The areas will be grouped and overseen by two Executive Vice Presidents of Operations. In connection with our restructuring, we will further evaluate our 2016 reporting segments.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2" w:right="25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revenue by service line for the years ended December 31 (in millions of dollars and as a percentage of revenue):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2015</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2014</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2013</w:t>
            </w:r>
          </w:p>
        </w:tc>
        <w:tc>
          <w:tcPr>
            <w:tcW w:w="920" w:type="dxa"/>
            <w:vAlign w:val="bottom"/>
          </w:tcPr>
          <w:p>
            <w:pPr>
              <w:spacing w:after="0"/>
              <w:rPr>
                <w:sz w:val="20"/>
                <w:szCs w:val="20"/>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2,242.3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2,193.6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2,175.5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Small-container commercial</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31.1</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Large-container industrial</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1,890.2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1,784.0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1,639.4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19.5</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7"/>
        </w:trPr>
        <w:tc>
          <w:tcPr>
            <w:tcW w:w="2580" w:type="dxa"/>
            <w:vAlign w:val="bottom"/>
          </w:tcPr>
          <w:p>
            <w:pPr>
              <w:ind w:left="380"/>
              <w:spacing w:after="0"/>
              <w:rPr>
                <w:sz w:val="20"/>
                <w:szCs w:val="20"/>
                <w:color w:val="auto"/>
              </w:rPr>
            </w:pPr>
            <w:r>
              <w:rPr>
                <w:rFonts w:ascii="Arial" w:cs="Arial" w:eastAsia="Arial" w:hAnsi="Arial"/>
                <w:sz w:val="18"/>
                <w:szCs w:val="18"/>
                <w:color w:val="auto"/>
              </w:rPr>
              <w:t>Total collection</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6,972.2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6,738.1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6,466.5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76.8</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Less: intercompany</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 net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Landfill</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2,036.4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1,975.8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1,923.0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intercompany</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2580" w:type="dxa"/>
            <w:vAlign w:val="bottom"/>
          </w:tcPr>
          <w:p>
            <w:pPr>
              <w:ind w:left="180"/>
              <w:spacing w:after="0"/>
              <w:rPr>
                <w:sz w:val="20"/>
                <w:szCs w:val="20"/>
                <w:color w:val="auto"/>
              </w:rPr>
            </w:pPr>
            <w:r>
              <w:rPr>
                <w:rFonts w:ascii="Arial" w:cs="Arial" w:eastAsia="Arial" w:hAnsi="Arial"/>
                <w:sz w:val="18"/>
                <w:szCs w:val="18"/>
                <w:color w:val="auto"/>
              </w:rPr>
              <w:t>Landfill, net</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1,047.7</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12.1</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services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recycled commodities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Other non-core</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9,115.0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8,803.3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8,417.2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non-core revenue consists primarily of revenue from National Accounts, which represents the portion of revenue generated from nationwide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 (INCOME) BY COMPONENT</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summary of changes in accumulated other comprehensive loss (income), net of tax, by component, for the years ended December 31, 2015, 2014 and 2013 follows:</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Defined Benefit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Cash Flow Hedges</w:t>
            </w:r>
          </w:p>
        </w:tc>
        <w:tc>
          <w:tcPr>
            <w:tcW w:w="18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Pension Plan</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6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33.1</w:t>
            </w:r>
          </w:p>
        </w:tc>
      </w:tr>
      <w:tr>
        <w:trPr>
          <w:trHeight w:val="27"/>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current-period other comprehensive loss</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w:t>
            </w:r>
          </w:p>
        </w:tc>
      </w:tr>
      <w:tr>
        <w:trPr>
          <w:trHeight w:val="27"/>
        </w:trPr>
        <w:tc>
          <w:tcPr>
            <w:tcW w:w="6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w:t>
            </w:r>
          </w:p>
        </w:tc>
      </w:tr>
      <w:tr>
        <w:trPr>
          <w:trHeight w:val="27"/>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current-period other comprehensive loss (income)</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6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2" w:right="239" w:bottom="1440" w:gutter="0" w:footer="0" w:header="0"/>
          <w:type w:val="continuous"/>
        </w:sectPr>
      </w:pPr>
    </w:p>
    <w:bookmarkStart w:id="108" w:name="page109"/>
    <w:bookmarkEnd w:id="10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reclassifications out of accumulated other comprehensive loss (income) for the years ended December 31, 2015, 2014 and 2013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7"/>
        </w:trPr>
        <w:tc>
          <w:tcPr>
            <w:tcW w:w="4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6"/>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r>
      <w:tr>
        <w:trPr>
          <w:trHeight w:val="222"/>
        </w:trPr>
        <w:tc>
          <w:tcPr>
            <w:tcW w:w="4020" w:type="dxa"/>
            <w:vAlign w:val="bottom"/>
            <w:gridSpan w:val="2"/>
          </w:tcPr>
          <w:p>
            <w:pPr>
              <w:ind w:left="160"/>
              <w:spacing w:after="0"/>
              <w:rPr>
                <w:sz w:val="20"/>
                <w:szCs w:val="20"/>
                <w:color w:val="auto"/>
              </w:rPr>
            </w:pPr>
            <w:r>
              <w:rPr>
                <w:rFonts w:ascii="Arial" w:cs="Arial" w:eastAsia="Arial" w:hAnsi="Arial"/>
                <w:sz w:val="18"/>
                <w:szCs w:val="18"/>
                <w:color w:val="auto"/>
                <w:w w:val="97"/>
              </w:rPr>
              <w:t>Details about Accumulated Other Comprehensive</w:t>
            </w:r>
          </w:p>
        </w:tc>
        <w:tc>
          <w:tcPr>
            <w:tcW w:w="300" w:type="dxa"/>
            <w:vAlign w:val="bottom"/>
          </w:tcPr>
          <w:p>
            <w:pPr>
              <w:spacing w:after="0"/>
              <w:rPr>
                <w:sz w:val="19"/>
                <w:szCs w:val="19"/>
                <w:color w:val="auto"/>
              </w:rPr>
            </w:pPr>
          </w:p>
        </w:tc>
        <w:tc>
          <w:tcPr>
            <w:tcW w:w="3620" w:type="dxa"/>
            <w:vAlign w:val="bottom"/>
            <w:gridSpan w:val="6"/>
          </w:tcPr>
          <w:p>
            <w:pPr>
              <w:jc w:val="center"/>
              <w:ind w:left="70"/>
              <w:spacing w:after="0"/>
              <w:rPr>
                <w:sz w:val="20"/>
                <w:szCs w:val="20"/>
                <w:color w:val="auto"/>
              </w:rPr>
            </w:pPr>
            <w:r>
              <w:rPr>
                <w:rFonts w:ascii="Arial" w:cs="Arial" w:eastAsia="Arial" w:hAnsi="Arial"/>
                <w:sz w:val="18"/>
                <w:szCs w:val="18"/>
                <w:color w:val="auto"/>
                <w:w w:val="92"/>
              </w:rPr>
              <w:t>Amount Reclassified from Accumulated Other</w:t>
            </w:r>
          </w:p>
        </w:tc>
        <w:tc>
          <w:tcPr>
            <w:tcW w:w="420" w:type="dxa"/>
            <w:vAlign w:val="bottom"/>
          </w:tcPr>
          <w:p>
            <w:pPr>
              <w:spacing w:after="0"/>
              <w:rPr>
                <w:sz w:val="19"/>
                <w:szCs w:val="19"/>
                <w:color w:val="auto"/>
              </w:rPr>
            </w:pPr>
          </w:p>
        </w:tc>
        <w:tc>
          <w:tcPr>
            <w:tcW w:w="3060" w:type="dxa"/>
            <w:vAlign w:val="bottom"/>
          </w:tcPr>
          <w:p>
            <w:pPr>
              <w:ind w:left="300"/>
              <w:spacing w:after="0"/>
              <w:rPr>
                <w:sz w:val="20"/>
                <w:szCs w:val="20"/>
                <w:color w:val="auto"/>
              </w:rPr>
            </w:pPr>
            <w:r>
              <w:rPr>
                <w:rFonts w:ascii="Arial" w:cs="Arial" w:eastAsia="Arial" w:hAnsi="Arial"/>
                <w:sz w:val="18"/>
                <w:szCs w:val="18"/>
                <w:color w:val="auto"/>
                <w:w w:val="97"/>
              </w:rPr>
              <w:t>Affected Line Item in the Statement</w:t>
            </w:r>
          </w:p>
        </w:tc>
      </w:tr>
      <w:tr>
        <w:trPr>
          <w:trHeight w:val="230"/>
        </w:trPr>
        <w:tc>
          <w:tcPr>
            <w:tcW w:w="4020" w:type="dxa"/>
            <w:vAlign w:val="bottom"/>
            <w:gridSpan w:val="2"/>
          </w:tcPr>
          <w:p>
            <w:pPr>
              <w:ind w:left="960"/>
              <w:spacing w:after="0"/>
              <w:rPr>
                <w:sz w:val="20"/>
                <w:szCs w:val="20"/>
                <w:color w:val="auto"/>
              </w:rPr>
            </w:pPr>
            <w:r>
              <w:rPr>
                <w:rFonts w:ascii="Arial" w:cs="Arial" w:eastAsia="Arial" w:hAnsi="Arial"/>
                <w:sz w:val="18"/>
                <w:szCs w:val="18"/>
                <w:color w:val="auto"/>
              </w:rPr>
              <w:t>Loss (Income) Components</w:t>
            </w:r>
          </w:p>
        </w:tc>
        <w:tc>
          <w:tcPr>
            <w:tcW w:w="300" w:type="dxa"/>
            <w:vAlign w:val="bottom"/>
          </w:tcPr>
          <w:p>
            <w:pPr>
              <w:spacing w:after="0"/>
              <w:rPr>
                <w:sz w:val="20"/>
                <w:szCs w:val="20"/>
                <w:color w:val="auto"/>
              </w:rPr>
            </w:pPr>
          </w:p>
        </w:tc>
        <w:tc>
          <w:tcPr>
            <w:tcW w:w="3620" w:type="dxa"/>
            <w:vAlign w:val="bottom"/>
            <w:gridSpan w:val="6"/>
          </w:tcPr>
          <w:p>
            <w:pPr>
              <w:jc w:val="center"/>
              <w:ind w:left="70"/>
              <w:spacing w:after="0"/>
              <w:rPr>
                <w:sz w:val="20"/>
                <w:szCs w:val="20"/>
                <w:color w:val="auto"/>
              </w:rPr>
            </w:pPr>
            <w:r>
              <w:rPr>
                <w:rFonts w:ascii="Arial" w:cs="Arial" w:eastAsia="Arial" w:hAnsi="Arial"/>
                <w:sz w:val="18"/>
                <w:szCs w:val="18"/>
                <w:color w:val="auto"/>
                <w:w w:val="90"/>
              </w:rPr>
              <w:t>Comprehensive Loss (Income)</w:t>
            </w:r>
          </w:p>
        </w:tc>
        <w:tc>
          <w:tcPr>
            <w:tcW w:w="420" w:type="dxa"/>
            <w:vAlign w:val="bottom"/>
          </w:tcPr>
          <w:p>
            <w:pPr>
              <w:spacing w:after="0"/>
              <w:rPr>
                <w:sz w:val="20"/>
                <w:szCs w:val="20"/>
                <w:color w:val="auto"/>
              </w:rPr>
            </w:pPr>
          </w:p>
        </w:tc>
        <w:tc>
          <w:tcPr>
            <w:tcW w:w="3060" w:type="dxa"/>
            <w:vAlign w:val="bottom"/>
          </w:tcPr>
          <w:p>
            <w:pPr>
              <w:ind w:left="440"/>
              <w:spacing w:after="0"/>
              <w:rPr>
                <w:sz w:val="20"/>
                <w:szCs w:val="20"/>
                <w:color w:val="auto"/>
              </w:rPr>
            </w:pPr>
            <w:r>
              <w:rPr>
                <w:rFonts w:ascii="Arial" w:cs="Arial" w:eastAsia="Arial" w:hAnsi="Arial"/>
                <w:sz w:val="18"/>
                <w:szCs w:val="18"/>
                <w:color w:val="auto"/>
              </w:rPr>
              <w:t>Where Net Income is Presented</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Gain (loss) on cash flow hedges: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Recycling commodity hedges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Revenue</w:t>
            </w: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Fuel hedges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3060" w:type="dxa"/>
            <w:vAlign w:val="bottom"/>
          </w:tcPr>
          <w:p>
            <w:pPr>
              <w:ind w:left="140"/>
              <w:spacing w:after="0"/>
              <w:rPr>
                <w:sz w:val="20"/>
                <w:szCs w:val="20"/>
                <w:color w:val="auto"/>
              </w:rPr>
            </w:pPr>
            <w:r>
              <w:rPr>
                <w:rFonts w:ascii="Arial" w:cs="Arial" w:eastAsia="Arial" w:hAnsi="Arial"/>
                <w:sz w:val="18"/>
                <w:szCs w:val="18"/>
                <w:color w:val="auto"/>
              </w:rPr>
              <w:t>Cost of operations</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3060" w:type="dxa"/>
            <w:vAlign w:val="bottom"/>
          </w:tcPr>
          <w:p>
            <w:pPr>
              <w:ind w:left="140"/>
              <w:spacing w:after="0"/>
              <w:rPr>
                <w:sz w:val="20"/>
                <w:szCs w:val="20"/>
                <w:color w:val="auto"/>
              </w:rPr>
            </w:pPr>
            <w:r>
              <w:rPr>
                <w:rFonts w:ascii="Arial" w:cs="Arial" w:eastAsia="Arial" w:hAnsi="Arial"/>
                <w:sz w:val="18"/>
                <w:szCs w:val="18"/>
                <w:color w:val="auto"/>
              </w:rPr>
              <w:t>Total before tax</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 benefit (expense)</w:t>
            </w: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3060" w:type="dxa"/>
            <w:vAlign w:val="bottom"/>
          </w:tcPr>
          <w:p>
            <w:pPr>
              <w:ind w:left="140"/>
              <w:spacing w:after="0"/>
              <w:rPr>
                <w:sz w:val="20"/>
                <w:szCs w:val="20"/>
                <w:color w:val="auto"/>
              </w:rPr>
            </w:pPr>
            <w:r>
              <w:rPr>
                <w:rFonts w:ascii="Arial" w:cs="Arial" w:eastAsia="Arial" w:hAnsi="Arial"/>
                <w:sz w:val="18"/>
                <w:szCs w:val="18"/>
                <w:color w:val="auto"/>
              </w:rPr>
              <w:t>Net of tax</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gains: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Pension settlement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30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 expense</w:t>
            </w: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3060" w:type="dxa"/>
            <w:vAlign w:val="bottom"/>
          </w:tcPr>
          <w:p>
            <w:pPr>
              <w:ind w:left="140"/>
              <w:spacing w:after="0"/>
              <w:rPr>
                <w:sz w:val="20"/>
                <w:szCs w:val="20"/>
                <w:color w:val="auto"/>
              </w:rPr>
            </w:pPr>
            <w:r>
              <w:rPr>
                <w:rFonts w:ascii="Arial" w:cs="Arial" w:eastAsia="Arial" w:hAnsi="Arial"/>
                <w:sz w:val="18"/>
                <w:szCs w:val="18"/>
                <w:color w:val="auto"/>
              </w:rPr>
              <w:t>Net of tax</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5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(loss) gain reclassified into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3060" w:type="dxa"/>
            <w:vAlign w:val="bottom"/>
            <w:tcBorders>
              <w:bottom w:val="single" w:sz="8" w:color="CCEEFF"/>
            </w:tcBorders>
            <w:shd w:val="clear" w:color="auto" w:fill="CCEEFF"/>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Hedges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multiple swap agreements designated as cash flow hedges to mitigate some of our exposure related to changes in diesel fuel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swaps qualified for, and were designated as, effective hedges of changes in the prices of forecasted diesel fuel purchases (fuel hedges).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fuel hedges as of December 31, 2015:</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ind w:left="860"/>
              <w:spacing w:after="0"/>
              <w:rPr>
                <w:sz w:val="20"/>
                <w:szCs w:val="20"/>
                <w:color w:val="auto"/>
              </w:rPr>
            </w:pPr>
            <w:r>
              <w:rPr>
                <w:rFonts w:ascii="Arial" w:cs="Arial" w:eastAsia="Arial" w:hAnsi="Arial"/>
                <w:sz w:val="18"/>
                <w:szCs w:val="18"/>
                <w:color w:val="auto"/>
              </w:rPr>
              <w:t>Weighted Average Contract</w:t>
            </w:r>
          </w:p>
        </w:tc>
      </w:tr>
      <w:tr>
        <w:trPr>
          <w:trHeight w:val="230"/>
        </w:trPr>
        <w:tc>
          <w:tcPr>
            <w:tcW w:w="3900" w:type="dxa"/>
            <w:vAlign w:val="bottom"/>
            <w:gridSpan w:val="2"/>
          </w:tcPr>
          <w:p>
            <w:pPr>
              <w:ind w:left="1720"/>
              <w:spacing w:after="0"/>
              <w:rPr>
                <w:sz w:val="20"/>
                <w:szCs w:val="20"/>
                <w:color w:val="auto"/>
              </w:rPr>
            </w:pPr>
            <w:r>
              <w:rPr>
                <w:rFonts w:ascii="Arial" w:cs="Arial" w:eastAsia="Arial" w:hAnsi="Arial"/>
                <w:sz w:val="18"/>
                <w:szCs w:val="18"/>
                <w:color w:val="auto"/>
              </w:rPr>
              <w:t>Year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Gallons Hedged</w:t>
            </w:r>
          </w:p>
        </w:tc>
        <w:tc>
          <w:tcPr>
            <w:tcW w:w="3760" w:type="dxa"/>
            <w:vAlign w:val="bottom"/>
          </w:tcPr>
          <w:p>
            <w:pPr>
              <w:ind w:left="1300"/>
              <w:spacing w:after="0"/>
              <w:rPr>
                <w:sz w:val="20"/>
                <w:szCs w:val="20"/>
                <w:color w:val="auto"/>
              </w:rPr>
            </w:pPr>
            <w:r>
              <w:rPr>
                <w:rFonts w:ascii="Arial" w:cs="Arial" w:eastAsia="Arial" w:hAnsi="Arial"/>
                <w:sz w:val="18"/>
                <w:szCs w:val="18"/>
                <w:color w:val="auto"/>
              </w:rPr>
              <w:t>Price per Gallon</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27,000,000</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$3.57</w:t>
            </w:r>
          </w:p>
        </w:tc>
      </w:tr>
      <w:tr>
        <w:trPr>
          <w:trHeight w:val="243"/>
        </w:trPr>
        <w:tc>
          <w:tcPr>
            <w:tcW w:w="3780" w:type="dxa"/>
            <w:vAlign w:val="bottom"/>
          </w:tcPr>
          <w:p>
            <w:pPr>
              <w:ind w:left="17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12,000,000</w:t>
            </w:r>
          </w:p>
        </w:tc>
        <w:tc>
          <w:tcPr>
            <w:tcW w:w="100" w:type="dxa"/>
            <w:vAlign w:val="bottom"/>
          </w:tcPr>
          <w:p>
            <w:pPr>
              <w:spacing w:after="0"/>
              <w:rPr>
                <w:sz w:val="21"/>
                <w:szCs w:val="21"/>
                <w:color w:val="auto"/>
              </w:rPr>
            </w:pPr>
          </w:p>
        </w:tc>
        <w:tc>
          <w:tcPr>
            <w:tcW w:w="3760" w:type="dxa"/>
            <w:vAlign w:val="bottom"/>
          </w:tcPr>
          <w:p>
            <w:pPr>
              <w:ind w:left="1720"/>
              <w:spacing w:after="0"/>
              <w:rPr>
                <w:sz w:val="20"/>
                <w:szCs w:val="20"/>
                <w:color w:val="auto"/>
              </w:rPr>
            </w:pPr>
            <w:r>
              <w:rPr>
                <w:rFonts w:ascii="Arial" w:cs="Arial" w:eastAsia="Arial" w:hAnsi="Arial"/>
                <w:sz w:val="18"/>
                <w:szCs w:val="18"/>
                <w:color w:val="auto"/>
              </w:rPr>
              <w:t>2.92</w:t>
            </w:r>
          </w:p>
        </w:tc>
      </w:tr>
    </w:tbl>
    <w:p>
      <w:pPr>
        <w:spacing w:after="0" w:line="1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If the national U.S. on-highway average price for a gallon of diesel fuel as published by the Department of Energy exceeds the contract price per gallon, we receive the difference between the average price and the contract price (multiplied by the notional gallons) from the counterparty. If the average price is less than the contract price per gallon, we pay the difference to the counterparty.</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fair values of our fuel hedges are determined using standard option valuation models with assumptions about commodity prices based on those observed in underlying markets (Level 2 in the fair value hierarchy). The aggregate fair values of our outstanding fuel hedges as of December 31, 2015 and 2014 were current liabilities of $37.8 million and $34.4 million, respectively, and have been recorded in other accrued liabilities in our consolidated balance sheets. The ineffective portions of the changes in fair values resulted in a loss of $0.4 million and $0.5 million for the years ended December 31, 2015 and 2014 respectively, and a gain of less than $0.1 million for the year ended December 31, 2013, and have been recorded in other income, net in our consolidated statements of income.</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(loss) gain recognized in other comprehensive (loss) income for fuel hedges (the effective portion) was $(2.0) million, $(24.2) million and $2.4 million, for the years ended December 31, 2015,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Recycling Commodity Hedges</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Revenue from the sale of recycled commodities is primarily from sales of old corrugated cardboard and old newspaper. From time to time we use derivative instruments such as swaps and costless collars designated as cash flow hedges to manage our exposure to changes in prices of these commodities. We had no outstanding recycling commodity hedges as of December 31, 2015 and 2014. No amounts were recognized in other income, net in our consolidated statements of income for the ineffective portion of the changes in fair values during the years ended December 31, 2015, 2014 and 2013. Total gain (loss) recognized in other comprehensive income for recycling commodity hedges (the effective portion) was $0.1 million and $(0.1) million for the years ended December 31, 2014 and 2013, respectively. No amount was recognized in other comprehensive income for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spacing w:after="0" w:line="12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carrying value for certain of our financial instruments, including cash, accounts receivable, accounts payable and certain other accrued liabilities, approximates fair value because of their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and 2014, our assets and liabilities that are measured at fair value on a recurring basis include the following: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w w:val="94"/>
              </w:rPr>
              <w:t>December 31, 2015</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Quoted</w:t>
            </w:r>
          </w:p>
        </w:tc>
        <w:tc>
          <w:tcPr>
            <w:tcW w:w="18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Significant</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Prices in</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Active</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Observable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Markets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Inputs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Amount</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2)</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7"/>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89"/>
              </w:rPr>
              <w:t>Bonds - restricted cash and marketable securities and other</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 -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4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Fuel hedges - other accrued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 other long-term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w w:val="94"/>
              </w:rPr>
              <w:t>December 31, 2014</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Quoted</w:t>
            </w:r>
          </w:p>
        </w:tc>
        <w:tc>
          <w:tcPr>
            <w:tcW w:w="18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Significant</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Prices in</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Active</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Observable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Markets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Inputs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Amount</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2)</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7"/>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89"/>
              </w:rPr>
              <w:t>Bonds - restricted cash and marketable securities and other</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 -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4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Fuel hedges - other accrued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Debt</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As of December 31, 2015, the carrying value of our total debt was $7.6 billion and the fair value of our total debt was $8.2 billion. As of December 31, 2014, the carrying value of our total debt was $7.1 billion and the fair value of our total debt was $8.0 billion. The estimated fair value of our fixed rate senior notes and debentures is based on quoted market prices. The fair value of our remaining notes payable, tax-exempt financings and borrowings under our credit facilities approximates the carrying value because the interest rates are variable. The fair value estimates are based on Level 2 inputs of the fair value hierarchy as of December 31, 2015 and 2014. See Note 9, </w:t>
      </w:r>
      <w:r>
        <w:rPr>
          <w:rFonts w:ascii="Arial" w:cs="Arial" w:eastAsia="Arial" w:hAnsi="Arial"/>
          <w:sz w:val="17"/>
          <w:szCs w:val="17"/>
          <w:i w:val="1"/>
          <w:iCs w:val="1"/>
          <w:color w:val="auto"/>
        </w:rPr>
        <w:t>Debt,</w:t>
      </w:r>
      <w:r>
        <w:rPr>
          <w:rFonts w:ascii="Arial" w:cs="Arial" w:eastAsia="Arial" w:hAnsi="Arial"/>
          <w:sz w:val="17"/>
          <w:szCs w:val="17"/>
          <w:color w:val="auto"/>
        </w:rPr>
        <w:t xml:space="preserve"> for further information related to our 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 xml:space="preserve">In April 2015, we entered into a waste management contract with Sonoma to operate the county's waste management facilities. See Note 3,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Acquisitions</w:t>
      </w:r>
      <w:r>
        <w:rPr>
          <w:rFonts w:ascii="Arial" w:cs="Arial" w:eastAsia="Arial" w:hAnsi="Arial"/>
          <w:sz w:val="16"/>
          <w:szCs w:val="16"/>
          <w:color w:val="auto"/>
        </w:rPr>
        <w:t>, for further information related to our acquisition. As of December 31, 2015, the Sonoma contingent consideration represents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$69.6 million payable to the County of Sonoma based on the achievement of future annual tonnage targets through the expected remaining capacity of the landfill, which we estimate to be approximately 30 years. The contingent consideration liability is classified within Level 3 of the fair value hierarchy.</w:t>
      </w:r>
    </w:p>
    <w:p>
      <w:pPr>
        <w:spacing w:after="0" w:line="100"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The fair value of the contingent consideration was determined using probability assessments of the expected future consideration payments over the remaining useful life of the landfill, and applying a discount rate of 4.0%. The future consideration payments are based on significant inputs that are not observable in the market. Key assumptions include volume of annual tons disposed at the landfill, price paid per annual ton, and the discount rate that represent the best estimates of management, which are subject to remeasurement at each reporting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insured employee health care costs, are discussed in Note 7,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and (2) environmental remediation liabilities, which are discussed in Note 8, </w:t>
      </w:r>
      <w:r>
        <w:rPr>
          <w:rFonts w:ascii="Arial" w:cs="Arial" w:eastAsia="Arial" w:hAnsi="Arial"/>
          <w:sz w:val="18"/>
          <w:szCs w:val="18"/>
          <w:i w:val="1"/>
          <w:iCs w:val="1"/>
          <w:color w:val="auto"/>
        </w:rPr>
        <w:t>Landfill and Environmental Costs.</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accrue for legal proceedings when losses become probable and reasonably estimable. We have recorded an aggregate accrual of approximately $65 million relating to our outstanding legal proceedings as of December 31, 2015. As of the end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If we had used the high ends of such ranges, our aggregate potential liability would be approximately $62 million higher than the amount recorded as of December 31,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94"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color w:val="auto"/>
        </w:rPr>
        <w:t>We and our subsidiaries lease real property, equipment and software under various operating leases with remaining terms from one month to 30 years. Rent expense during the years ended December 31, 2015, 2014 and 2013 was $53.6 million, $49.1 million and $47.8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obligations under non-cancelable operating leases with initial terms in excess of one year as of December 31, 2015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92.8</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Unconditional Purchase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have entered into agreements to pay royalties to prior landowners, lessors or host communities, based on waste tonnage disposed at specified landfills. These royalties are generally payable quarterly and amounts incurred, but not paid, are accrued in our consolidated balance sheets. Royalties are accrued as tonnage is disposed of in the landfills.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Disposal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have several agreements expiring at various dates through 2048 that require us to dispose of a minimum number of tons at third-party disposal facilities.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these put-or-pay agreements, we must pay for agreed-upon minimum volumes regardless of the actual number of tons placed at the facilities.</w:t>
      </w:r>
    </w:p>
    <w:p>
      <w:pPr>
        <w:spacing w:after="0" w:line="16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Future minimum payments under unconditional purchase commitments, consisting primarily of (1) disposal related agreements, which include fixed or minimum royalty payments, host agreements, and take-or-pay and put-or-pay agreements, and (2) other obligations including committed capital expenditures and consulting service agreements as of December 31, 2015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92.4</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557.1</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1,025.7</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Other Financial Guarantees</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must provide financial assurance to governmental agencies and a variety of other entities under applicable environmental regulations relating to our landfill operations for capping, closure and post-closure costs, and our performance under certain collection, landfill and transfer station contracts. We satisfy our financial assurance requirements by providing surety bonds, letters of credit, insurance policies or trust deposits. The amount of the financial assurance requirements for capping, closure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and post-closure costs is determined by applicable state environmental regulations, which vary by state. The financial assurance requirements for capping, closure and post-closure costs can either be for costs associated with a portion of the landfill or the entire landfill. Generally, states will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 U.S. GAAP. The amount of the financial assurance requirements related to contract performance varies by contract. Additionally, we are required to provide financial assurance for our insurance program and collateral for certain performance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financial instruments and collateral in place to secure our financial assurances as of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3,055.8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2,952.7</w:t>
            </w:r>
          </w:p>
        </w:tc>
      </w:tr>
    </w:tbl>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outstanding letters of credit used $503.3 million and $615.1 million as of December 31, 2015 and 2014, respectively, of availability under our Credit Facilities. Surety bonds subject to expiration will expire on various dates through 2021.</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financial instruments are issued in the normal course of business and are not debt. Because we currently have no liability for this financial assurance, it is not reflected in our consolidated balance sheets. However, we have recorded capping, closure and post-closure obligations and insurance reserves as they are incurred.</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restricted cash and marketable securities include, among other things, restricted cash and marketable securities held for capital expenditures under certain debt facilities, restricted cash pursuant to a holdback arrangement, restricted cash and marketable securities pledged to regulatory agencies and governmental entities as financial guarantees of our performance related to our final capping, closure and post-closure obligations at our landfills, and restricted cash and marketable securities related to our insurance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cash and marketable securities as of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proceeds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Holdback escrow</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Capping, closure and post-closure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115.6</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own a 19.9% interest in a company that, among other activities, issues financial surety bonds to secure capping, closure and post-closure obligations for companies operating in the solid waste industry. We account for this investment under the cost method of accounting. There have been no identified events or changes in circumstances that may have a significant adverse effect on the recoverability of this investment. This investee company and the parent company of the investee had written surety bonds for us relating primarily to our landfill operations for capping, closure and post-closure, of which $1,228.1 million were outstanding as of December 31, 2015. Our reimbursement obligations under these bonds are secured by an indemnity agreement with the investee and letters of credit. There were no letters of credit outstanding as of December 31, 2015 and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no off-balance sheet debt or similar obligations, other than operating leases and the financial assurances discussed above,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enter into contracts in the normal course of business that include indemnification clauses. Indemnifications relating to known liabilities are recorded in the consolidated financial statements based on our best estimate of required future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of these indemnifications relate to contingent events or occurrences, such as the imposition of additional taxes due to a change in the tax law or adverse interpretation of the tax law, and indemnifications made in divestiture agreements where we indemnify the buyer for liabilities that relate to our activities prior to the divestiture and that may become known in the future. We do not believe that these contingent obligations will have a material effect on our consolidated financial position, results of operations or cash flows.</w:t>
      </w:r>
    </w:p>
    <w:p>
      <w:pPr>
        <w:spacing w:after="0" w:line="13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entered into agreements with property owners to guarantee the value of property that is adjacent to certain of our landfills. These agreements have varying terms. We do not believe that these contingent obligations will have a material effect on our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Our business activities are conducted in the context of a developing and changing statutory and regulatory framework. Governmental regulation of the waste management industry requires us to obtain and retain numerous governmental permits to conduct various aspects of our operations. These permits are subject to revocation, modification or denial. The costs and other capital expenditures that may be required to obtain or retain the applicable permits or comply with applicable regulations could be significant. Any revocation, modification or denial of permits could have a material adverse effect on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unaudited consolidated quarterly results of operations as reported for 2015 and 2014:</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First</w:t>
            </w: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Second</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Third</w:t>
            </w:r>
          </w:p>
        </w:tc>
        <w:tc>
          <w:tcPr>
            <w:tcW w:w="28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Fourth</w:t>
            </w: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Quarter</w:t>
            </w:r>
          </w:p>
        </w:tc>
        <w:tc>
          <w:tcPr>
            <w:tcW w:w="2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8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Quarter</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2,169.4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2,311.4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2,344.0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2,290.2</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172.4</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income attributable to Republic Services, Inc.</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0.49</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5600" w:type="dxa"/>
            <w:vAlign w:val="bottom"/>
          </w:tcPr>
          <w:p>
            <w:pPr>
              <w:ind w:left="40"/>
              <w:spacing w:after="0" w:line="270" w:lineRule="exact"/>
              <w:rPr>
                <w:sz w:val="20"/>
                <w:szCs w:val="20"/>
                <w:color w:val="auto"/>
              </w:rPr>
            </w:pPr>
            <w:r>
              <w:rPr>
                <w:rFonts w:ascii="Arial" w:cs="Arial" w:eastAsia="Arial" w:hAnsi="Arial"/>
                <w:sz w:val="18"/>
                <w:szCs w:val="18"/>
                <w:color w:val="auto"/>
              </w:rPr>
              <w:t>Revenue</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2,077.2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2,229.2</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2,267.9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2,229.1</w:t>
            </w:r>
          </w:p>
        </w:tc>
      </w:tr>
      <w:tr>
        <w:trPr>
          <w:trHeight w:val="270"/>
        </w:trPr>
        <w:tc>
          <w:tcPr>
            <w:tcW w:w="5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50.5</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Republic Services, Inc.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0.14</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(1) - Line items in these rows do not total to amounts reported in the consolidated statements of income for the years ended December 31, 2015 and 2014 due to rounding.</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fourth quarter of 2015, we recorded charges of $4.1 million for withdrawal events at the multiemployer pension plan to which we contribute related to our operations in Puerto Rico, as well as $0.4 million of legal charges. During the third quarter of 2015, we recorded a reduction to remediation expenses of $50.0 million related to an insurance recovery at our closed Bridgeton Landfill. During 2014, environmental remediation charges were incurred at our Bridgeton Landfill, of which $36.1 million was recorded during the first quarter of 2014, and $174.5 million was recorded during the fourth quarter of 2014.</w:t>
      </w:r>
    </w:p>
    <w:p>
      <w:pPr>
        <w:spacing w:after="0" w:line="184" w:lineRule="exact"/>
        <w:rPr>
          <w:sz w:val="20"/>
          <w:szCs w:val="20"/>
          <w:color w:val="auto"/>
        </w:rPr>
      </w:pPr>
    </w:p>
    <w:p>
      <w:pPr>
        <w:ind w:right="110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REPUBLIC SERVICES, INC.’S INTERNAL CONTROL OVER FINANCIAL REPORTING</w:t>
      </w:r>
    </w:p>
    <w:p>
      <w:pPr>
        <w:spacing w:after="0" w:line="9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as members of management of Republic Services, Inc., are responsible for establishing and maintaining adequate internal control over financial reporting, as such term is defined in Exchange Act Rule 13a-15(f). Internal control over financial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 w:lineRule="exact"/>
        <w:rPr>
          <w:sz w:val="20"/>
          <w:szCs w:val="20"/>
          <w:color w:val="auto"/>
        </w:rPr>
      </w:pPr>
    </w:p>
    <w:p>
      <w:pPr>
        <w:ind w:right="460" w:firstLine="8"/>
        <w:spacing w:after="0" w:line="261"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Because of its inherent limitations,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under the supervision of and with the participation of our management, including the Chief Executive Officer, Chief Financial Officer and Chief Accounting Officer, assessed the effectiveness of our internal control over financial reporting as of December 31, 2015, based on criteria for effective internal control over financial reporting described in “Internal Control — Integrated Framework (2013)” issued by the Committee of Sponsoring Organizations of the Treadway Commission. Based on this assessment, we concluded that we maintained effective internal control over financial reporting as of December 31, 2015, based on the specified criteria.</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internal control over financial reporting has been audited by Ernst &amp; Young LLP, an independent registered public accounting firm, as stated in their attestation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Annual Report. Based upon that evaluation, our Chief Executive Officer and Chief Financial Officer concluded that our disclosure controls and procedures were effective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and Chief Financial Officer, there has been no change in our internal control over financial reporting during the period covered by this Form 10-K identified in connection with that evaluation, that has materially affected, or is reasonably likely to materially affect, our internal control over financial reporting.</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acquired Tervita in February 2015 (refer to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our audited consolidated financial statements in Item 8 of this Form 10-K). As permitted by the SEC Staff interpretive guidance for newly acquired businesses, we excluded Tervita from our evaluation of internal control over financial reporting as of December 31, 2015. We will continue the process of implementing internal controls over financial reporting for Tervita. As of December 31, 2015, assets excluded from management's assessment totaled approximately $500 million and contributed less than 1% of revenue to our audited consolidated financial statements for the year ended December 31,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18" w:right="2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Information required by this item is incorporated by reference to the material appearing under the headings “Election of Directors,” “Biographical Information Regarding Directors/Nominees and Executive Officers,” “Board of Directors and Corporate Governance Matters,” “Section 16(a) Beneficial Ownership Reporting Compliance” and “Executive Officers” in the Proxy Statement for the 2016 Annual Meeting of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headings “Executive Compensation” and “Director Compensation” in the Proxy Statement for the 2016 Annual Meeting of Shareholders.</w:t>
      </w:r>
    </w:p>
    <w:p>
      <w:pPr>
        <w:spacing w:after="0" w:line="193" w:lineRule="exact"/>
        <w:rPr>
          <w:sz w:val="20"/>
          <w:szCs w:val="20"/>
          <w:color w:val="auto"/>
        </w:rPr>
      </w:pPr>
    </w:p>
    <w:p>
      <w:pPr>
        <w:ind w:right="1420"/>
        <w:spacing w:after="0" w:line="32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Information required by this item is incorporated by reference to the material appearing under the headings “Security Ownership of Five Percent Stockholders” and “Security Ownership of the Board of Directors and Management” in the Proxy Statement for the 2016 Annual Meeting of Shareholders.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equity compensation plans as of December 31, 2015 (number of securities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560" w:type="dxa"/>
            <w:vAlign w:val="bottom"/>
          </w:tcPr>
          <w:p>
            <w:pPr>
              <w:jc w:val="center"/>
              <w:ind w:left="33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Available</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560" w:type="dxa"/>
            <w:vAlign w:val="bottom"/>
          </w:tcPr>
          <w:p>
            <w:pPr>
              <w:jc w:val="center"/>
              <w:ind w:left="310"/>
              <w:spacing w:after="0"/>
              <w:rPr>
                <w:sz w:val="20"/>
                <w:szCs w:val="20"/>
                <w:color w:val="auto"/>
              </w:rPr>
            </w:pPr>
            <w:r>
              <w:rPr>
                <w:rFonts w:ascii="Arial" w:cs="Arial" w:eastAsia="Arial" w:hAnsi="Arial"/>
                <w:sz w:val="18"/>
                <w:szCs w:val="18"/>
                <w:color w:val="auto"/>
                <w:w w:val="91"/>
              </w:rPr>
              <w:t>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for Future Issuance</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560" w:type="dxa"/>
            <w:vAlign w:val="bottom"/>
          </w:tcPr>
          <w:p>
            <w:pPr>
              <w:jc w:val="center"/>
              <w:ind w:left="310"/>
              <w:spacing w:after="0"/>
              <w:rPr>
                <w:sz w:val="20"/>
                <w:szCs w:val="20"/>
                <w:color w:val="auto"/>
              </w:rPr>
            </w:pPr>
            <w:r>
              <w:rPr>
                <w:rFonts w:ascii="Arial" w:cs="Arial" w:eastAsia="Arial" w:hAnsi="Arial"/>
                <w:sz w:val="18"/>
                <w:szCs w:val="18"/>
                <w:color w:val="auto"/>
                <w:w w:val="89"/>
              </w:rPr>
              <w:t>to be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Under Equity</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560" w:type="dxa"/>
            <w:vAlign w:val="bottom"/>
          </w:tcPr>
          <w:p>
            <w:pPr>
              <w:jc w:val="center"/>
              <w:ind w:left="310"/>
              <w:spacing w:after="0"/>
              <w:rPr>
                <w:sz w:val="20"/>
                <w:szCs w:val="20"/>
                <w:color w:val="auto"/>
              </w:rPr>
            </w:pPr>
            <w:r>
              <w:rPr>
                <w:rFonts w:ascii="Arial" w:cs="Arial" w:eastAsia="Arial" w:hAnsi="Arial"/>
                <w:sz w:val="18"/>
                <w:szCs w:val="18"/>
                <w:color w:val="auto"/>
                <w:w w:val="90"/>
              </w:rPr>
              <w:t>Issued Upon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 Average</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560" w:type="dxa"/>
            <w:vAlign w:val="bottom"/>
          </w:tcPr>
          <w:p>
            <w:pPr>
              <w:jc w:val="center"/>
              <w:ind w:left="310"/>
              <w:spacing w:after="0"/>
              <w:rPr>
                <w:sz w:val="20"/>
                <w:szCs w:val="20"/>
                <w:color w:val="auto"/>
              </w:rPr>
            </w:pPr>
            <w:r>
              <w:rPr>
                <w:rFonts w:ascii="Arial" w:cs="Arial" w:eastAsia="Arial" w:hAnsi="Arial"/>
                <w:sz w:val="18"/>
                <w:szCs w:val="18"/>
                <w:color w:val="auto"/>
                <w:w w:val="89"/>
              </w:rPr>
              <w:t>Exercise of</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Exercise Price of</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Plans (excluding</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560" w:type="dxa"/>
            <w:vAlign w:val="bottom"/>
          </w:tcPr>
          <w:p>
            <w:pPr>
              <w:ind w:left="52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Outstanding</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securities</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560" w:type="dxa"/>
            <w:vAlign w:val="bottom"/>
          </w:tcPr>
          <w:p>
            <w:pPr>
              <w:jc w:val="center"/>
              <w:ind w:left="310"/>
              <w:spacing w:after="0"/>
              <w:rPr>
                <w:sz w:val="20"/>
                <w:szCs w:val="20"/>
                <w:color w:val="auto"/>
              </w:rPr>
            </w:pPr>
            <w:r>
              <w:rPr>
                <w:rFonts w:ascii="Arial" w:cs="Arial" w:eastAsia="Arial" w:hAnsi="Arial"/>
                <w:sz w:val="18"/>
                <w:szCs w:val="18"/>
                <w:color w:val="auto"/>
                <w:w w:val="90"/>
              </w:rPr>
              <w:t>Options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reflected in</w:t>
            </w:r>
          </w:p>
        </w:tc>
        <w:tc>
          <w:tcPr>
            <w:tcW w:w="0" w:type="dxa"/>
            <w:vAlign w:val="bottom"/>
          </w:tcPr>
          <w:p>
            <w:pPr>
              <w:spacing w:after="0"/>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Plan Category</w:t>
            </w:r>
          </w:p>
        </w:tc>
        <w:tc>
          <w:tcPr>
            <w:tcW w:w="1560" w:type="dxa"/>
            <w:vAlign w:val="bottom"/>
          </w:tcPr>
          <w:p>
            <w:pPr>
              <w:jc w:val="center"/>
              <w:ind w:left="310"/>
              <w:spacing w:after="0"/>
              <w:rPr>
                <w:sz w:val="20"/>
                <w:szCs w:val="20"/>
                <w:color w:val="auto"/>
              </w:rPr>
            </w:pPr>
            <w:r>
              <w:rPr>
                <w:rFonts w:ascii="Arial" w:cs="Arial" w:eastAsia="Arial" w:hAnsi="Arial"/>
                <w:sz w:val="18"/>
                <w:szCs w:val="18"/>
                <w:color w:val="auto"/>
                <w:w w:val="91"/>
              </w:rPr>
              <w:t>and Rights (b)</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and Rights (c)</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the first column) (d)</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 (a)</w:t>
            </w:r>
          </w:p>
        </w:tc>
        <w:tc>
          <w:tcPr>
            <w:tcW w:w="15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Includes our 2006 Incentive Stock Plan, Amended and Restated 2007 Stock Incentive Plan, and our 2009 Employee Stock Purchase Plan (ESPP)</w:t>
      </w:r>
    </w:p>
    <w:p>
      <w:pPr>
        <w:spacing w:after="0" w:line="140" w:lineRule="exact"/>
        <w:rPr>
          <w:rFonts w:ascii="Arial" w:cs="Arial" w:eastAsia="Arial" w:hAnsi="Arial"/>
          <w:sz w:val="16"/>
          <w:szCs w:val="16"/>
          <w:color w:val="auto"/>
        </w:rPr>
      </w:pPr>
    </w:p>
    <w:p>
      <w:pPr>
        <w:ind w:left="980" w:right="140" w:hanging="648"/>
        <w:spacing w:after="0" w:line="277" w:lineRule="auto"/>
        <w:tabs>
          <w:tab w:leader="none" w:pos="6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5.0 million stock options, 1.7 million shares underlying restricted stock units, 0.1 million underlying performance shares, and less than 0.1 million shares underlying purchase rights that accrue under the ESPP.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Excludes restricted stock units and performance shares as these awards do not have exercise prices.</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6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shares remaining available for future issuances include 15.6 million shares under our 2007 Stock Incentive Plan and 0.6 million shares under our ESPP.</w:t>
      </w:r>
    </w:p>
    <w:p>
      <w:pPr>
        <w:spacing w:after="0" w:line="19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 “Board of Directors and Corporate Governance Matters” in the Proxy Statement for the 2016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 “Audit and Related Fees” in the Proxy Statement for the 2016 Annual Meeting of Shareholders.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18" w:right="2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set forth under Item 8 of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schedules are omitted as the required information is not applicable or the information is presented in the consolidated financial statements and notes thereto in Item 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filed herewith or are incorporated by reference to exhibits previously filed with the Commission, as indicated in the description of each, File No. 1-14267 in the case of Republic and File No. 1-14705 and No. 0-19285 in the case of Allied.</w:t>
      </w:r>
    </w:p>
    <w:p>
      <w:pPr>
        <w:spacing w:after="0" w:line="11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4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190"/>
        </w:trPr>
        <w:tc>
          <w:tcPr>
            <w:tcW w:w="600" w:type="dxa"/>
            <w:vAlign w:val="bottom"/>
          </w:tcPr>
          <w:p>
            <w:pPr>
              <w:jc w:val="right"/>
              <w:spacing w:after="0" w:line="190" w:lineRule="exact"/>
              <w:rPr>
                <w:sz w:val="20"/>
                <w:szCs w:val="20"/>
                <w:color w:val="auto"/>
              </w:rPr>
            </w:pPr>
            <w:r>
              <w:rPr>
                <w:rFonts w:ascii="Arial" w:cs="Arial" w:eastAsia="Arial" w:hAnsi="Arial"/>
                <w:sz w:val="18"/>
                <w:szCs w:val="18"/>
                <w:color w:val="auto"/>
                <w:w w:val="90"/>
              </w:rPr>
              <w:t>Number</w:t>
            </w:r>
          </w:p>
        </w:tc>
        <w:tc>
          <w:tcPr>
            <w:tcW w:w="240" w:type="dxa"/>
            <w:vAlign w:val="bottom"/>
          </w:tcPr>
          <w:p>
            <w:pPr>
              <w:spacing w:after="0"/>
              <w:rPr>
                <w:sz w:val="16"/>
                <w:szCs w:val="16"/>
                <w:color w:val="auto"/>
              </w:rPr>
            </w:pPr>
          </w:p>
        </w:tc>
        <w:tc>
          <w:tcPr>
            <w:tcW w:w="9800" w:type="dxa"/>
            <w:vAlign w:val="bottom"/>
            <w:gridSpan w:val="3"/>
          </w:tcPr>
          <w:p>
            <w:pPr>
              <w:ind w:left="4620"/>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7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1"/>
              </w:rPr>
              <w:t>Amended and Restated Certificate of Incorporation (incorporated by reference to Exhibit 3.1 of the Company’s Quarterly Report on</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Form 10-Q for the period ended June 30, 1998).</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7"/>
              </w:rPr>
              <w:t>Certificate of Amendment to Amended and Restated Certificate of Incorporation of Republic Services, Inc. (incorporated by</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8"/>
              </w:rPr>
              <w:t>reference to Exhibit 4.2 of the Company’s Registration Statement on Form S-8, Registration No. 333-81801, filed with the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Commission on June 29, 1999).</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4"/>
              </w:rPr>
              <w:t>Amended and Restated Bylaws of Republic Services, Inc. (incorporated by reference to Exhibit 3.1 of the Company’s Quarterly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Report on Form 10-Q for the quarter ended June 30, 2014).</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8"/>
              </w:rPr>
              <w:t>Republic Services, Inc. Common Stock Certificate (incorporated by reference to Exhibit 4.4 of the Company’s Registration</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Statement on Form S-8, Registration No. 333-81801, filed with the Commission on June 29, 1999).</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5"/>
              </w:rPr>
              <w:t>Second Supplemental Indenture, dated as of March 21, 2005 by Republic Services, Inc. to The Bank of New York, as trustee,</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6"/>
              </w:rPr>
              <w:t>including the form of 6.086% Note due March 15, 2035 (incorporated by reference to Exhibit 4.1 of the Company’s Quarterly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Report on Form 10-Q for the quarter ended March 31, 2005).</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Indenture, dated as of September 8, 2009, by and between Republic Services, Inc. and The Bank of New York Mellon</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4"/>
              </w:rPr>
              <w:t>Trust Company, N.A., as trustee (incorporated by reference to Exhibit 4.1 of the Company’s Current Report on Form 8-K dated</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September 9, 2009).</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5"/>
              </w:rPr>
              <w:t>First Supplemental Indenture, dated as of September 8, 2009, to the Indenture dated as of September 8, 2009,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7"/>
              </w:rPr>
              <w:t>Republic Services, Inc., the guarantors named therein and The Bank of New York Mellon Trust Company, N.A., as trustee,</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7"/>
              </w:rPr>
              <w:t>including the form of 5.500% Notes due 2019 (incorporated by reference to Exhibit 4.2 of the Company’s Current Report on</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Form 8-K dated September 9, 2009).</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0"/>
              </w:rPr>
              <w:t>Second Supplemental Indenture, dated as of May 9, 2011, to the Indenture dated as of September 8, 2009,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0"/>
              </w:rPr>
              <w:t>Services, Inc., the guarantors named therein and The Bank of New York Mellon Trust Company, N.A., as trustee, including the form</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3"/>
              </w:rPr>
              <w:t>of 3.800% Notes due 2018 (incorporated by reference to Exhibit 4.1 of the Company’s Current Report on Form 8-K dated May 9,</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2011).</w:t>
            </w:r>
          </w:p>
        </w:tc>
        <w:tc>
          <w:tcPr>
            <w:tcW w:w="8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2"/>
              </w:rPr>
              <w:t>Third Supplemental Indenture, dated as of May 9, 2011, to the Indenture dated as of September 8, 2009,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0"/>
              </w:rPr>
              <w:t>Services, Inc., the guarantors named therein and The Bank of New York Mellon Trust Company, N.A., as trustee, including the form</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3"/>
              </w:rPr>
              <w:t>of 4.750% Notes due 2023 (incorporated by reference to Exhibit 4.2 of the Company’s Current Report on Form 8-K dated May 9,</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2011).</w:t>
            </w:r>
          </w:p>
        </w:tc>
        <w:tc>
          <w:tcPr>
            <w:tcW w:w="8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1"/>
              </w:rPr>
              <w:t>Fourth Supplemental Indenture, dated as of May 9, 2011, to the Indenture dated as of September 8, 2009,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0"/>
              </w:rPr>
              <w:t>Services, Inc., the guarantors named therein and The Bank of New York Mellon Trust Company, N.A., as trustee, including the form</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3"/>
              </w:rPr>
              <w:t>of 5.700% Notes due 2041 (incorporated by reference to Exhibit 4.3 of the Company’s Current Report on Form 8-K dated May 9,</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2011).</w:t>
            </w:r>
          </w:p>
        </w:tc>
        <w:tc>
          <w:tcPr>
            <w:tcW w:w="8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1"/>
              </w:rPr>
              <w:t>Indenture, dated as of November 25, 2009, by and between Republic Services, Inc. and U.S. Bank National Association, as trustee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(incorporated by reference to Exhibit 4.1 of the Company’s Current Report on Form 8-K dated November 25, 2009).</w:t>
            </w:r>
          </w:p>
        </w:tc>
      </w:tr>
      <w:tr>
        <w:trPr>
          <w:trHeight w:val="486"/>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2"/>
          </w:tcPr>
          <w:p>
            <w:pPr>
              <w:ind w:left="4360"/>
              <w:spacing w:after="0"/>
              <w:rPr>
                <w:sz w:val="20"/>
                <w:szCs w:val="20"/>
                <w:color w:val="auto"/>
              </w:rPr>
            </w:pPr>
            <w:r>
              <w:rPr>
                <w:rFonts w:ascii="Arial" w:cs="Arial" w:eastAsia="Arial" w:hAnsi="Arial"/>
                <w:sz w:val="18"/>
                <w:szCs w:val="18"/>
                <w:color w:val="auto"/>
              </w:rPr>
              <w:t>116</w:t>
            </w:r>
          </w:p>
        </w:tc>
        <w:tc>
          <w:tcPr>
            <w:tcW w:w="4340" w:type="dxa"/>
            <w:vAlign w:val="bottom"/>
          </w:tcPr>
          <w:p>
            <w:pPr>
              <w:spacing w:after="0"/>
              <w:rPr>
                <w:sz w:val="24"/>
                <w:szCs w:val="24"/>
                <w:color w:val="auto"/>
              </w:rPr>
            </w:pPr>
          </w:p>
        </w:tc>
      </w:tr>
    </w:tbl>
    <w:p>
      <w:pPr>
        <w:sectPr>
          <w:pgSz w:w="11900" w:h="16838" w:orient="portrait"/>
          <w:cols w:equalWidth="0" w:num="1">
            <w:col w:w="11320"/>
          </w:cols>
          <w:pgMar w:left="240" w:top="118"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Exhibit</w:t>
            </w:r>
          </w:p>
        </w:tc>
        <w:tc>
          <w:tcPr>
            <w:tcW w:w="4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190"/>
        </w:trPr>
        <w:tc>
          <w:tcPr>
            <w:tcW w:w="600" w:type="dxa"/>
            <w:vAlign w:val="bottom"/>
          </w:tcPr>
          <w:p>
            <w:pPr>
              <w:jc w:val="center"/>
              <w:spacing w:after="0" w:line="190" w:lineRule="exact"/>
              <w:rPr>
                <w:sz w:val="20"/>
                <w:szCs w:val="20"/>
                <w:color w:val="auto"/>
              </w:rPr>
            </w:pPr>
            <w:r>
              <w:rPr>
                <w:rFonts w:ascii="Arial" w:cs="Arial" w:eastAsia="Arial" w:hAnsi="Arial"/>
                <w:sz w:val="18"/>
                <w:szCs w:val="18"/>
                <w:color w:val="auto"/>
                <w:w w:val="93"/>
              </w:rPr>
              <w:t>Number</w:t>
            </w:r>
          </w:p>
        </w:tc>
        <w:tc>
          <w:tcPr>
            <w:tcW w:w="240" w:type="dxa"/>
            <w:vAlign w:val="bottom"/>
          </w:tcPr>
          <w:p>
            <w:pPr>
              <w:spacing w:after="0"/>
              <w:rPr>
                <w:sz w:val="16"/>
                <w:szCs w:val="16"/>
                <w:color w:val="auto"/>
              </w:rPr>
            </w:pPr>
          </w:p>
        </w:tc>
        <w:tc>
          <w:tcPr>
            <w:tcW w:w="9780" w:type="dxa"/>
            <w:vAlign w:val="bottom"/>
            <w:gridSpan w:val="3"/>
          </w:tcPr>
          <w:p>
            <w:pPr>
              <w:ind w:left="4620"/>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76"/>
        </w:trPr>
        <w:tc>
          <w:tcPr>
            <w:tcW w:w="600" w:type="dxa"/>
            <w:vAlign w:val="bottom"/>
          </w:tcPr>
          <w:p>
            <w:pPr>
              <w:jc w:val="center"/>
              <w:ind w:left="50"/>
              <w:spacing w:after="0"/>
              <w:rPr>
                <w:sz w:val="20"/>
                <w:szCs w:val="20"/>
                <w:color w:val="auto"/>
              </w:rPr>
            </w:pPr>
            <w:r>
              <w:rPr>
                <w:rFonts w:ascii="Arial" w:cs="Arial" w:eastAsia="Arial" w:hAnsi="Arial"/>
                <w:sz w:val="18"/>
                <w:szCs w:val="18"/>
                <w:color w:val="auto"/>
                <w:w w:val="87"/>
              </w:rPr>
              <w:t>4.9</w:t>
            </w:r>
          </w:p>
        </w:tc>
        <w:tc>
          <w:tcPr>
            <w:tcW w:w="240" w:type="dxa"/>
            <w:vAlign w:val="bottom"/>
          </w:tcPr>
          <w:p>
            <w:pPr>
              <w:spacing w:after="0"/>
              <w:rPr>
                <w:sz w:val="24"/>
                <w:szCs w:val="24"/>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4"/>
              </w:rPr>
              <w:t>First Supplemental Indenture, dated as of November 25, 2009, to the Indenture dated as of November 25, 2009,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6"/>
              </w:rPr>
              <w:t>Republic Services, Inc., the guarantors named therein and U.S. Bank National Association, as trustee, including the form of</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5.25% Notes due 2021 (incorporated by reference to Exhibit 4.2 of the Company’s Current Report on Form 8-K dated</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November 25, 2009).</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4.10</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5"/>
              </w:rPr>
              <w:t>Second Supplemental Indenture, dated as of March 4, 2010, to the Indenture dated as of November 25, 2009,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6"/>
              </w:rPr>
              <w:t>Republic Services, Inc., the guarantors named therein and U.S. Bank National Association, as trustee, including the form of</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4"/>
              </w:rPr>
              <w:t>5.00% Notes due 2020 (incorporated by reference to Exhibit 4.1 of the Company’s Current Report on Form 8-K dated March 4,</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4.11</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Third Supplemental Indenture, dated as of March 4, 2010, to the Indenture dated as of November 25, 2009,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Services, Inc., the guarantors named therein and U.S. Bank National Association, as trustee, including the form of 6.20% Notes due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2040 (incorporated by reference to Exhibit 4.2 of the Company’s Current Report on Form 8-K dated March 4, 2010).</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4.12</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5"/>
              </w:rPr>
              <w:t>Indenture, dated as of May 21, 2012, by and between Republic Services, Inc. and Wells Fargo Bank, National Association, as</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trustee (incorporated by reference to Exhibit 4.1 of the Company’s Current Report on Form 8-K dated May 21, 2012).</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4.13</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6"/>
              </w:rPr>
              <w:t>First Supplemental Indenture, dated as of May 21, 2012, to the Indenture dated as of May 21, 2012,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2"/>
              </w:rPr>
              <w:t>Services, Inc., the guarantors named therein and Wells Fargo Bank, National Association, including the form of 3.55% Notes due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2022 (incorporated by reference to Exhibit 4.2 of the Company’s Current Report on Form 8-K dated May 21, 2012).</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4.14</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2"/>
              </w:rPr>
              <w:t>Amended and Restated Credit Agreement, dated as of May 8, 2012, by and among Republic Services, Inc., as borrower, Bank of</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6"/>
              </w:rPr>
              <w:t>America N.A., as administrative agent, swing line lender and L/C issuer and the other lenders party thereto (incorporated by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reference to Exhibit 4.1 of the Company’s Current Report on Form 8-K dated May 8, 2012).</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4.15</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Amendment No. 1, dated as of October 29, 2012, to the Amended and Restated Credit Agreement, dated as of May 8, 2012, by and</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among Republic Services, Inc., Bank of America, N.A., as administrative agent, and the other lenders party thereto (incorporated by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reference to Exhibit 4.1 of the Company’s Quarterly Report on Form 10-Q for the quarter ended September 30, 2012).</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4.16</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3"/>
              </w:rPr>
              <w:t>Amendment No. 2, dated as of July 24, 2013, to the Amended and Restated Credit Agreement, dated as of May 8, 2012, by and</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among Republic Services, Inc., Bank of America, N.A., as administrative agent, and the other lenders party thereto (incorporated by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reference to Exhibit 4.1 of the Company’s Quarterly Report on Form 10-Q for the quarter ended June 30, 2013).</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4.17</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Restated Indenture, dated as of September 1, 1991, by and between Browning-Ferris Industries, Inc. and First City, Texas-Houston,</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8"/>
              </w:rPr>
              <w:t>National Association, as trustee (incorporated by reference to Exhibit 4.22 of Allied’s Registration Statement on Form S-4</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(No. 333-61744)).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4.18</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89"/>
              </w:rPr>
              <w:t>First Supplemental Indenture, dated as of July 30, 1999, to the Indenture dated as of September 1, 1991, by and among Allied Waste</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1"/>
              </w:rPr>
              <w:t>Industries, Inc., Allied Waste North America, Inc., Browning-Ferris Industries, Inc. and Chase Bank of Texas, National Association,</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as trustee (incorporated by reference to Exhibit 4.23 of Allied’s Registration Statement on Form S-4 (No. 333-61744)).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4.19</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1"/>
              </w:rPr>
              <w:t>First [sic] Supplemental Indenture, dated as of December 31, 2004, to the Indenture dated as of September 1, 1991,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7"/>
              </w:rPr>
              <w:t>Browning-Ferris Industries, Inc., BBCO, Inc. and JP Morgan Chase Bank, National Association as trustee (incorporated by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reference to Exhibit 4.33 of Allied’s Annual Report on Form 10-K for the year ended December 31, 2004).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4.20</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Third Supplemental Indenture, dated as of December 5, 2008, to the Indenture dated as of September 1, 1991, by and among Allied</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Waste Industries, Inc., Allied Waste North America, Inc., Browning-Ferris Industries, LLC (successor to Browning-Ferris</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Industries, Inc.), BBCO, Inc., Republic Services, Inc., the guarantors party thereto and The Bank of New York Mellon</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4"/>
              </w:rPr>
              <w:t>Trust Company, N.A., as trustee (incorporated by reference to Exhibit 4.1 of the Company’s Current Report on Form 8-K dated</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December 10, 2008).</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4.21</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5"/>
              </w:rPr>
              <w:t>Credit Agreement, dated as of June 30, 2014, by and among Republic Services, Inc., as Borrower, Bank of America, N.A., as</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2"/>
              </w:rPr>
              <w:t>Administrative Agent, Swing Line Lender and L/C Issuer, and the other lenders party thereto (incorporated by reference to Exhibit</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4.1 of the Company's Current Report on Form 8-K dated July 2, 2014).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4.22</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Amendment No. 3 to Amended and Restated Credit Agreement, dated as of June 30, 2014,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Republic Services, Inc., as Borrower, Bank of America, N.A., as Administrative Agent, and each of the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2"/>
              </w:rPr>
              <w:t>lenders party thereto (incorporated by reference to Exhibit 4.2 of the Company's Current Report on Form 8-K dated July 2, 2014).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4.23</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The Company is a party to other agreements for unregistered long-term debt securities, which do not exceed 10% of the Company’s</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total assets. The Company agrees to furnish a copy of such agreements to the Commission upon request.</w:t>
            </w:r>
          </w:p>
        </w:tc>
      </w:tr>
      <w:tr>
        <w:trPr>
          <w:trHeight w:val="486"/>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2"/>
          </w:tcPr>
          <w:p>
            <w:pPr>
              <w:ind w:left="4360"/>
              <w:spacing w:after="0"/>
              <w:rPr>
                <w:sz w:val="20"/>
                <w:szCs w:val="20"/>
                <w:color w:val="auto"/>
              </w:rPr>
            </w:pPr>
            <w:r>
              <w:rPr>
                <w:rFonts w:ascii="Arial" w:cs="Arial" w:eastAsia="Arial" w:hAnsi="Arial"/>
                <w:sz w:val="18"/>
                <w:szCs w:val="18"/>
                <w:color w:val="auto"/>
              </w:rPr>
              <w:t>117</w:t>
            </w:r>
          </w:p>
        </w:tc>
        <w:tc>
          <w:tcPr>
            <w:tcW w:w="4320" w:type="dxa"/>
            <w:vAlign w:val="bottom"/>
          </w:tcPr>
          <w:p>
            <w:pPr>
              <w:spacing w:after="0"/>
              <w:rPr>
                <w:sz w:val="24"/>
                <w:szCs w:val="24"/>
                <w:color w:val="auto"/>
              </w:rPr>
            </w:pPr>
          </w:p>
        </w:tc>
      </w:tr>
    </w:tbl>
    <w:p>
      <w:pPr>
        <w:sectPr>
          <w:pgSz w:w="11900" w:h="16838" w:orient="portrait"/>
          <w:cols w:equalWidth="0" w:num="1">
            <w:col w:w="11000"/>
          </w:cols>
          <w:pgMar w:left="240" w:top="118" w:right="65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49" w:lineRule="exact"/>
        <w:rPr>
          <w:sz w:val="20"/>
          <w:szCs w:val="20"/>
          <w:color w:val="auto"/>
        </w:rPr>
      </w:pPr>
    </w:p>
    <w:p>
      <w:pPr>
        <w:ind w:left="1480" w:right="280" w:hanging="893"/>
        <w:spacing w:after="0" w:line="286" w:lineRule="auto"/>
        <w:tabs>
          <w:tab w:leader="none" w:pos="146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7"/>
          <w:szCs w:val="17"/>
          <w:color w:val="auto"/>
        </w:rPr>
        <w:t>Fourth Supplemental Indenture, dated as of March 11, 2015, to the Indenture, dated as of November 25, 2009, between Republic Services, Inc. and U.S. Bank National Association, as trustee, including the form of 3.20% Notes due 2025 (incorporated by reference to Exhibit 4.1 of the Company's Current Report on Form 8-K dated March 11, 2015).</w:t>
      </w:r>
    </w:p>
    <w:p>
      <w:pPr>
        <w:spacing w:after="0" w:line="3" w:lineRule="exact"/>
        <w:rPr>
          <w:sz w:val="20"/>
          <w:szCs w:val="20"/>
          <w:color w:val="auto"/>
        </w:rPr>
      </w:pPr>
    </w:p>
    <w:p>
      <w:pPr>
        <w:ind w:left="1480" w:right="40" w:hanging="943"/>
        <w:spacing w:after="0" w:line="277" w:lineRule="auto"/>
        <w:tabs>
          <w:tab w:leader="none" w:pos="14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Republic Services, Inc. 2007 Stock Incentive Plan (incorporated by reference to Exhibit 10.1 of the Company’s Quarterly Report on Form 10-Q for the period ended June 30, 2007).</w:t>
      </w:r>
    </w:p>
    <w:p>
      <w:pPr>
        <w:spacing w:after="0" w:line="8" w:lineRule="exact"/>
        <w:rPr>
          <w:sz w:val="20"/>
          <w:szCs w:val="20"/>
          <w:color w:val="auto"/>
        </w:rPr>
      </w:pPr>
    </w:p>
    <w:p>
      <w:pPr>
        <w:ind w:left="1480" w:right="140" w:hanging="943"/>
        <w:spacing w:after="0" w:line="277" w:lineRule="auto"/>
        <w:tabs>
          <w:tab w:leader="none" w:pos="14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to the Republic Services, Inc. 2007 Stock Incentive Plan (incorporated by reference to Exhibit 10.8 of the Company’s Annual Report on Form 10-K for the year ended December 31, 2008).</w:t>
      </w:r>
    </w:p>
    <w:p>
      <w:pPr>
        <w:spacing w:after="0" w:line="8" w:lineRule="exact"/>
        <w:rPr>
          <w:sz w:val="20"/>
          <w:szCs w:val="20"/>
          <w:color w:val="auto"/>
        </w:rPr>
      </w:pPr>
    </w:p>
    <w:p>
      <w:pPr>
        <w:ind w:left="1480" w:right="360" w:hanging="943"/>
        <w:spacing w:after="0" w:line="277" w:lineRule="auto"/>
        <w:tabs>
          <w:tab w:leader="none" w:pos="14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Republic Services, Inc. Amended and Restated 2007 Stock Incentive Plan effective May 12, 2011 (incorporated by reference to Appendix A of the Company’s Proxy Statement on Schedule 14A filed on April 1, 2011).</w:t>
      </w:r>
    </w:p>
    <w:p>
      <w:pPr>
        <w:spacing w:after="0" w:line="8" w:lineRule="exact"/>
        <w:rPr>
          <w:sz w:val="20"/>
          <w:szCs w:val="20"/>
          <w:color w:val="auto"/>
        </w:rPr>
      </w:pPr>
    </w:p>
    <w:p>
      <w:pPr>
        <w:ind w:left="540"/>
        <w:spacing w:after="0"/>
        <w:tabs>
          <w:tab w:leader="none" w:pos="1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Stock Option Agreement under the Republic Services, Inc. 2007 Stock Incentive Plan (for awards prior to October 28,</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2011) (incorporated by reference to Exhibit 10.9 of the Company’s Annual Report on Form 10-K for the year ended December 31,</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2008).</w:t>
      </w:r>
    </w:p>
    <w:p>
      <w:pPr>
        <w:spacing w:after="0" w:line="49" w:lineRule="exact"/>
        <w:rPr>
          <w:sz w:val="20"/>
          <w:szCs w:val="20"/>
          <w:color w:val="auto"/>
        </w:rPr>
      </w:pPr>
    </w:p>
    <w:p>
      <w:pPr>
        <w:ind w:left="1480" w:right="240" w:hanging="943"/>
        <w:spacing w:after="0" w:line="264" w:lineRule="auto"/>
        <w:tabs>
          <w:tab w:leader="none" w:pos="14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Non-NEO Stock Option Agreement under the Republic Services, Inc. Amended and Restated 2007 Stock Incentive Plan (for awards on or after October 28, 2011) (incorporated by reference to Exhibit 10.1 of the Company’s Quarterly Report on Form 10-Q for the quarter ended September 30, 2011).</w:t>
      </w:r>
    </w:p>
    <w:p>
      <w:pPr>
        <w:spacing w:after="0" w:line="19" w:lineRule="exact"/>
        <w:rPr>
          <w:sz w:val="20"/>
          <w:szCs w:val="20"/>
          <w:color w:val="auto"/>
        </w:rPr>
      </w:pPr>
    </w:p>
    <w:p>
      <w:pPr>
        <w:ind w:left="1480" w:right="140" w:hanging="943"/>
        <w:spacing w:after="0" w:line="264" w:lineRule="auto"/>
        <w:tabs>
          <w:tab w:leader="none" w:pos="1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NEO Stock Option Agreement under the Republic Services, Inc. 2007 Amended and Restated Stock Incentive Plan (for awards on or after October 28, 2011) (incorporated by reference to Exhibit 10.2 of the Company’s Quarterly Report on Form 10-Q for the quarter ended September 30, 2011).</w:t>
      </w:r>
    </w:p>
    <w:p>
      <w:pPr>
        <w:spacing w:after="0" w:line="19" w:lineRule="exact"/>
        <w:rPr>
          <w:sz w:val="20"/>
          <w:szCs w:val="20"/>
          <w:color w:val="auto"/>
        </w:rPr>
      </w:pPr>
    </w:p>
    <w:p>
      <w:pPr>
        <w:ind w:left="1480" w:hanging="943"/>
        <w:spacing w:after="0" w:line="291" w:lineRule="auto"/>
        <w:tabs>
          <w:tab w:leader="none" w:pos="14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Non-NEO Restricted Stock Agreement under the Republic Services, Inc. Amended and Restated 2007 Stock Incentive Plan (for awards on or after October 28, 2011) (incorporated by reference to Exhibit 10.3 of the Company’s Quarterly Report on</w:t>
      </w:r>
    </w:p>
    <w:p>
      <w:pPr>
        <w:ind w:left="1480"/>
        <w:spacing w:after="0"/>
        <w:rPr>
          <w:sz w:val="20"/>
          <w:szCs w:val="20"/>
          <w:color w:val="auto"/>
        </w:rPr>
      </w:pPr>
      <w:r>
        <w:rPr>
          <w:rFonts w:ascii="Arial" w:cs="Arial" w:eastAsia="Arial" w:hAnsi="Arial"/>
          <w:sz w:val="18"/>
          <w:szCs w:val="18"/>
          <w:color w:val="auto"/>
        </w:rPr>
        <w:t>Form 10-Q for the quarter ended September 30, 2011).</w:t>
      </w:r>
    </w:p>
    <w:p>
      <w:pPr>
        <w:spacing w:after="0" w:line="49" w:lineRule="exact"/>
        <w:rPr>
          <w:sz w:val="20"/>
          <w:szCs w:val="20"/>
          <w:color w:val="auto"/>
        </w:rPr>
      </w:pPr>
    </w:p>
    <w:p>
      <w:pPr>
        <w:jc w:val="both"/>
        <w:ind w:left="1480" w:right="60" w:hanging="943"/>
        <w:spacing w:after="0" w:line="264" w:lineRule="auto"/>
        <w:tabs>
          <w:tab w:leader="none" w:pos="14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NEO Restricted Stock Agreement under the Republic Services, Inc. Amended and Restated 2007 Stock Incentive Plan (for awards on or after October 28, 2011) (incorporated by reference to Exhibit 10.4 of the Company’s Quarterly Report on Form 10-Q for the quarter ended September 30, 2011).</w:t>
      </w:r>
    </w:p>
    <w:p>
      <w:pPr>
        <w:spacing w:after="0" w:line="19" w:lineRule="exact"/>
        <w:rPr>
          <w:sz w:val="20"/>
          <w:szCs w:val="20"/>
          <w:color w:val="auto"/>
        </w:rPr>
      </w:pPr>
    </w:p>
    <w:p>
      <w:pPr>
        <w:ind w:left="1480" w:right="20" w:hanging="943"/>
        <w:spacing w:after="0" w:line="264" w:lineRule="auto"/>
        <w:tabs>
          <w:tab w:leader="none" w:pos="14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Employee Restricted Stock Unit Agreement under the Republic Services, Inc. Amended and Restated 2007 Stock Incentive Plan (for awards on or after December 27, 2011) (incorporated by reference to Exhibit 10.1 of the Company’s Current Report on Form 8-K dated December 27, 2011).</w:t>
      </w:r>
    </w:p>
    <w:p>
      <w:pPr>
        <w:spacing w:after="0" w:line="19" w:lineRule="exact"/>
        <w:rPr>
          <w:sz w:val="20"/>
          <w:szCs w:val="20"/>
          <w:color w:val="auto"/>
        </w:rPr>
      </w:pPr>
    </w:p>
    <w:p>
      <w:pPr>
        <w:ind w:left="1480" w:right="40" w:hanging="988"/>
        <w:spacing w:after="0" w:line="264" w:lineRule="auto"/>
        <w:tabs>
          <w:tab w:leader="none" w:pos="14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Non-Employee Director Restricted Stock Unit Agreement (annual vesting) under the Republic Services, Inc. Amended and Restated 2007 Stock Incentive Plan (for awards on or after December 27, 2011) (incorporated by reference to Exhibit 10.2 of the Company’s Current Report on Form 8-K dated December 27, 2011).</w:t>
      </w:r>
    </w:p>
    <w:p>
      <w:pPr>
        <w:spacing w:after="0" w:line="19" w:lineRule="exact"/>
        <w:rPr>
          <w:sz w:val="20"/>
          <w:szCs w:val="20"/>
          <w:color w:val="auto"/>
        </w:rPr>
      </w:pPr>
    </w:p>
    <w:p>
      <w:pPr>
        <w:ind w:left="1480" w:right="60" w:hanging="985"/>
        <w:spacing w:after="0" w:line="264" w:lineRule="auto"/>
        <w:tabs>
          <w:tab w:leader="none" w:pos="14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Non-Employee Director Restricted Stock Unit Agreement (3 year vesting) under the Republic Services, Inc. Amended and Restated 2007 Stock Incentive Plan (for awards on or after December 27, 2011) (incorporated by reference to Exhibit 10.3 of the Company’s Current Report on Form 8-K dated December 27, 2011).</w:t>
      </w:r>
    </w:p>
    <w:p>
      <w:pPr>
        <w:spacing w:after="0" w:line="19" w:lineRule="exact"/>
        <w:rPr>
          <w:sz w:val="20"/>
          <w:szCs w:val="20"/>
          <w:color w:val="auto"/>
        </w:rPr>
      </w:pPr>
    </w:p>
    <w:p>
      <w:pPr>
        <w:jc w:val="both"/>
        <w:ind w:left="1480" w:right="80" w:hanging="988"/>
        <w:spacing w:after="0" w:line="264" w:lineRule="auto"/>
        <w:tabs>
          <w:tab w:leader="none" w:pos="14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Republic Services, Inc. Deferred Compensation Plan, as amended and restated effective January 1, 2010 (incorporated by reference to Exhibit 4.4 of the Company’s Registration Statement on Form S-8, Registration No. 333-170174, filed with the Commission on October 27, 2010).</w:t>
      </w:r>
    </w:p>
    <w:p>
      <w:pPr>
        <w:spacing w:after="0" w:line="19" w:lineRule="exact"/>
        <w:rPr>
          <w:sz w:val="20"/>
          <w:szCs w:val="20"/>
          <w:color w:val="auto"/>
        </w:rPr>
      </w:pPr>
    </w:p>
    <w:p>
      <w:pPr>
        <w:ind w:left="1480" w:right="140" w:hanging="988"/>
        <w:spacing w:after="0" w:line="277" w:lineRule="auto"/>
        <w:tabs>
          <w:tab w:leader="none" w:pos="14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Amendment No. 1 to Republic Services, Inc. Deferred Compensation Plan, effective January 6, 2011 (incorporated by reference to Exhibit 10.17 of the Company’s Annual Report on Form 10-K for the year ended December 31, 2010).</w:t>
      </w:r>
    </w:p>
    <w:p>
      <w:pPr>
        <w:spacing w:after="0" w:line="8" w:lineRule="exact"/>
        <w:rPr>
          <w:sz w:val="20"/>
          <w:szCs w:val="20"/>
          <w:color w:val="auto"/>
        </w:rPr>
      </w:pPr>
    </w:p>
    <w:p>
      <w:pPr>
        <w:ind w:left="1480" w:right="180" w:hanging="988"/>
        <w:spacing w:after="0" w:line="277" w:lineRule="auto"/>
        <w:tabs>
          <w:tab w:leader="none" w:pos="14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Republic Services, Inc. Amended and Restated Executive Incentive Plan, effective February 4, 2014 (incorporated by reference to Appendix A of the Company’s Proxy Statement on Schedule 14A filed on March 26, 2014).</w:t>
      </w:r>
    </w:p>
    <w:p>
      <w:pPr>
        <w:spacing w:after="0" w:line="8" w:lineRule="exact"/>
        <w:rPr>
          <w:sz w:val="20"/>
          <w:szCs w:val="20"/>
          <w:color w:val="auto"/>
        </w:rPr>
      </w:pPr>
    </w:p>
    <w:p>
      <w:pPr>
        <w:ind w:left="1480" w:right="200" w:hanging="988"/>
        <w:spacing w:after="0" w:line="264" w:lineRule="auto"/>
        <w:tabs>
          <w:tab w:leader="none" w:pos="14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Employment Agreement, effective as of October 29, 2013, by and between Republic Services, Inc. and Donald W. Slager (incorporated by reference to Exhibit 10.1 of the Company’s Quarterly Report on Form 10-Q for the quarter ended September 30, 2013).</w:t>
      </w:r>
    </w:p>
    <w:p>
      <w:pPr>
        <w:spacing w:after="0" w:line="19" w:lineRule="exact"/>
        <w:rPr>
          <w:sz w:val="20"/>
          <w:szCs w:val="20"/>
          <w:color w:val="auto"/>
        </w:rPr>
      </w:pPr>
    </w:p>
    <w:p>
      <w:pPr>
        <w:ind w:left="1480" w:right="580" w:hanging="988"/>
        <w:spacing w:after="0" w:line="317" w:lineRule="auto"/>
        <w:tabs>
          <w:tab w:leader="none" w:pos="14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dated December 5, 2008, between Michael Rissman and Republic Services, Inc. (now superseded) (incorporated by reference to Exhibit 10.1 of Republic’s Current Report on Form 8-K filed on February 12, 2010).</w:t>
      </w:r>
    </w:p>
    <w:p>
      <w:pPr>
        <w:ind w:left="1480" w:right="220" w:hanging="988"/>
        <w:spacing w:after="0" w:line="264" w:lineRule="auto"/>
        <w:tabs>
          <w:tab w:leader="none" w:pos="14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Memorandum dated February 9, 2010, terminating Employment Agreement, dated December 5, 2008, between Michael Rissman and Republic Services, Inc.( incorporated by reference to Exhibit 10.2 of Republic’s Current Report on Form 8-K filed on February 12, 2010).</w:t>
      </w: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20"/>
          </w:cols>
          <w:pgMar w:left="240" w:top="118" w:right="6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49" w:lineRule="exact"/>
        <w:rPr>
          <w:sz w:val="20"/>
          <w:szCs w:val="20"/>
          <w:color w:val="auto"/>
        </w:rPr>
      </w:pPr>
    </w:p>
    <w:p>
      <w:pPr>
        <w:ind w:left="1480" w:right="880" w:hanging="988"/>
        <w:spacing w:after="0" w:line="317" w:lineRule="auto"/>
        <w:tabs>
          <w:tab w:leader="none" w:pos="14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Offer Letter dated August 17, 2009 to Michael Rissman from Republic Services, Inc. regarding general counsel position (incorporated by reference to Exhibit 10.3 of Republic’s Current Report on Form 8-K filed on February 12, 2010).</w:t>
      </w:r>
    </w:p>
    <w:p>
      <w:pPr>
        <w:ind w:left="1480" w:right="180" w:hanging="988"/>
        <w:spacing w:after="0" w:line="264" w:lineRule="auto"/>
        <w:tabs>
          <w:tab w:leader="none" w:pos="14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Non-Competition, Non-Solicitation, Confidentiality and Arbitration Agreement, effective as of October 30, 2013, by and between Republic Services, Inc. and Michael Rissman (incorporated by reference to Exhibit 10.2 of the Company’s Quarterly Report on Form 10-Q for the quarter ended September 30, 2013).</w:t>
      </w:r>
    </w:p>
    <w:p>
      <w:pPr>
        <w:spacing w:after="0" w:line="19" w:lineRule="exact"/>
        <w:rPr>
          <w:sz w:val="20"/>
          <w:szCs w:val="20"/>
          <w:color w:val="auto"/>
        </w:rPr>
      </w:pPr>
    </w:p>
    <w:p>
      <w:pPr>
        <w:ind w:left="1480" w:right="380" w:hanging="988"/>
        <w:spacing w:after="0" w:line="264" w:lineRule="auto"/>
        <w:tabs>
          <w:tab w:leader="none" w:pos="14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Amended and Restated Employment Agreement, effective December 8, 2008, by and between Jeffrey A. Hughes and Republic Services, Inc. (incorporated by reference to Exhibit 10.61 of the Company’s Annual Report on Form 10-K for the year ended December 31, 2012).</w:t>
      </w:r>
    </w:p>
    <w:p>
      <w:pPr>
        <w:spacing w:after="0" w:line="19" w:lineRule="exact"/>
        <w:rPr>
          <w:sz w:val="20"/>
          <w:szCs w:val="20"/>
          <w:color w:val="auto"/>
        </w:rPr>
      </w:pPr>
    </w:p>
    <w:p>
      <w:pPr>
        <w:ind w:left="1480" w:right="180" w:hanging="988"/>
        <w:spacing w:after="0" w:line="277" w:lineRule="auto"/>
        <w:tabs>
          <w:tab w:leader="none" w:pos="14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Allied Waste Industries, Inc. 2006 Incentive Stock Plan (incorporated by reference to Exhibit 10.2 of Allied’s Quarterly Report on Form 10-Q for the period ended June 30, 2006).</w:t>
      </w:r>
    </w:p>
    <w:p>
      <w:pPr>
        <w:spacing w:after="0" w:line="8" w:lineRule="exact"/>
        <w:rPr>
          <w:sz w:val="20"/>
          <w:szCs w:val="20"/>
          <w:color w:val="auto"/>
        </w:rPr>
      </w:pPr>
    </w:p>
    <w:p>
      <w:pPr>
        <w:ind w:left="1480" w:right="660" w:hanging="988"/>
        <w:spacing w:after="0" w:line="317" w:lineRule="auto"/>
        <w:tabs>
          <w:tab w:leader="none" w:pos="14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First Amendment to the Allied Waste Industries, Inc. 2006 Incentive Stock Plan, dated as of July 27, 2006 (incorporated by reference to Exhibit 10.1 of Allied’s Quarterly Report on Form 10-Q for the period ended September 30, 2006).</w:t>
      </w:r>
    </w:p>
    <w:p>
      <w:pPr>
        <w:ind w:left="1480" w:hanging="988"/>
        <w:spacing w:after="0" w:line="277" w:lineRule="auto"/>
        <w:tabs>
          <w:tab w:leader="none" w:pos="14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Amended and Restated Allied Waste Industries, Inc. 2006 Incentive Stock Plan, dated as of July 27, 2006 (incorporated by reference to Exhibit 10.2 of Allied’s Quarterly Report on Form 10-Q for the period ended September 30, 2006).</w:t>
      </w:r>
    </w:p>
    <w:p>
      <w:pPr>
        <w:spacing w:after="0" w:line="8" w:lineRule="exact"/>
        <w:rPr>
          <w:sz w:val="20"/>
          <w:szCs w:val="20"/>
          <w:color w:val="auto"/>
        </w:rPr>
      </w:pPr>
    </w:p>
    <w:p>
      <w:pPr>
        <w:ind w:left="1480" w:right="160" w:hanging="988"/>
        <w:spacing w:after="0" w:line="264" w:lineRule="auto"/>
        <w:tabs>
          <w:tab w:leader="none" w:pos="14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First Amendment, dated as of December 5, 2006, to the Amended and Restated Allied Waste Industries, Inc. 2006 Incentive Stock Plan, dated as of July 27, 2006 (incorporated by reference to Exhibit 10.47 of Allied’s Annual Report on Form 10-K for the year ended December 31, 2006).</w:t>
      </w:r>
    </w:p>
    <w:p>
      <w:pPr>
        <w:spacing w:after="0" w:line="19" w:lineRule="exact"/>
        <w:rPr>
          <w:sz w:val="20"/>
          <w:szCs w:val="20"/>
          <w:color w:val="auto"/>
        </w:rPr>
      </w:pPr>
    </w:p>
    <w:p>
      <w:pPr>
        <w:jc w:val="center"/>
        <w:ind w:right="80"/>
        <w:spacing w:after="0" w:line="277" w:lineRule="auto"/>
        <w:rPr>
          <w:sz w:val="20"/>
          <w:szCs w:val="20"/>
          <w:color w:val="auto"/>
        </w:rPr>
      </w:pPr>
      <w:r>
        <w:rPr>
          <w:rFonts w:ascii="Arial" w:cs="Arial" w:eastAsia="Arial" w:hAnsi="Arial"/>
          <w:sz w:val="18"/>
          <w:szCs w:val="18"/>
          <w:color w:val="auto"/>
        </w:rPr>
        <w:t>10.25+      Amended and Restated Allied Waste Industries, Inc. 2006 Incentive Stock Plan, effective October 24, 2007 (incorporated by reference to Exhibit 10.122 of Allied’s Annual Report on Form 10-K for the year ended December 31, 2007).</w:t>
      </w:r>
    </w:p>
    <w:p>
      <w:pPr>
        <w:spacing w:after="0" w:line="8" w:lineRule="exact"/>
        <w:rPr>
          <w:sz w:val="20"/>
          <w:szCs w:val="20"/>
          <w:color w:val="auto"/>
        </w:rPr>
      </w:pPr>
    </w:p>
    <w:p>
      <w:pPr>
        <w:ind w:left="1480" w:right="120" w:hanging="988"/>
        <w:spacing w:after="0" w:line="264" w:lineRule="auto"/>
        <w:tabs>
          <w:tab w:leader="none" w:pos="14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Republic Services, Inc. 2006 Incentive Stock Plan (f/k/a Amended and Restated Allied Waste Industries, Inc. 2006 Incentive Stock Plan), as amended and restated effective December 5, 2008 (incorporated by reference to Exhibit 10.51 of the Company’s Annual Report on Form 10-K for the year ended December 31, 2008).</w:t>
      </w:r>
    </w:p>
    <w:p>
      <w:pPr>
        <w:spacing w:after="0" w:line="19" w:lineRule="exact"/>
        <w:rPr>
          <w:sz w:val="20"/>
          <w:szCs w:val="20"/>
          <w:color w:val="auto"/>
        </w:rPr>
      </w:pPr>
    </w:p>
    <w:p>
      <w:pPr>
        <w:ind w:left="1480" w:right="120" w:hanging="988"/>
        <w:spacing w:after="0" w:line="317" w:lineRule="auto"/>
        <w:tabs>
          <w:tab w:leader="none" w:pos="14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Form of Nonqualified Stock Option Agreement under the Allied Waste Industries, Inc. 2006 Incentive Stock Plan (incorporated by reference to Exhibit 10.3 of Allied’s Quarterly Report on Form 10-Q for the period ended September 30, 2006).</w:t>
      </w:r>
    </w:p>
    <w:p>
      <w:pPr>
        <w:ind w:left="1480" w:right="460" w:hanging="988"/>
        <w:spacing w:after="0" w:line="277" w:lineRule="auto"/>
        <w:tabs>
          <w:tab w:leader="none" w:pos="14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Form of Indemnity Agreement between Allied Waste Industries, Inc. and legacy Allied directors (incorporated by reference to Exhibit 10.19 of Allied’s Quarterly Report on Form 10-Q for the quarter ended March 31, 2004).</w:t>
      </w:r>
    </w:p>
    <w:p>
      <w:pPr>
        <w:spacing w:after="0" w:line="8" w:lineRule="exact"/>
        <w:rPr>
          <w:sz w:val="20"/>
          <w:szCs w:val="20"/>
          <w:color w:val="auto"/>
        </w:rPr>
      </w:pPr>
    </w:p>
    <w:p>
      <w:pPr>
        <w:ind w:left="1480" w:right="20" w:hanging="988"/>
        <w:spacing w:after="0" w:line="277" w:lineRule="auto"/>
        <w:tabs>
          <w:tab w:leader="none" w:pos="14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Republic Services, Inc. Executive Separation Policy, as amended as of March 29, 2012 (incorporated by reference to Exhibit 10.2 of the Company’s Quarterly Report on Form 10-Q for the quarter ended March 31, 2012).</w:t>
      </w:r>
    </w:p>
    <w:p>
      <w:pPr>
        <w:spacing w:after="0" w:line="8" w:lineRule="exact"/>
        <w:rPr>
          <w:sz w:val="20"/>
          <w:szCs w:val="20"/>
          <w:color w:val="auto"/>
        </w:rPr>
      </w:pPr>
    </w:p>
    <w:p>
      <w:pPr>
        <w:ind w:left="1480" w:right="40" w:hanging="988"/>
        <w:spacing w:after="0" w:line="277" w:lineRule="auto"/>
        <w:tabs>
          <w:tab w:leader="none" w:pos="14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Amendment No. 2 to Republic Services, Inc. Deferred Compensation Plan, effective February 7, 2012 (incorporated by reference to Exhibit 10.3 of the Company’s Quarterly Report on Form 10-Q for the quarter ended March 31, 2012).</w:t>
      </w:r>
    </w:p>
    <w:p>
      <w:pPr>
        <w:spacing w:after="0" w:line="8" w:lineRule="exact"/>
        <w:rPr>
          <w:sz w:val="20"/>
          <w:szCs w:val="20"/>
          <w:color w:val="auto"/>
        </w:rPr>
      </w:pPr>
    </w:p>
    <w:p>
      <w:pPr>
        <w:ind w:left="1480" w:right="500" w:hanging="988"/>
        <w:spacing w:after="0" w:line="277" w:lineRule="auto"/>
        <w:tabs>
          <w:tab w:leader="none" w:pos="14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Republic Services, Inc. Amended and Restated 2007 Stock Incentive Plan effective May 9, 2013(incorporated by reference to Exhibit 10.1 of the Company’s Quarterly Report on Form 10-Q for the quarter ended June 30, 2013).</w:t>
      </w:r>
    </w:p>
    <w:p>
      <w:pPr>
        <w:spacing w:after="0" w:line="8" w:lineRule="exact"/>
        <w:rPr>
          <w:sz w:val="20"/>
          <w:szCs w:val="20"/>
          <w:color w:val="auto"/>
        </w:rPr>
      </w:pPr>
    </w:p>
    <w:p>
      <w:pPr>
        <w:ind w:left="1480" w:right="20" w:hanging="988"/>
        <w:spacing w:after="0" w:line="277" w:lineRule="auto"/>
        <w:tabs>
          <w:tab w:leader="none" w:pos="14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No. 3 to Republic Services, Inc. Deferred Compensation Plan, effective October 29, 2013 (incorporated by reference to Exhibit 10.3 of the Company’s Quarterly Report on Form 10-Q for the quarter ended September 30, 2013).</w:t>
      </w:r>
    </w:p>
    <w:p>
      <w:pPr>
        <w:spacing w:after="0" w:line="8" w:lineRule="exact"/>
        <w:rPr>
          <w:sz w:val="20"/>
          <w:szCs w:val="20"/>
          <w:color w:val="auto"/>
        </w:rPr>
      </w:pPr>
    </w:p>
    <w:p>
      <w:pPr>
        <w:ind w:left="1480" w:right="540" w:hanging="988"/>
        <w:spacing w:after="0" w:line="277" w:lineRule="auto"/>
        <w:tabs>
          <w:tab w:leader="none" w:pos="14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Offer Letter, dated May 23, 2014, by and between Robert Maruster and Republic Services, Inc. (incorporated by reference to Exhibit 10.1 of the Company's Current Report on Form 8-K dated June 2, 2014).</w:t>
      </w:r>
    </w:p>
    <w:p>
      <w:pPr>
        <w:spacing w:after="0" w:line="8" w:lineRule="exact"/>
        <w:rPr>
          <w:sz w:val="20"/>
          <w:szCs w:val="20"/>
          <w:color w:val="auto"/>
        </w:rPr>
      </w:pPr>
    </w:p>
    <w:p>
      <w:pPr>
        <w:ind w:left="1480" w:right="60" w:hanging="988"/>
        <w:spacing w:after="0" w:line="298" w:lineRule="auto"/>
        <w:tabs>
          <w:tab w:leader="none" w:pos="146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7"/>
          <w:szCs w:val="17"/>
          <w:color w:val="auto"/>
        </w:rPr>
        <w:t>Form of Employee Restricted Stock Unit Agreement, dated May 23, 2014, by and between Robert Maruster and Republic Services, Inc. (incorporated by reference to Exhibit 10.2 of the Company's Current Report on Form 8-K dated June 2, 2014).</w:t>
      </w:r>
    </w:p>
    <w:p>
      <w:pPr>
        <w:spacing w:after="0" w:line="1" w:lineRule="exact"/>
        <w:rPr>
          <w:sz w:val="20"/>
          <w:szCs w:val="20"/>
          <w:color w:val="auto"/>
        </w:rPr>
      </w:pPr>
    </w:p>
    <w:p>
      <w:pPr>
        <w:ind w:left="1480" w:right="180" w:hanging="988"/>
        <w:spacing w:after="0" w:line="277" w:lineRule="auto"/>
        <w:tabs>
          <w:tab w:leader="none" w:pos="146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Offer Letter, dated August 22, 2014, by and between Charles F. Serianni and Republic Services, Inc. (incorporated by reference to Exhibit 10.1 of the Company's Current Report on Form 8-K dated August 25, 2014).</w:t>
      </w:r>
    </w:p>
    <w:p>
      <w:pPr>
        <w:spacing w:after="0" w:line="8" w:lineRule="exact"/>
        <w:rPr>
          <w:sz w:val="20"/>
          <w:szCs w:val="20"/>
          <w:color w:val="auto"/>
        </w:rPr>
      </w:pPr>
    </w:p>
    <w:p>
      <w:pPr>
        <w:ind w:left="1480" w:right="60" w:hanging="988"/>
        <w:spacing w:after="0" w:line="277" w:lineRule="auto"/>
        <w:tabs>
          <w:tab w:leader="none" w:pos="146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Clawback Policy, dated October 29, 2014 (incorporated by reference to Exhibit 10.1 of the Company's Current Report on Form 8-K dated October 30, 2014).</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20"/>
          </w:cols>
          <w:pgMar w:left="240" w:top="118" w:right="6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6"/>
                <w:szCs w:val="16"/>
                <w:color w:val="auto"/>
              </w:rPr>
            </w:pPr>
          </w:p>
        </w:tc>
        <w:tc>
          <w:tcPr>
            <w:tcW w:w="9660" w:type="dxa"/>
            <w:vAlign w:val="bottom"/>
            <w:gridSpan w:val="3"/>
          </w:tcPr>
          <w:p>
            <w:pPr>
              <w:ind w:left="4540"/>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76"/>
        </w:trPr>
        <w:tc>
          <w:tcPr>
            <w:tcW w:w="2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10.37+</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w w:val="94"/>
              </w:rPr>
              <w:t>First Amendment to the Employment Agreement, dated December 23, 2014, by and between Donald W. Slager and Republic</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w w:val="90"/>
              </w:rPr>
              <w:t>Services, Inc. (incorporated by reference to Exhibit 10.1 of the Company’s Current Report on Form 8-K dated December 24, 2014).</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10.38+</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w w:val="94"/>
              </w:rPr>
              <w:t>Form of Performance Share Agreement, adopted January 7, 2015 (incorporated by reference to Exhibit 10.1 of the Company's</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Current Report on Form 8-K dated January 9, 2015).</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10.39+</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w w:val="93"/>
              </w:rPr>
              <w:t>Form of Employee Restricted Stock Unit Agreement - Senior Executive, adopted January 7, 2015 (incorporated by reference to</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Exhibit 10.2 of the Company's Current Report on Form 8-K dated January 9, 2015).</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10.40+</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w w:val="91"/>
              </w:rPr>
              <w:t>Amendment No. 4 to Republic Services, Inc. Deferred Compensation Plan, effective February 10, 2015 (incorporated by reference</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to Exhibit 10.53 of the Company's Annual Report on Form 10-K for the year ended December 31, 2014).</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21.1*</w:t>
            </w:r>
          </w:p>
        </w:tc>
        <w:tc>
          <w:tcPr>
            <w:tcW w:w="320" w:type="dxa"/>
            <w:vAlign w:val="bottom"/>
          </w:tcPr>
          <w:p>
            <w:pPr>
              <w:spacing w:after="0"/>
              <w:rPr>
                <w:sz w:val="23"/>
                <w:szCs w:val="23"/>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23.1*</w:t>
            </w:r>
          </w:p>
        </w:tc>
        <w:tc>
          <w:tcPr>
            <w:tcW w:w="320" w:type="dxa"/>
            <w:vAlign w:val="bottom"/>
          </w:tcPr>
          <w:p>
            <w:pPr>
              <w:spacing w:after="0"/>
              <w:rPr>
                <w:sz w:val="23"/>
                <w:szCs w:val="23"/>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31.1*</w:t>
            </w:r>
          </w:p>
        </w:tc>
        <w:tc>
          <w:tcPr>
            <w:tcW w:w="320" w:type="dxa"/>
            <w:vAlign w:val="bottom"/>
          </w:tcPr>
          <w:p>
            <w:pPr>
              <w:spacing w:after="0"/>
              <w:rPr>
                <w:sz w:val="23"/>
                <w:szCs w:val="23"/>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31.2*</w:t>
            </w:r>
          </w:p>
        </w:tc>
        <w:tc>
          <w:tcPr>
            <w:tcW w:w="320" w:type="dxa"/>
            <w:vAlign w:val="bottom"/>
          </w:tcPr>
          <w:p>
            <w:pPr>
              <w:spacing w:after="0"/>
              <w:rPr>
                <w:sz w:val="23"/>
                <w:szCs w:val="23"/>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32.1*</w:t>
            </w:r>
          </w:p>
        </w:tc>
        <w:tc>
          <w:tcPr>
            <w:tcW w:w="320" w:type="dxa"/>
            <w:vAlign w:val="bottom"/>
          </w:tcPr>
          <w:p>
            <w:pPr>
              <w:spacing w:after="0"/>
              <w:rPr>
                <w:sz w:val="23"/>
                <w:szCs w:val="23"/>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of Chief Executive Officer.</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32.2*</w:t>
            </w:r>
          </w:p>
        </w:tc>
        <w:tc>
          <w:tcPr>
            <w:tcW w:w="320" w:type="dxa"/>
            <w:vAlign w:val="bottom"/>
          </w:tcPr>
          <w:p>
            <w:pPr>
              <w:spacing w:after="0"/>
              <w:rPr>
                <w:sz w:val="23"/>
                <w:szCs w:val="23"/>
                <w:color w:val="auto"/>
              </w:rPr>
            </w:pP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of Chief Financial Officer.</w:t>
            </w:r>
          </w:p>
        </w:tc>
      </w:tr>
      <w:tr>
        <w:trPr>
          <w:trHeight w:val="270"/>
        </w:trPr>
        <w:tc>
          <w:tcPr>
            <w:tcW w:w="20" w:type="dxa"/>
            <w:vAlign w:val="bottom"/>
          </w:tcPr>
          <w:p>
            <w:pPr>
              <w:spacing w:after="0"/>
              <w:rPr>
                <w:sz w:val="23"/>
                <w:szCs w:val="23"/>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Labels Linkbase Document</w:t>
            </w:r>
          </w:p>
        </w:tc>
      </w:tr>
      <w:tr>
        <w:trPr>
          <w:trHeight w:val="270"/>
        </w:trPr>
        <w:tc>
          <w:tcPr>
            <w:tcW w:w="940" w:type="dxa"/>
            <w:vAlign w:val="bottom"/>
            <w:gridSpan w:val="3"/>
          </w:tcPr>
          <w:p>
            <w:pPr>
              <w:ind w:left="20"/>
              <w:spacing w:after="0"/>
              <w:rPr>
                <w:sz w:val="20"/>
                <w:szCs w:val="20"/>
                <w:color w:val="auto"/>
              </w:rPr>
            </w:pPr>
            <w:r>
              <w:rPr>
                <w:rFonts w:ascii="Arial" w:cs="Arial" w:eastAsia="Arial" w:hAnsi="Arial"/>
                <w:sz w:val="18"/>
                <w:szCs w:val="18"/>
                <w:color w:val="auto"/>
              </w:rPr>
              <w:t>101.PRE*</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940" w:type="dxa"/>
            <w:vAlign w:val="bottom"/>
            <w:gridSpan w:val="3"/>
          </w:tcPr>
          <w:p>
            <w:pPr>
              <w:ind w:left="20"/>
              <w:spacing w:after="0"/>
              <w:rPr>
                <w:sz w:val="20"/>
                <w:szCs w:val="20"/>
                <w:color w:val="auto"/>
              </w:rPr>
            </w:pPr>
            <w:r>
              <w:rPr>
                <w:rFonts w:ascii="Arial" w:cs="Arial" w:eastAsia="Arial" w:hAnsi="Arial"/>
                <w:sz w:val="18"/>
                <w:szCs w:val="18"/>
                <w:color w:val="auto"/>
              </w:rPr>
              <w:t>101.DEF*</w:t>
            </w:r>
          </w:p>
        </w:tc>
        <w:tc>
          <w:tcPr>
            <w:tcW w:w="966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340" w:right="220" w:hanging="332"/>
        <w:spacing w:after="0" w:line="250" w:lineRule="auto"/>
        <w:tabs>
          <w:tab w:leader="none" w:pos="2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or compensatory plan or arrangement.</w:t>
      </w:r>
    </w:p>
    <w:p>
      <w:pPr>
        <w:spacing w:after="0" w:line="23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60"/>
          </w:cols>
          <w:pgMar w:left="240" w:top="118" w:right="69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REPUBLIC SERVICES, INC.</w:t>
      </w:r>
    </w:p>
    <w:p>
      <w:pPr>
        <w:spacing w:after="0" w:line="1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11, 2016</w:t>
      </w:r>
    </w:p>
    <w:p>
      <w:pPr>
        <w:spacing w:after="0" w:line="47" w:lineRule="exact"/>
        <w:rPr>
          <w:sz w:val="20"/>
          <w:szCs w:val="20"/>
          <w:color w:val="auto"/>
        </w:rPr>
      </w:pPr>
    </w:p>
    <w:p>
      <w:pPr>
        <w:ind w:left="5740"/>
        <w:spacing w:after="0"/>
        <w:tabs>
          <w:tab w:leader="none" w:pos="7840" w:val="left"/>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W. S</w:t>
      </w:r>
      <w:r>
        <w:rPr>
          <w:rFonts w:ascii="Arial" w:cs="Arial" w:eastAsia="Arial" w:hAnsi="Arial"/>
          <w:sz w:val="13"/>
          <w:szCs w:val="13"/>
          <w:color w:val="auto"/>
        </w:rPr>
        <w:t>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730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Donald W. Slager</w:t>
      </w:r>
    </w:p>
    <w:p>
      <w:pPr>
        <w:spacing w:after="0" w:line="6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President and</w:t>
      </w:r>
    </w:p>
    <w:p>
      <w:pPr>
        <w:spacing w:after="0" w:line="23"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240" w:top="118" w:right="419" w:bottom="1440" w:gutter="0" w:footer="0" w:header="0"/>
        </w:sect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3160" w:type="dxa"/>
            <w:vAlign w:val="bottom"/>
          </w:tcPr>
          <w:p>
            <w:pPr>
              <w:jc w:val="center"/>
              <w:ind w:right="1771"/>
              <w:spacing w:after="0"/>
              <w:rPr>
                <w:sz w:val="20"/>
                <w:szCs w:val="20"/>
                <w:color w:val="auto"/>
              </w:rPr>
            </w:pPr>
            <w:r>
              <w:rPr>
                <w:rFonts w:ascii="Arial" w:cs="Arial" w:eastAsia="Arial" w:hAnsi="Arial"/>
                <w:sz w:val="18"/>
                <w:szCs w:val="18"/>
                <w:color w:val="auto"/>
                <w:w w:val="90"/>
              </w:rPr>
              <w:t>Signature</w:t>
            </w:r>
          </w:p>
        </w:tc>
      </w:tr>
      <w:tr>
        <w:trPr>
          <w:trHeight w:val="338"/>
        </w:trPr>
        <w:tc>
          <w:tcPr>
            <w:tcW w:w="1860" w:type="dxa"/>
            <w:vAlign w:val="bottom"/>
          </w:tcPr>
          <w:p>
            <w:pPr>
              <w:ind w:left="1580"/>
              <w:spacing w:after="0"/>
              <w:rPr>
                <w:sz w:val="20"/>
                <w:szCs w:val="20"/>
                <w:color w:val="auto"/>
              </w:rPr>
            </w:pPr>
            <w:r>
              <w:rPr>
                <w:rFonts w:ascii="Arial" w:cs="Arial" w:eastAsia="Arial" w:hAnsi="Arial"/>
                <w:sz w:val="18"/>
                <w:szCs w:val="18"/>
                <w:color w:val="auto"/>
              </w:rPr>
              <w:t>/s/</w:t>
            </w:r>
          </w:p>
        </w:tc>
        <w:tc>
          <w:tcPr>
            <w:tcW w:w="3160" w:type="dxa"/>
            <w:vAlign w:val="bottom"/>
          </w:tcPr>
          <w:p>
            <w:pPr>
              <w:jc w:val="center"/>
              <w:ind w:right="1411"/>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ONALD</w:t>
            </w:r>
            <w:r>
              <w:rPr>
                <w:rFonts w:ascii="Arial" w:cs="Arial" w:eastAsia="Arial" w:hAnsi="Arial"/>
                <w:sz w:val="18"/>
                <w:szCs w:val="18"/>
                <w:color w:val="auto"/>
                <w:w w:val="98"/>
              </w:rPr>
              <w:t xml:space="preserve"> W. S</w:t>
            </w:r>
            <w:r>
              <w:rPr>
                <w:rFonts w:ascii="Arial" w:cs="Arial" w:eastAsia="Arial" w:hAnsi="Arial"/>
                <w:sz w:val="14"/>
                <w:szCs w:val="14"/>
                <w:color w:val="auto"/>
                <w:w w:val="98"/>
              </w:rPr>
              <w:t>LAGER</w:t>
            </w:r>
          </w:p>
        </w:tc>
      </w:tr>
      <w:tr>
        <w:trPr>
          <w:trHeight w:val="27"/>
        </w:trPr>
        <w:tc>
          <w:tcPr>
            <w:tcW w:w="18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3160" w:type="dxa"/>
            <w:vAlign w:val="bottom"/>
          </w:tcPr>
          <w:p>
            <w:pPr>
              <w:jc w:val="center"/>
              <w:ind w:right="1711"/>
              <w:spacing w:after="0"/>
              <w:rPr>
                <w:sz w:val="20"/>
                <w:szCs w:val="20"/>
                <w:color w:val="auto"/>
              </w:rPr>
            </w:pPr>
            <w:r>
              <w:rPr>
                <w:rFonts w:ascii="Arial" w:cs="Arial" w:eastAsia="Arial" w:hAnsi="Arial"/>
                <w:sz w:val="18"/>
                <w:szCs w:val="18"/>
                <w:color w:val="auto"/>
                <w:w w:val="90"/>
              </w:rPr>
              <w:t>Donald W. Slager</w:t>
            </w:r>
          </w:p>
        </w:tc>
      </w:tr>
      <w:tr>
        <w:trPr>
          <w:trHeight w:val="737"/>
        </w:trPr>
        <w:tc>
          <w:tcPr>
            <w:tcW w:w="1860" w:type="dxa"/>
            <w:vAlign w:val="bottom"/>
          </w:tcPr>
          <w:p>
            <w:pPr>
              <w:ind w:left="1580"/>
              <w:spacing w:after="0"/>
              <w:rPr>
                <w:sz w:val="20"/>
                <w:szCs w:val="20"/>
                <w:color w:val="auto"/>
              </w:rPr>
            </w:pPr>
            <w:r>
              <w:rPr>
                <w:rFonts w:ascii="Arial" w:cs="Arial" w:eastAsia="Arial" w:hAnsi="Arial"/>
                <w:sz w:val="16"/>
                <w:szCs w:val="16"/>
                <w:color w:val="auto"/>
              </w:rPr>
              <w:t>/s/</w:t>
            </w:r>
          </w:p>
        </w:tc>
        <w:tc>
          <w:tcPr>
            <w:tcW w:w="3160" w:type="dxa"/>
            <w:vAlign w:val="bottom"/>
          </w:tcPr>
          <w:p>
            <w:pPr>
              <w:jc w:val="center"/>
              <w:ind w:right="1451"/>
              <w:spacing w:after="0"/>
              <w:rPr>
                <w:sz w:val="20"/>
                <w:szCs w:val="20"/>
                <w:color w:val="auto"/>
              </w:rPr>
            </w:pPr>
            <w:r>
              <w:rPr>
                <w:rFonts w:ascii="Arial" w:cs="Arial" w:eastAsia="Arial" w:hAnsi="Arial"/>
                <w:sz w:val="16"/>
                <w:szCs w:val="16"/>
                <w:color w:val="auto"/>
                <w:w w:val="97"/>
              </w:rPr>
              <w:t>C</w:t>
            </w:r>
            <w:r>
              <w:rPr>
                <w:rFonts w:ascii="Arial" w:cs="Arial" w:eastAsia="Arial" w:hAnsi="Arial"/>
                <w:sz w:val="14"/>
                <w:szCs w:val="14"/>
                <w:color w:val="auto"/>
                <w:w w:val="97"/>
              </w:rPr>
              <w:t>HARLES</w:t>
            </w:r>
            <w:r>
              <w:rPr>
                <w:rFonts w:ascii="Arial" w:cs="Arial" w:eastAsia="Arial" w:hAnsi="Arial"/>
                <w:sz w:val="16"/>
                <w:szCs w:val="16"/>
                <w:color w:val="auto"/>
                <w:w w:val="97"/>
              </w:rPr>
              <w:t xml:space="preserve"> F. S</w:t>
            </w:r>
            <w:r>
              <w:rPr>
                <w:rFonts w:ascii="Arial" w:cs="Arial" w:eastAsia="Arial" w:hAnsi="Arial"/>
                <w:sz w:val="14"/>
                <w:szCs w:val="14"/>
                <w:color w:val="auto"/>
                <w:w w:val="97"/>
              </w:rPr>
              <w:t>ERIANNI</w:t>
            </w:r>
          </w:p>
        </w:tc>
      </w:tr>
      <w:tr>
        <w:trPr>
          <w:trHeight w:val="33"/>
        </w:trPr>
        <w:tc>
          <w:tcPr>
            <w:tcW w:w="5020" w:type="dxa"/>
            <w:vAlign w:val="bottom"/>
            <w:tcBorders>
              <w:bottom w:val="single" w:sz="8" w:color="auto"/>
            </w:tcBorders>
            <w:gridSpan w:val="2"/>
          </w:tcPr>
          <w:p>
            <w:pPr>
              <w:spacing w:after="0"/>
              <w:rPr>
                <w:sz w:val="2"/>
                <w:szCs w:val="2"/>
                <w:color w:val="auto"/>
              </w:rPr>
            </w:pPr>
          </w:p>
        </w:tc>
      </w:tr>
      <w:tr>
        <w:trPr>
          <w:trHeight w:val="237"/>
        </w:trPr>
        <w:tc>
          <w:tcPr>
            <w:tcW w:w="5020" w:type="dxa"/>
            <w:vAlign w:val="bottom"/>
            <w:gridSpan w:val="2"/>
          </w:tcPr>
          <w:p>
            <w:pPr>
              <w:jc w:val="center"/>
              <w:spacing w:after="0"/>
              <w:rPr>
                <w:sz w:val="20"/>
                <w:szCs w:val="20"/>
                <w:color w:val="auto"/>
              </w:rPr>
            </w:pPr>
            <w:r>
              <w:rPr>
                <w:rFonts w:ascii="Arial" w:cs="Arial" w:eastAsia="Arial" w:hAnsi="Arial"/>
                <w:sz w:val="18"/>
                <w:szCs w:val="18"/>
                <w:color w:val="auto"/>
                <w:w w:val="89"/>
              </w:rPr>
              <w:t>Charles F. Serianni</w:t>
            </w:r>
          </w:p>
        </w:tc>
      </w:tr>
      <w:tr>
        <w:trPr>
          <w:trHeight w:val="743"/>
        </w:trPr>
        <w:tc>
          <w:tcPr>
            <w:tcW w:w="1860" w:type="dxa"/>
            <w:vAlign w:val="bottom"/>
          </w:tcPr>
          <w:p>
            <w:pPr>
              <w:ind w:left="1680"/>
              <w:spacing w:after="0"/>
              <w:rPr>
                <w:sz w:val="20"/>
                <w:szCs w:val="20"/>
                <w:color w:val="auto"/>
              </w:rPr>
            </w:pPr>
            <w:r>
              <w:rPr>
                <w:rFonts w:ascii="Arial" w:cs="Arial" w:eastAsia="Arial" w:hAnsi="Arial"/>
                <w:sz w:val="18"/>
                <w:szCs w:val="18"/>
                <w:color w:val="auto"/>
                <w:w w:val="83"/>
              </w:rPr>
              <w:t>/s/</w:t>
            </w:r>
          </w:p>
        </w:tc>
        <w:tc>
          <w:tcPr>
            <w:tcW w:w="3160" w:type="dxa"/>
            <w:vAlign w:val="bottom"/>
          </w:tcPr>
          <w:p>
            <w:pPr>
              <w:jc w:val="center"/>
              <w:ind w:right="1431"/>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RIAN</w:t>
            </w:r>
            <w:r>
              <w:rPr>
                <w:rFonts w:ascii="Arial" w:cs="Arial" w:eastAsia="Arial" w:hAnsi="Arial"/>
                <w:sz w:val="18"/>
                <w:szCs w:val="18"/>
                <w:color w:val="auto"/>
                <w:w w:val="99"/>
              </w:rPr>
              <w:t xml:space="preserve"> A. G</w:t>
            </w:r>
            <w:r>
              <w:rPr>
                <w:rFonts w:ascii="Arial" w:cs="Arial" w:eastAsia="Arial" w:hAnsi="Arial"/>
                <w:sz w:val="14"/>
                <w:szCs w:val="14"/>
                <w:color w:val="auto"/>
                <w:w w:val="99"/>
              </w:rPr>
              <w:t>OEBEL</w:t>
            </w:r>
          </w:p>
        </w:tc>
      </w:tr>
      <w:tr>
        <w:trPr>
          <w:trHeight w:val="27"/>
        </w:trPr>
        <w:tc>
          <w:tcPr>
            <w:tcW w:w="18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3160" w:type="dxa"/>
            <w:vAlign w:val="bottom"/>
          </w:tcPr>
          <w:p>
            <w:pPr>
              <w:jc w:val="center"/>
              <w:ind w:right="1771"/>
              <w:spacing w:after="0"/>
              <w:rPr>
                <w:sz w:val="20"/>
                <w:szCs w:val="20"/>
                <w:color w:val="auto"/>
              </w:rPr>
            </w:pPr>
            <w:r>
              <w:rPr>
                <w:rFonts w:ascii="Arial" w:cs="Arial" w:eastAsia="Arial" w:hAnsi="Arial"/>
                <w:sz w:val="18"/>
                <w:szCs w:val="18"/>
                <w:color w:val="auto"/>
                <w:w w:val="92"/>
              </w:rPr>
              <w:t>Brian A. Goebel</w:t>
            </w:r>
          </w:p>
        </w:tc>
      </w:tr>
      <w:tr>
        <w:trPr>
          <w:trHeight w:val="675"/>
        </w:trPr>
        <w:tc>
          <w:tcPr>
            <w:tcW w:w="1860" w:type="dxa"/>
            <w:vAlign w:val="bottom"/>
          </w:tcPr>
          <w:p>
            <w:pPr>
              <w:ind w:left="1500"/>
              <w:spacing w:after="0"/>
              <w:rPr>
                <w:sz w:val="20"/>
                <w:szCs w:val="20"/>
                <w:color w:val="auto"/>
              </w:rPr>
            </w:pPr>
            <w:r>
              <w:rPr>
                <w:rFonts w:ascii="Arial" w:cs="Arial" w:eastAsia="Arial" w:hAnsi="Arial"/>
                <w:sz w:val="18"/>
                <w:szCs w:val="18"/>
                <w:color w:val="auto"/>
              </w:rPr>
              <w:t>/s/</w:t>
            </w:r>
          </w:p>
        </w:tc>
        <w:tc>
          <w:tcPr>
            <w:tcW w:w="3160" w:type="dxa"/>
            <w:vAlign w:val="bottom"/>
          </w:tcPr>
          <w:p>
            <w:pPr>
              <w:jc w:val="center"/>
              <w:ind w:right="1411"/>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AMON</w:t>
            </w:r>
            <w:r>
              <w:rPr>
                <w:rFonts w:ascii="Arial" w:cs="Arial" w:eastAsia="Arial" w:hAnsi="Arial"/>
                <w:sz w:val="18"/>
                <w:szCs w:val="18"/>
                <w:color w:val="auto"/>
                <w:w w:val="98"/>
              </w:rPr>
              <w:t xml:space="preserve"> A. R</w:t>
            </w:r>
            <w:r>
              <w:rPr>
                <w:rFonts w:ascii="Arial" w:cs="Arial" w:eastAsia="Arial" w:hAnsi="Arial"/>
                <w:sz w:val="14"/>
                <w:szCs w:val="14"/>
                <w:color w:val="auto"/>
                <w:w w:val="98"/>
              </w:rPr>
              <w:t>ODRIGUEZ</w:t>
            </w:r>
          </w:p>
        </w:tc>
      </w:tr>
      <w:tr>
        <w:trPr>
          <w:trHeight w:val="27"/>
        </w:trPr>
        <w:tc>
          <w:tcPr>
            <w:tcW w:w="5020" w:type="dxa"/>
            <w:vAlign w:val="bottom"/>
            <w:tcBorders>
              <w:bottom w:val="single" w:sz="8" w:color="auto"/>
            </w:tcBorders>
            <w:gridSpan w:val="2"/>
          </w:tcPr>
          <w:p>
            <w:pPr>
              <w:spacing w:after="0"/>
              <w:rPr>
                <w:sz w:val="2"/>
                <w:szCs w:val="2"/>
                <w:color w:val="auto"/>
              </w:rPr>
            </w:pPr>
          </w:p>
        </w:tc>
      </w:tr>
      <w:tr>
        <w:trPr>
          <w:trHeight w:val="237"/>
        </w:trPr>
        <w:tc>
          <w:tcPr>
            <w:tcW w:w="5020" w:type="dxa"/>
            <w:vAlign w:val="bottom"/>
            <w:gridSpan w:val="2"/>
          </w:tcPr>
          <w:p>
            <w:pPr>
              <w:jc w:val="center"/>
              <w:spacing w:after="0"/>
              <w:rPr>
                <w:sz w:val="20"/>
                <w:szCs w:val="20"/>
                <w:color w:val="auto"/>
              </w:rPr>
            </w:pPr>
            <w:r>
              <w:rPr>
                <w:rFonts w:ascii="Arial" w:cs="Arial" w:eastAsia="Arial" w:hAnsi="Arial"/>
                <w:sz w:val="18"/>
                <w:szCs w:val="18"/>
                <w:color w:val="auto"/>
                <w:w w:val="92"/>
              </w:rPr>
              <w:t>Ramon A. Rodriguez</w:t>
            </w:r>
          </w:p>
        </w:tc>
      </w:tr>
      <w:tr>
        <w:trPr>
          <w:trHeight w:val="594"/>
        </w:trPr>
        <w:tc>
          <w:tcPr>
            <w:tcW w:w="1860" w:type="dxa"/>
            <w:vAlign w:val="bottom"/>
          </w:tcPr>
          <w:p>
            <w:pPr>
              <w:ind w:left="1680"/>
              <w:spacing w:after="0"/>
              <w:rPr>
                <w:sz w:val="20"/>
                <w:szCs w:val="20"/>
                <w:color w:val="auto"/>
              </w:rPr>
            </w:pPr>
            <w:r>
              <w:rPr>
                <w:rFonts w:ascii="Arial" w:cs="Arial" w:eastAsia="Arial" w:hAnsi="Arial"/>
                <w:sz w:val="18"/>
                <w:szCs w:val="18"/>
                <w:color w:val="auto"/>
                <w:w w:val="83"/>
              </w:rPr>
              <w:t>/s/</w:t>
            </w:r>
          </w:p>
        </w:tc>
        <w:tc>
          <w:tcPr>
            <w:tcW w:w="3160" w:type="dxa"/>
            <w:vAlign w:val="bottom"/>
          </w:tcPr>
          <w:p>
            <w:pPr>
              <w:jc w:val="center"/>
              <w:ind w:right="1431"/>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OMAGO</w:t>
            </w:r>
            <w:r>
              <w:rPr>
                <w:rFonts w:ascii="Arial" w:cs="Arial" w:eastAsia="Arial" w:hAnsi="Arial"/>
                <w:sz w:val="18"/>
                <w:szCs w:val="18"/>
                <w:color w:val="auto"/>
                <w:w w:val="99"/>
              </w:rPr>
              <w:t xml:space="preserve"> C</w:t>
            </w:r>
            <w:r>
              <w:rPr>
                <w:rFonts w:ascii="Arial" w:cs="Arial" w:eastAsia="Arial" w:hAnsi="Arial"/>
                <w:sz w:val="14"/>
                <w:szCs w:val="14"/>
                <w:color w:val="auto"/>
                <w:w w:val="99"/>
              </w:rPr>
              <w:t>OLLINS</w:t>
            </w:r>
          </w:p>
        </w:tc>
      </w:tr>
      <w:tr>
        <w:trPr>
          <w:trHeight w:val="27"/>
        </w:trPr>
        <w:tc>
          <w:tcPr>
            <w:tcW w:w="18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3160" w:type="dxa"/>
            <w:vAlign w:val="bottom"/>
          </w:tcPr>
          <w:p>
            <w:pPr>
              <w:jc w:val="center"/>
              <w:ind w:right="1771"/>
              <w:spacing w:after="0"/>
              <w:rPr>
                <w:sz w:val="20"/>
                <w:szCs w:val="20"/>
                <w:color w:val="auto"/>
              </w:rPr>
            </w:pPr>
            <w:r>
              <w:rPr>
                <w:rFonts w:ascii="Arial" w:cs="Arial" w:eastAsia="Arial" w:hAnsi="Arial"/>
                <w:sz w:val="18"/>
                <w:szCs w:val="18"/>
                <w:color w:val="auto"/>
                <w:w w:val="91"/>
              </w:rPr>
              <w:t>Tomago Collins</w:t>
            </w: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ind w:left="1480"/>
              <w:spacing w:after="0"/>
              <w:rPr>
                <w:sz w:val="20"/>
                <w:szCs w:val="20"/>
                <w:color w:val="auto"/>
              </w:rPr>
            </w:pPr>
            <w:r>
              <w:rPr>
                <w:rFonts w:ascii="Arial" w:cs="Arial" w:eastAsia="Arial" w:hAnsi="Arial"/>
                <w:sz w:val="18"/>
                <w:szCs w:val="18"/>
                <w:color w:val="auto"/>
              </w:rPr>
              <w:t>/s/</w:t>
            </w:r>
          </w:p>
        </w:tc>
        <w:tc>
          <w:tcPr>
            <w:tcW w:w="3180" w:type="dxa"/>
            <w:vAlign w:val="bottom"/>
          </w:tcPr>
          <w:p>
            <w:pPr>
              <w:jc w:val="center"/>
              <w:ind w:right="1392"/>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AMES</w:t>
            </w:r>
            <w:r>
              <w:rPr>
                <w:rFonts w:ascii="Arial" w:cs="Arial" w:eastAsia="Arial" w:hAnsi="Arial"/>
                <w:sz w:val="18"/>
                <w:szCs w:val="18"/>
                <w:color w:val="auto"/>
                <w:w w:val="95"/>
              </w:rPr>
              <w:t xml:space="preserve"> W. C</w:t>
            </w:r>
            <w:r>
              <w:rPr>
                <w:rFonts w:ascii="Arial" w:cs="Arial" w:eastAsia="Arial" w:hAnsi="Arial"/>
                <w:sz w:val="14"/>
                <w:szCs w:val="14"/>
                <w:color w:val="auto"/>
                <w:w w:val="95"/>
              </w:rPr>
              <w:t>ROWNOVER</w:t>
            </w:r>
          </w:p>
        </w:tc>
      </w:tr>
      <w:tr>
        <w:trPr>
          <w:trHeight w:val="27"/>
        </w:trPr>
        <w:tc>
          <w:tcPr>
            <w:tcW w:w="5020" w:type="dxa"/>
            <w:vAlign w:val="bottom"/>
            <w:tcBorders>
              <w:bottom w:val="single" w:sz="8" w:color="auto"/>
            </w:tcBorders>
            <w:gridSpan w:val="2"/>
          </w:tcPr>
          <w:p>
            <w:pPr>
              <w:spacing w:after="0"/>
              <w:rPr>
                <w:sz w:val="2"/>
                <w:szCs w:val="2"/>
                <w:color w:val="auto"/>
              </w:rPr>
            </w:pPr>
          </w:p>
        </w:tc>
      </w:tr>
      <w:tr>
        <w:trPr>
          <w:trHeight w:val="237"/>
        </w:trPr>
        <w:tc>
          <w:tcPr>
            <w:tcW w:w="5020" w:type="dxa"/>
            <w:vAlign w:val="bottom"/>
            <w:gridSpan w:val="2"/>
          </w:tcPr>
          <w:p>
            <w:pPr>
              <w:jc w:val="center"/>
              <w:spacing w:after="0"/>
              <w:rPr>
                <w:sz w:val="20"/>
                <w:szCs w:val="20"/>
                <w:color w:val="auto"/>
              </w:rPr>
            </w:pPr>
            <w:r>
              <w:rPr>
                <w:rFonts w:ascii="Arial" w:cs="Arial" w:eastAsia="Arial" w:hAnsi="Arial"/>
                <w:sz w:val="18"/>
                <w:szCs w:val="18"/>
                <w:color w:val="auto"/>
                <w:w w:val="89"/>
              </w:rPr>
              <w:t>James W. Crownover</w:t>
            </w:r>
          </w:p>
        </w:tc>
      </w:tr>
      <w:tr>
        <w:trPr>
          <w:trHeight w:val="588"/>
        </w:trPr>
        <w:tc>
          <w:tcPr>
            <w:tcW w:w="1840" w:type="dxa"/>
            <w:vAlign w:val="bottom"/>
          </w:tcPr>
          <w:p>
            <w:pPr>
              <w:ind w:left="1640"/>
              <w:spacing w:after="0"/>
              <w:rPr>
                <w:sz w:val="20"/>
                <w:szCs w:val="20"/>
                <w:color w:val="auto"/>
              </w:rPr>
            </w:pPr>
            <w:r>
              <w:rPr>
                <w:rFonts w:ascii="Arial" w:cs="Arial" w:eastAsia="Arial" w:hAnsi="Arial"/>
                <w:sz w:val="16"/>
                <w:szCs w:val="16"/>
                <w:color w:val="auto"/>
              </w:rPr>
              <w:t>/s/</w:t>
            </w:r>
          </w:p>
        </w:tc>
        <w:tc>
          <w:tcPr>
            <w:tcW w:w="3180" w:type="dxa"/>
            <w:vAlign w:val="bottom"/>
          </w:tcPr>
          <w:p>
            <w:pPr>
              <w:jc w:val="center"/>
              <w:ind w:right="1432"/>
              <w:spacing w:after="0"/>
              <w:rPr>
                <w:sz w:val="20"/>
                <w:szCs w:val="20"/>
                <w:color w:val="auto"/>
              </w:rPr>
            </w:pPr>
            <w:r>
              <w:rPr>
                <w:rFonts w:ascii="Arial" w:cs="Arial" w:eastAsia="Arial" w:hAnsi="Arial"/>
                <w:sz w:val="16"/>
                <w:szCs w:val="16"/>
                <w:color w:val="auto"/>
              </w:rPr>
              <w:t>A</w:t>
            </w:r>
            <w:r>
              <w:rPr>
                <w:rFonts w:ascii="Arial" w:cs="Arial" w:eastAsia="Arial" w:hAnsi="Arial"/>
                <w:sz w:val="14"/>
                <w:szCs w:val="14"/>
                <w:color w:val="auto"/>
              </w:rPr>
              <w:t>NN</w:t>
            </w:r>
            <w:r>
              <w:rPr>
                <w:rFonts w:ascii="Arial" w:cs="Arial" w:eastAsia="Arial" w:hAnsi="Arial"/>
                <w:sz w:val="16"/>
                <w:szCs w:val="16"/>
                <w:color w:val="auto"/>
              </w:rPr>
              <w:t xml:space="preserve"> E. D</w:t>
            </w:r>
            <w:r>
              <w:rPr>
                <w:rFonts w:ascii="Arial" w:cs="Arial" w:eastAsia="Arial" w:hAnsi="Arial"/>
                <w:sz w:val="14"/>
                <w:szCs w:val="14"/>
                <w:color w:val="auto"/>
              </w:rPr>
              <w:t>UNWOODY</w:t>
            </w:r>
          </w:p>
        </w:tc>
      </w:tr>
      <w:tr>
        <w:trPr>
          <w:trHeight w:val="33"/>
        </w:trPr>
        <w:tc>
          <w:tcPr>
            <w:tcW w:w="18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3180" w:type="dxa"/>
            <w:vAlign w:val="bottom"/>
          </w:tcPr>
          <w:p>
            <w:pPr>
              <w:jc w:val="center"/>
              <w:ind w:right="1732"/>
              <w:spacing w:after="0"/>
              <w:rPr>
                <w:sz w:val="20"/>
                <w:szCs w:val="20"/>
                <w:color w:val="auto"/>
              </w:rPr>
            </w:pPr>
            <w:r>
              <w:rPr>
                <w:rFonts w:ascii="Arial" w:cs="Arial" w:eastAsia="Arial" w:hAnsi="Arial"/>
                <w:sz w:val="18"/>
                <w:szCs w:val="18"/>
                <w:color w:val="auto"/>
                <w:w w:val="94"/>
              </w:rPr>
              <w:t>Ann E. Dunwoody</w:t>
            </w:r>
          </w:p>
        </w:tc>
      </w:tr>
      <w:tr>
        <w:trPr>
          <w:trHeight w:val="594"/>
        </w:trPr>
        <w:tc>
          <w:tcPr>
            <w:tcW w:w="1840" w:type="dxa"/>
            <w:vAlign w:val="bottom"/>
          </w:tcPr>
          <w:p>
            <w:pPr>
              <w:ind w:left="1660"/>
              <w:spacing w:after="0"/>
              <w:rPr>
                <w:sz w:val="20"/>
                <w:szCs w:val="20"/>
                <w:color w:val="auto"/>
              </w:rPr>
            </w:pPr>
            <w:r>
              <w:rPr>
                <w:rFonts w:ascii="Arial" w:cs="Arial" w:eastAsia="Arial" w:hAnsi="Arial"/>
                <w:sz w:val="18"/>
                <w:szCs w:val="18"/>
                <w:color w:val="auto"/>
                <w:w w:val="83"/>
              </w:rPr>
              <w:t>/s/</w:t>
            </w:r>
          </w:p>
        </w:tc>
        <w:tc>
          <w:tcPr>
            <w:tcW w:w="3180" w:type="dxa"/>
            <w:vAlign w:val="bottom"/>
          </w:tcPr>
          <w:p>
            <w:pPr>
              <w:jc w:val="center"/>
              <w:ind w:right="1412"/>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J. F</w:t>
            </w:r>
            <w:r>
              <w:rPr>
                <w:rFonts w:ascii="Arial" w:cs="Arial" w:eastAsia="Arial" w:hAnsi="Arial"/>
                <w:sz w:val="14"/>
                <w:szCs w:val="14"/>
                <w:color w:val="auto"/>
              </w:rPr>
              <w:t>LYNN</w:t>
            </w:r>
          </w:p>
        </w:tc>
      </w:tr>
      <w:tr>
        <w:trPr>
          <w:trHeight w:val="27"/>
        </w:trPr>
        <w:tc>
          <w:tcPr>
            <w:tcW w:w="18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3180" w:type="dxa"/>
            <w:vAlign w:val="bottom"/>
          </w:tcPr>
          <w:p>
            <w:pPr>
              <w:jc w:val="center"/>
              <w:ind w:right="1752"/>
              <w:spacing w:after="0"/>
              <w:rPr>
                <w:sz w:val="20"/>
                <w:szCs w:val="20"/>
                <w:color w:val="auto"/>
              </w:rPr>
            </w:pPr>
            <w:r>
              <w:rPr>
                <w:rFonts w:ascii="Arial" w:cs="Arial" w:eastAsia="Arial" w:hAnsi="Arial"/>
                <w:sz w:val="18"/>
                <w:szCs w:val="18"/>
                <w:color w:val="auto"/>
                <w:w w:val="96"/>
              </w:rPr>
              <w:t>William J. Flynn</w:t>
            </w:r>
          </w:p>
        </w:tc>
      </w:tr>
    </w:tbl>
    <w:p>
      <w:pPr>
        <w:spacing w:after="0" w:line="364" w:lineRule="exact"/>
        <w:rPr>
          <w:sz w:val="20"/>
          <w:szCs w:val="20"/>
          <w:color w:val="auto"/>
        </w:rPr>
      </w:pPr>
    </w:p>
    <w:p>
      <w:pPr>
        <w:jc w:val="center"/>
        <w:ind w:right="100"/>
        <w:spacing w:after="0"/>
        <w:tabs>
          <w:tab w:leader="none" w:pos="1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ANUEL</w:t>
      </w:r>
      <w:r>
        <w:rPr>
          <w:rFonts w:ascii="Arial" w:cs="Arial" w:eastAsia="Arial" w:hAnsi="Arial"/>
          <w:sz w:val="18"/>
          <w:szCs w:val="18"/>
          <w:color w:val="auto"/>
        </w:rPr>
        <w:t xml:space="preserve"> </w:t>
      </w:r>
      <w:r>
        <w:rPr>
          <w:rFonts w:ascii="Arial" w:cs="Arial" w:eastAsia="Arial" w:hAnsi="Arial"/>
          <w:sz w:val="16"/>
          <w:szCs w:val="16"/>
          <w:color w:val="auto"/>
        </w:rPr>
        <w:t>K</w:t>
      </w:r>
      <w:r>
        <w:rPr>
          <w:rFonts w:ascii="Arial" w:cs="Arial" w:eastAsia="Arial" w:hAnsi="Arial"/>
          <w:sz w:val="14"/>
          <w:szCs w:val="14"/>
          <w:color w:val="auto"/>
        </w:rPr>
        <w:t>ADRE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81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Manuel Kadre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9"/>
              </w:rPr>
              <w:t>Title</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89"/>
              </w:rPr>
              <w:t>Date</w:t>
            </w:r>
          </w:p>
        </w:tc>
      </w:tr>
      <w:tr>
        <w:trPr>
          <w:trHeight w:val="256"/>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2"/>
              </w:rPr>
              <w:t>President, Chief Executive Officer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11, 2016</w:t>
            </w:r>
          </w:p>
        </w:tc>
      </w:tr>
      <w:tr>
        <w:trPr>
          <w:trHeight w:val="216"/>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1"/>
              </w:rPr>
              <w:t>and Director</w:t>
            </w:r>
          </w:p>
        </w:tc>
        <w:tc>
          <w:tcPr>
            <w:tcW w:w="1940" w:type="dxa"/>
            <w:vAlign w:val="bottom"/>
          </w:tcPr>
          <w:p>
            <w:pPr>
              <w:spacing w:after="0"/>
              <w:rPr>
                <w:sz w:val="18"/>
                <w:szCs w:val="18"/>
                <w:color w:val="auto"/>
              </w:rPr>
            </w:pPr>
          </w:p>
        </w:tc>
      </w:tr>
      <w:tr>
        <w:trPr>
          <w:trHeight w:val="23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spacing w:after="0"/>
              <w:rPr>
                <w:sz w:val="20"/>
                <w:szCs w:val="20"/>
                <w:color w:val="auto"/>
              </w:rPr>
            </w:pPr>
          </w:p>
        </w:tc>
      </w:tr>
      <w:tr>
        <w:trPr>
          <w:trHeight w:val="58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89"/>
              </w:rPr>
              <w:t>Executive Vice President and</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11, 2016</w:t>
            </w:r>
          </w:p>
        </w:tc>
      </w:tr>
      <w:tr>
        <w:trPr>
          <w:trHeight w:val="216"/>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18"/>
                <w:szCs w:val="18"/>
                <w:color w:val="auto"/>
              </w:rPr>
            </w:pPr>
          </w:p>
        </w:tc>
      </w:tr>
      <w:tr>
        <w:trPr>
          <w:trHeight w:val="23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5"/>
              </w:rPr>
              <w:t>(Principal Financial Officer)</w:t>
            </w:r>
          </w:p>
        </w:tc>
        <w:tc>
          <w:tcPr>
            <w:tcW w:w="1940" w:type="dxa"/>
            <w:vAlign w:val="bottom"/>
          </w:tcPr>
          <w:p>
            <w:pPr>
              <w:spacing w:after="0"/>
              <w:rPr>
                <w:sz w:val="20"/>
                <w:szCs w:val="20"/>
                <w:color w:val="auto"/>
              </w:rPr>
            </w:pPr>
          </w:p>
        </w:tc>
      </w:tr>
      <w:tr>
        <w:trPr>
          <w:trHeight w:val="58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88"/>
              </w:rPr>
              <w:t>Vice President and</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11, 2016</w:t>
            </w:r>
          </w:p>
        </w:tc>
      </w:tr>
      <w:tr>
        <w:trPr>
          <w:trHeight w:val="216"/>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4"/>
              </w:rPr>
              <w:t>Chief Accounting Officer</w:t>
            </w:r>
          </w:p>
        </w:tc>
        <w:tc>
          <w:tcPr>
            <w:tcW w:w="1940" w:type="dxa"/>
            <w:vAlign w:val="bottom"/>
          </w:tcPr>
          <w:p>
            <w:pPr>
              <w:spacing w:after="0"/>
              <w:rPr>
                <w:sz w:val="18"/>
                <w:szCs w:val="18"/>
                <w:color w:val="auto"/>
              </w:rPr>
            </w:pPr>
          </w:p>
        </w:tc>
      </w:tr>
      <w:tr>
        <w:trPr>
          <w:trHeight w:val="23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5"/>
              </w:rPr>
              <w:t>(Principal Accounting Officer)</w:t>
            </w:r>
          </w:p>
        </w:tc>
        <w:tc>
          <w:tcPr>
            <w:tcW w:w="1940" w:type="dxa"/>
            <w:vAlign w:val="bottom"/>
          </w:tcPr>
          <w:p>
            <w:pPr>
              <w:spacing w:after="0"/>
              <w:rPr>
                <w:sz w:val="20"/>
                <w:szCs w:val="20"/>
                <w:color w:val="auto"/>
              </w:rPr>
            </w:pPr>
          </w:p>
        </w:tc>
      </w:tr>
      <w:tr>
        <w:trPr>
          <w:trHeight w:val="594"/>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2"/>
              </w:rPr>
              <w:t>Chairman of the Board of Directors</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11, 2016</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11, 2016</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11, 2016</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11, 2016</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11, 2016</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11, 2016</w:t>
            </w:r>
          </w:p>
        </w:tc>
      </w:tr>
    </w:tbl>
    <w:p>
      <w:pPr>
        <w:spacing w:after="0" w:line="460" w:lineRule="exact"/>
        <w:rPr>
          <w:sz w:val="20"/>
          <w:szCs w:val="20"/>
          <w:color w:val="auto"/>
        </w:rPr>
      </w:pPr>
    </w:p>
    <w:p>
      <w:pPr>
        <w:sectPr>
          <w:pgSz w:w="11900" w:h="16838" w:orient="portrait"/>
          <w:cols w:equalWidth="0" w:num="2">
            <w:col w:w="5120" w:space="720"/>
            <w:col w:w="5400"/>
          </w:cols>
          <w:pgMar w:left="240" w:top="118" w:right="419" w:bottom="1440" w:gutter="0" w:footer="0" w:header="0"/>
          <w:type w:val="continuous"/>
        </w:sectPr>
      </w:pP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240"/>
          </w:cols>
          <w:pgMar w:left="240" w:top="118" w:right="419" w:bottom="1440" w:gutter="0" w:footer="0" w:header="0"/>
          <w:type w:val="continuous"/>
        </w:sectPr>
      </w:pPr>
    </w:p>
    <w:bookmarkStart w:id="122" w:name="page123"/>
    <w:bookmarkEnd w:id="1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1700"/>
              <w:spacing w:after="0"/>
              <w:rPr>
                <w:sz w:val="20"/>
                <w:szCs w:val="20"/>
                <w:color w:val="auto"/>
              </w:rPr>
            </w:pPr>
            <w:r>
              <w:rPr>
                <w:rFonts w:ascii="Arial" w:cs="Arial" w:eastAsia="Arial" w:hAnsi="Arial"/>
                <w:sz w:val="16"/>
                <w:szCs w:val="16"/>
                <w:color w:val="auto"/>
              </w:rPr>
              <w:t>/s/</w:t>
            </w:r>
          </w:p>
        </w:tc>
        <w:tc>
          <w:tcPr>
            <w:tcW w:w="3080" w:type="dxa"/>
            <w:vAlign w:val="bottom"/>
          </w:tcPr>
          <w:p>
            <w:pPr>
              <w:ind w:left="80"/>
              <w:spacing w:after="0"/>
              <w:rPr>
                <w:sz w:val="20"/>
                <w:szCs w:val="20"/>
                <w:color w:val="auto"/>
              </w:rPr>
            </w:pPr>
            <w:r>
              <w:rPr>
                <w:rFonts w:ascii="Arial" w:cs="Arial" w:eastAsia="Arial" w:hAnsi="Arial"/>
                <w:sz w:val="16"/>
                <w:szCs w:val="16"/>
                <w:color w:val="auto"/>
              </w:rPr>
              <w:t>M</w:t>
            </w:r>
            <w:r>
              <w:rPr>
                <w:rFonts w:ascii="Arial" w:cs="Arial" w:eastAsia="Arial" w:hAnsi="Arial"/>
                <w:sz w:val="14"/>
                <w:szCs w:val="14"/>
                <w:color w:val="auto"/>
              </w:rPr>
              <w:t>ICHAEL</w:t>
            </w:r>
            <w:r>
              <w:rPr>
                <w:rFonts w:ascii="Arial" w:cs="Arial" w:eastAsia="Arial" w:hAnsi="Arial"/>
                <w:sz w:val="16"/>
                <w:szCs w:val="16"/>
                <w:color w:val="auto"/>
              </w:rPr>
              <w:t xml:space="preserve"> L</w:t>
            </w:r>
            <w:r>
              <w:rPr>
                <w:rFonts w:ascii="Arial" w:cs="Arial" w:eastAsia="Arial" w:hAnsi="Arial"/>
                <w:sz w:val="14"/>
                <w:szCs w:val="14"/>
                <w:color w:val="auto"/>
              </w:rPr>
              <w:t>ARSON</w:t>
            </w:r>
          </w:p>
        </w:tc>
        <w:tc>
          <w:tcPr>
            <w:tcW w:w="352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9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Michael Larson</w:t>
            </w:r>
          </w:p>
        </w:tc>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94"/>
        </w:trPr>
        <w:tc>
          <w:tcPr>
            <w:tcW w:w="1940" w:type="dxa"/>
            <w:vAlign w:val="bottom"/>
          </w:tcPr>
          <w:p>
            <w:pPr>
              <w:ind w:left="1760"/>
              <w:spacing w:after="0"/>
              <w:rPr>
                <w:sz w:val="20"/>
                <w:szCs w:val="20"/>
                <w:color w:val="auto"/>
              </w:rPr>
            </w:pPr>
            <w:r>
              <w:rPr>
                <w:rFonts w:ascii="Arial" w:cs="Arial" w:eastAsia="Arial" w:hAnsi="Arial"/>
                <w:sz w:val="18"/>
                <w:szCs w:val="18"/>
                <w:color w:val="auto"/>
                <w:w w:val="83"/>
              </w:rPr>
              <w:t>/s/</w:t>
            </w:r>
          </w:p>
        </w:tc>
        <w:tc>
          <w:tcPr>
            <w:tcW w:w="3080" w:type="dxa"/>
            <w:vAlign w:val="bottom"/>
          </w:tcPr>
          <w:p>
            <w:pPr>
              <w:ind w:left="160"/>
              <w:spacing w:after="0"/>
              <w:rPr>
                <w:sz w:val="20"/>
                <w:szCs w:val="20"/>
                <w:color w:val="auto"/>
              </w:rPr>
            </w:pPr>
            <w:r>
              <w:rPr>
                <w:rFonts w:ascii="Arial" w:cs="Arial" w:eastAsia="Arial" w:hAnsi="Arial"/>
                <w:sz w:val="18"/>
                <w:szCs w:val="18"/>
                <w:color w:val="auto"/>
              </w:rPr>
              <w:t>W. L</w:t>
            </w:r>
            <w:r>
              <w:rPr>
                <w:rFonts w:ascii="Arial" w:cs="Arial" w:eastAsia="Arial" w:hAnsi="Arial"/>
                <w:sz w:val="14"/>
                <w:szCs w:val="14"/>
                <w:color w:val="auto"/>
              </w:rPr>
              <w:t>EE</w:t>
            </w:r>
            <w:r>
              <w:rPr>
                <w:rFonts w:ascii="Arial" w:cs="Arial" w:eastAsia="Arial" w:hAnsi="Arial"/>
                <w:sz w:val="18"/>
                <w:szCs w:val="18"/>
                <w:color w:val="auto"/>
              </w:rPr>
              <w:t xml:space="preserve"> N</w:t>
            </w:r>
            <w:r>
              <w:rPr>
                <w:rFonts w:ascii="Arial" w:cs="Arial" w:eastAsia="Arial" w:hAnsi="Arial"/>
                <w:sz w:val="14"/>
                <w:szCs w:val="14"/>
                <w:color w:val="auto"/>
              </w:rPr>
              <w:t>UTTER</w:t>
            </w:r>
          </w:p>
        </w:tc>
        <w:tc>
          <w:tcPr>
            <w:tcW w:w="352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9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auto"/>
              </w:rPr>
              <w:t>W. Lee Nutter</w:t>
            </w:r>
          </w:p>
        </w:tc>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94"/>
        </w:trPr>
        <w:tc>
          <w:tcPr>
            <w:tcW w:w="1940" w:type="dxa"/>
            <w:vAlign w:val="bottom"/>
          </w:tcPr>
          <w:p>
            <w:pPr>
              <w:ind w:left="1740"/>
              <w:spacing w:after="0"/>
              <w:rPr>
                <w:sz w:val="20"/>
                <w:szCs w:val="20"/>
                <w:color w:val="auto"/>
              </w:rPr>
            </w:pPr>
            <w:r>
              <w:rPr>
                <w:rFonts w:ascii="Arial" w:cs="Arial" w:eastAsia="Arial" w:hAnsi="Arial"/>
                <w:sz w:val="18"/>
                <w:szCs w:val="18"/>
                <w:color w:val="auto"/>
                <w:w w:val="94"/>
              </w:rPr>
              <w:t>/s/</w:t>
            </w:r>
          </w:p>
        </w:tc>
        <w:tc>
          <w:tcPr>
            <w:tcW w:w="3080" w:type="dxa"/>
            <w:vAlign w:val="bottom"/>
          </w:tcPr>
          <w:p>
            <w:pPr>
              <w:ind w:left="1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M. T</w:t>
            </w:r>
            <w:r>
              <w:rPr>
                <w:rFonts w:ascii="Arial" w:cs="Arial" w:eastAsia="Arial" w:hAnsi="Arial"/>
                <w:sz w:val="14"/>
                <w:szCs w:val="14"/>
                <w:color w:val="auto"/>
              </w:rPr>
              <w:t>RANI</w:t>
            </w:r>
          </w:p>
        </w:tc>
        <w:tc>
          <w:tcPr>
            <w:tcW w:w="352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9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auto"/>
              </w:rPr>
              <w:t>John M. Trani</w:t>
            </w:r>
          </w:p>
        </w:tc>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810"/>
        </w:trPr>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520" w:type="dxa"/>
            <w:vAlign w:val="bottom"/>
          </w:tcPr>
          <w:p>
            <w:pPr>
              <w:jc w:val="right"/>
              <w:ind w:right="2610"/>
              <w:spacing w:after="0"/>
              <w:rPr>
                <w:sz w:val="20"/>
                <w:szCs w:val="20"/>
                <w:color w:val="auto"/>
              </w:rPr>
            </w:pPr>
            <w:r>
              <w:rPr>
                <w:rFonts w:ascii="Arial" w:cs="Arial" w:eastAsia="Arial" w:hAnsi="Arial"/>
                <w:sz w:val="18"/>
                <w:szCs w:val="18"/>
                <w:color w:val="auto"/>
              </w:rPr>
              <w:t>122</w:t>
            </w:r>
          </w:p>
        </w:tc>
        <w:tc>
          <w:tcPr>
            <w:tcW w:w="2440" w:type="dxa"/>
            <w:vAlign w:val="bottom"/>
          </w:tcPr>
          <w:p>
            <w:pPr>
              <w:spacing w:after="0"/>
              <w:rPr>
                <w:sz w:val="24"/>
                <w:szCs w:val="24"/>
                <w:color w:val="auto"/>
              </w:rPr>
            </w:pPr>
          </w:p>
        </w:tc>
      </w:tr>
    </w:tbl>
    <w:p>
      <w:pPr>
        <w:sectPr>
          <w:pgSz w:w="11900" w:h="16838" w:orient="portrait"/>
          <w:cols w:equalWidth="0" w:num="1">
            <w:col w:w="10980"/>
          </w:cols>
          <w:pgMar w:left="240" w:top="118" w:right="6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623 Landfill, Inc.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 D A J Corporation</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A-Best Disposal,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Abilene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Ace Disposal Services,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Action Disposal, Inc.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Ada County Development Company, Inc.</w:t>
            </w:r>
          </w:p>
        </w:tc>
        <w:tc>
          <w:tcPr>
            <w:tcW w:w="1980" w:type="dxa"/>
            <w:vAlign w:val="bottom"/>
          </w:tcPr>
          <w:p>
            <w:pPr>
              <w:spacing w:after="0"/>
              <w:rPr>
                <w:sz w:val="20"/>
                <w:szCs w:val="20"/>
                <w:color w:val="auto"/>
              </w:rPr>
            </w:pPr>
            <w:r>
              <w:rPr>
                <w:rFonts w:ascii="Arial" w:cs="Arial" w:eastAsia="Arial" w:hAnsi="Arial"/>
                <w:sz w:val="18"/>
                <w:szCs w:val="18"/>
                <w:color w:val="auto"/>
              </w:rPr>
              <w:t>Idaho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Adrian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ADS of Illinois,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ADS,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Agricultural Acquisitions, LLC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Agri-Tech, Inc. of Oregon</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Agromin OC,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Alabama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Albany-Lebanon Sanitation,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Acquisition Pennsylvania, Inc.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Acquisition Two,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Enviroengineering,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Gas Recovery Systems,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Green Power,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Nova Scotia,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Remediation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Research Affiliates, LLC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Environmental Management Group,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Hauling of Georgia,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Holdings (Canada) Ltd.</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Industries (Arizona),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Industries (New Mexico), Inc.</w:t>
            </w:r>
          </w:p>
        </w:tc>
        <w:tc>
          <w:tcPr>
            <w:tcW w:w="1980" w:type="dxa"/>
            <w:vAlign w:val="bottom"/>
          </w:tcPr>
          <w:p>
            <w:pPr>
              <w:spacing w:after="0"/>
              <w:rPr>
                <w:sz w:val="20"/>
                <w:szCs w:val="20"/>
                <w:color w:val="auto"/>
              </w:rPr>
            </w:pPr>
            <w:r>
              <w:rPr>
                <w:rFonts w:ascii="Arial" w:cs="Arial" w:eastAsia="Arial" w:hAnsi="Arial"/>
                <w:sz w:val="18"/>
                <w:szCs w:val="18"/>
                <w:color w:val="auto"/>
              </w:rPr>
              <w:t>New Mexico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Industries (Southwest),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Industries of Georgia,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Industries of Illinois,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Industries of Northwest Indiana,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Industries of Tennessee,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Industries,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Landfill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Niagara Falls Landfill,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North America,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of California,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of Long Island,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of New Jersey-New York,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of Ponce, Inc.</w:t>
            </w:r>
          </w:p>
        </w:tc>
        <w:tc>
          <w:tcPr>
            <w:tcW w:w="1980" w:type="dxa"/>
            <w:vAlign w:val="bottom"/>
          </w:tcPr>
          <w:p>
            <w:pPr>
              <w:spacing w:after="0"/>
              <w:rPr>
                <w:sz w:val="20"/>
                <w:szCs w:val="20"/>
                <w:color w:val="auto"/>
              </w:rPr>
            </w:pPr>
            <w:r>
              <w:rPr>
                <w:rFonts w:ascii="Arial" w:cs="Arial" w:eastAsia="Arial" w:hAnsi="Arial"/>
                <w:sz w:val="18"/>
                <w:szCs w:val="18"/>
                <w:color w:val="auto"/>
              </w:rPr>
              <w:t>Puerto Rico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of Puerto Rico, Inc.</w:t>
            </w:r>
          </w:p>
        </w:tc>
        <w:tc>
          <w:tcPr>
            <w:tcW w:w="1980" w:type="dxa"/>
            <w:vAlign w:val="bottom"/>
          </w:tcPr>
          <w:p>
            <w:pPr>
              <w:spacing w:after="0"/>
              <w:rPr>
                <w:sz w:val="20"/>
                <w:szCs w:val="20"/>
                <w:color w:val="auto"/>
              </w:rPr>
            </w:pPr>
            <w:r>
              <w:rPr>
                <w:rFonts w:ascii="Arial" w:cs="Arial" w:eastAsia="Arial" w:hAnsi="Arial"/>
                <w:sz w:val="18"/>
                <w:szCs w:val="18"/>
                <w:color w:val="auto"/>
              </w:rPr>
              <w:t>Puerto Rico</w:t>
            </w:r>
          </w:p>
        </w:tc>
      </w:tr>
    </w:tbl>
    <w:p>
      <w:pPr>
        <w:sectPr>
          <w:pgSz w:w="11900" w:h="16838" w:orient="portrait"/>
          <w:cols w:equalWidth="0" w:num="1">
            <w:col w:w="11300"/>
          </w:cols>
          <w:pgMar w:left="360" w:top="364"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Recycling Services of New Hampshire,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Rural Sanitation,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Services of Colorado,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Services of Fort Worth,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Services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Services of North America,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Services of Page, Inc.</w:t>
            </w:r>
          </w:p>
        </w:tc>
        <w:tc>
          <w:tcPr>
            <w:tcW w:w="1980" w:type="dxa"/>
            <w:vAlign w:val="bottom"/>
          </w:tcPr>
          <w:p>
            <w:pPr>
              <w:spacing w:after="0"/>
              <w:rPr>
                <w:sz w:val="20"/>
                <w:szCs w:val="20"/>
                <w:color w:val="auto"/>
              </w:rPr>
            </w:pPr>
            <w:r>
              <w:rPr>
                <w:rFonts w:ascii="Arial" w:cs="Arial" w:eastAsia="Arial" w:hAnsi="Arial"/>
                <w:sz w:val="18"/>
                <w:szCs w:val="18"/>
                <w:color w:val="auto"/>
              </w:rPr>
              <w:t>Idaho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Services of Stillwater,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Sycamore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of Arizona, LLC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of Colorado,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of Indiana,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of Michigan,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of Montana, LLC</w:t>
            </w:r>
          </w:p>
        </w:tc>
        <w:tc>
          <w:tcPr>
            <w:tcW w:w="1980" w:type="dxa"/>
            <w:vAlign w:val="bottom"/>
          </w:tcPr>
          <w:p>
            <w:pPr>
              <w:spacing w:after="0"/>
              <w:rPr>
                <w:sz w:val="20"/>
                <w:szCs w:val="20"/>
                <w:color w:val="auto"/>
              </w:rPr>
            </w:pPr>
            <w:r>
              <w:rPr>
                <w:rFonts w:ascii="Arial" w:cs="Arial" w:eastAsia="Arial" w:hAnsi="Arial"/>
                <w:sz w:val="18"/>
                <w:szCs w:val="18"/>
                <w:color w:val="auto"/>
              </w:rPr>
              <w:t>Montana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of New Jersey, LLC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Systems,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Transfer Services of Arizona,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Transfer Services of California,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Transfer Services of Florida, LLC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Transfer Services of Lima,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Transfer Services of New York,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Transfer Services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Transfer Services of Oregon,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Transfer Services of Rhode Island,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Transfer Services of Utah, Inc.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Allied Waste Transportation,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Disposal Services of Illinois,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Disposal Services of Kansas, Inc.</w:t>
            </w:r>
          </w:p>
        </w:tc>
        <w:tc>
          <w:tcPr>
            <w:tcW w:w="1980" w:type="dxa"/>
            <w:vAlign w:val="bottom"/>
          </w:tcPr>
          <w:p>
            <w:pPr>
              <w:spacing w:after="0"/>
              <w:rPr>
                <w:sz w:val="20"/>
                <w:szCs w:val="20"/>
                <w:color w:val="auto"/>
              </w:rPr>
            </w:pPr>
            <w:r>
              <w:rPr>
                <w:rFonts w:ascii="Arial" w:cs="Arial" w:eastAsia="Arial" w:hAnsi="Arial"/>
                <w:sz w:val="18"/>
                <w:szCs w:val="18"/>
                <w:color w:val="auto"/>
              </w:rPr>
              <w:t>Kansas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Disposal Services of Missouri,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Disposal Services of New Jersey,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Disposal Services of West Virginia,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Disposal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Disposal Transfer Services of Illinois,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Materials Recycling Corp.</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Sanitation, Inc.</w:t>
            </w:r>
          </w:p>
        </w:tc>
        <w:tc>
          <w:tcPr>
            <w:tcW w:w="1980" w:type="dxa"/>
            <w:vAlign w:val="bottom"/>
          </w:tcPr>
          <w:p>
            <w:pPr>
              <w:spacing w:after="0"/>
              <w:rPr>
                <w:sz w:val="20"/>
                <w:szCs w:val="20"/>
                <w:color w:val="auto"/>
              </w:rPr>
            </w:pPr>
            <w:r>
              <w:rPr>
                <w:rFonts w:ascii="Arial" w:cs="Arial" w:eastAsia="Arial" w:hAnsi="Arial"/>
                <w:sz w:val="18"/>
                <w:szCs w:val="18"/>
                <w:color w:val="auto"/>
              </w:rPr>
              <w:t>Idaho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American Transfer Company,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Anderson Solid Waste,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Anson County Landfill NC,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Apache Junction Landfill Corporation</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Arbor Hills Holdings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Area Disposal,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Ariana,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Astro Waste Services, Inc.</w:t>
            </w:r>
          </w:p>
        </w:tc>
        <w:tc>
          <w:tcPr>
            <w:tcW w:w="1980" w:type="dxa"/>
            <w:vAlign w:val="bottom"/>
          </w:tcPr>
          <w:p>
            <w:pPr>
              <w:spacing w:after="0"/>
              <w:rPr>
                <w:sz w:val="20"/>
                <w:szCs w:val="20"/>
                <w:color w:val="auto"/>
              </w:rPr>
            </w:pPr>
            <w:r>
              <w:rPr>
                <w:rFonts w:ascii="Arial" w:cs="Arial" w:eastAsia="Arial" w:hAnsi="Arial"/>
                <w:sz w:val="18"/>
                <w:szCs w:val="18"/>
                <w:color w:val="auto"/>
              </w:rPr>
              <w:t>Maine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Atlantic Waste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0099"/>
          </w:cols>
          <w:pgMar w:left="360" w:top="513" w:right="1440"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Atlas Transport,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Attwoods of North America,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Autauga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Automated Modular Systems,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Autoshred,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AWIN Leasing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AWIN Leasing II,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AWIN Management,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Barker Brothers Waste, Incorporated</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Barker Brothers,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Bay Collection Services,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Bay Environmental Management,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Bay Landfills,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Bay Leasing Company,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BBCO,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Belleville Landfill,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Benson Valley Landfill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Benton County Development Company</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Berkeley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Berrien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BFGSI Series 1997-A Trust</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BFGSI,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Atlantic,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Energy Systems of Albany,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Energy Systems of Delaware County,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Energy Systems of Essex County,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Energy Systems of Hempstead,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Energy Systems of Niagara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Energy Systems of Niagara,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Energy Systems of SEMASS,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Energy Systems of Southeastern Connecticut,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Energy Systems of Southeastern Connecticut,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REF-FUEL,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 River (GP),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 River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Transfer Systems of Alabama,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Transfer Systems of Georgia,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Transfer Systems of Maryland,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Transfer Systems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Transfer Systems of Mississippi,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Transfer Systems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Transfer Systems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Transfer Systems of Texas,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Transfer Systems of Virginia,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Services of Indiana,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Services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Services of Texas,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099"/>
          </w:cols>
          <w:pgMar w:left="360" w:top="513" w:right="1440"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Alabama,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Arkansas,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Georgia,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Indiana,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Kentucky,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Louisiana,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Mississippi,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Missouri,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North America,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Oklahoma, LLC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Tennessee,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BFI Waste Systems of Virginia,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Bio-Med of Oregon,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Bloomington Haulers, LLC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Blue Ridge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Bom Ambiente Insurance Company</w:t>
            </w:r>
          </w:p>
        </w:tc>
        <w:tc>
          <w:tcPr>
            <w:tcW w:w="198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Bond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Borrego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Borrow Pit Corp.</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Brenham Total Roll-Offs,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Brickyard Disposal &amp; Recycling,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Bridgeton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Bridgeton Transfer Station,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Chemical Services,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de Mexico, S.A. de C.V.</w:t>
            </w:r>
          </w:p>
        </w:tc>
        <w:tc>
          <w:tcPr>
            <w:tcW w:w="1980" w:type="dxa"/>
            <w:vAlign w:val="bottom"/>
          </w:tcPr>
          <w:p>
            <w:pPr>
              <w:spacing w:after="0"/>
              <w:rPr>
                <w:sz w:val="20"/>
                <w:szCs w:val="20"/>
                <w:color w:val="auto"/>
              </w:rPr>
            </w:pPr>
            <w:r>
              <w:rPr>
                <w:rFonts w:ascii="Arial" w:cs="Arial" w:eastAsia="Arial" w:hAnsi="Arial"/>
                <w:sz w:val="18"/>
                <w:szCs w:val="18"/>
                <w:color w:val="auto"/>
              </w:rPr>
              <w:t>Mexico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of California,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of Florida,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of Illinois,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of New York,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of Ohio,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of Tennessee,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Industries,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Browning-Ferris,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Brunswick Waste Management Facility,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Bunting Trash Service, Inc.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Butler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 &amp; C Expanded Sanitary Landfill,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Cactus Waste Systems, LLC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Calvert Trash Service, Incorporated</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Calvert Trash Systems, Incorporated</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bl>
    <w:p>
      <w:pPr>
        <w:sectPr>
          <w:pgSz w:w="11900" w:h="16838" w:orient="portrait"/>
          <w:cols w:equalWidth="0" w:num="1">
            <w:col w:w="10099"/>
          </w:cols>
          <w:pgMar w:left="360" w:top="513" w:right="1440"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Camelot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Capital Waste &amp; Recycling,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Capitol Recycling and Disposal,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Carbon Limestone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CC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CCS/SDS Acquisition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CECOS International,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Cefe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Celina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Central Arizona Transfer,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Central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Central Virginia Properties,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Champlin Refuse, Inc.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Charter Evaporation Resource Recovery Systems</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Cherokee Run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Chilton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Citizens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City-Star Services,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Clarkston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Clinton County Landfill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Cocopah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Compactor Rental Systems of Delaware,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Congress Development Co.</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Consolidated Disposal Service,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Consolidated Processing,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Continental Waste Industries - Gary,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Continental Waste Industries,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Copper Mountain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Corvallis Disposal Co.</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County Disposal (Ohio),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County Disposal,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County Environmental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County Land Development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County Line Landfill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Courtney Ridge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Covington Waste,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Crescent Acres Landfill,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Crockett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Crow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Cumberland County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CWI of Florida,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CWI of Illinois,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CWI of Missouri,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 &amp; L Disposal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Delta Container Corporation</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Delta Dade Recycling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0099"/>
          </w:cols>
          <w:pgMar w:left="360" w:top="513" w:right="1440"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Delta Paper Stock, Co.</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Delta Resources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Delta Site Development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Delta Waste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Dempsey Waste Systems II,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Denver RL North, Inc.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Desarrollo del Rancho La Gloria TX,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Dinverno,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DTC Management,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 &amp; P Investment Corporation</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Eagle Industries Leasing,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East Chicago Compost Facility,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ECDC Environmental of Humboldt County,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ECDC Environmental, L.C.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ECDC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EcoSort,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El Centro Landfill,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Elder Creek Transfer &amp; Recovery,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Ellis County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Ellis Scott Landfill MO,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Envirocycle,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Environmental Development Corp.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Environmental Reclamation Company</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Environtech,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Envotech-Illinois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Evergreen National Indemnity Company</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Evergreen Scavenger Service,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Evergreen Scavenger Service,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 P. McNamara Rubbish Removal,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Flint Hill Road, LLC</w:t>
            </w:r>
          </w:p>
        </w:tc>
        <w:tc>
          <w:tcPr>
            <w:tcW w:w="198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Foothill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Forest View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Fort Worth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Forward,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Frankfort Environmental Development Company,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Fred Barbara Trucking Co.,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Frontier Waste Services (Colorado),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Frontier Waste Services (Utah), LLC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Frontier Waste Services of Louisiana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Frontier Waste Services,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 Van Dyken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Galveston County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Gateway Landfill,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GEK, Inc.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General Refuse Rolloff Corp.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General Refuse Service of Ohio,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0099"/>
          </w:cols>
          <w:pgMar w:left="360" w:top="513"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Georgia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Giles Road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Global Indemnity Assurance Company</w:t>
            </w:r>
          </w:p>
        </w:tc>
        <w:tc>
          <w:tcPr>
            <w:tcW w:w="1980" w:type="dxa"/>
            <w:vAlign w:val="bottom"/>
          </w:tcPr>
          <w:p>
            <w:pPr>
              <w:spacing w:after="0"/>
              <w:rPr>
                <w:sz w:val="20"/>
                <w:szCs w:val="20"/>
                <w:color w:val="auto"/>
              </w:rPr>
            </w:pPr>
            <w:r>
              <w:rPr>
                <w:rFonts w:ascii="Arial" w:cs="Arial" w:eastAsia="Arial" w:hAnsi="Arial"/>
                <w:sz w:val="18"/>
                <w:szCs w:val="18"/>
                <w:color w:val="auto"/>
              </w:rPr>
              <w:t>Vermont</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Golden Bear Transfer Services,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Golden Triangle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Golden Waste Disposal,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Grants Pass Sanitation,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Great Lakes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Great Plains Landfill 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Green Valley Landfill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Greenridge Reclamation,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Greenridge Waste Services,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Greenwood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Gulf West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Gulfcoast Waste Service,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Hancock County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Harland's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Harrison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HMD Waste,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Honeygo Run Reclamation Center,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Hyder Waste Container,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Illiana Disposal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Illinois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Illinois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Illinois Valley Recycling,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Imperial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Independent Trucking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Ingrum Waste Disposal,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International Disposal Corp. of California</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Island Waste Services Ltd.</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Itasca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Jackson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Jefferson City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Jefferson Parish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Jetter Disposal, Inc.</w:t>
            </w:r>
          </w:p>
        </w:tc>
        <w:tc>
          <w:tcPr>
            <w:tcW w:w="1980" w:type="dxa"/>
            <w:vAlign w:val="bottom"/>
          </w:tcPr>
          <w:p>
            <w:pPr>
              <w:spacing w:after="0"/>
              <w:rPr>
                <w:sz w:val="20"/>
                <w:szCs w:val="20"/>
                <w:color w:val="auto"/>
              </w:rPr>
            </w:pPr>
            <w:r>
              <w:rPr>
                <w:rFonts w:ascii="Arial" w:cs="Arial" w:eastAsia="Arial" w:hAnsi="Arial"/>
                <w:sz w:val="18"/>
                <w:szCs w:val="18"/>
                <w:color w:val="auto"/>
              </w:rPr>
              <w:t>Iowa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K &amp; K Trash Removal,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Kandel Enterprises,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Kankakee Quarry,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Keller Canyon Landfill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Keller Drop Box,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Kent-Meridian Disposal Company</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Kerrville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Key Waste Indiana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La Cañada Disposal Company,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Lake County C &amp; D Development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Lake Norman Landfill,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LandComp Corporation</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bl>
    <w:p>
      <w:pPr>
        <w:sectPr>
          <w:pgSz w:w="11900" w:h="16838" w:orient="portrait"/>
          <w:cols w:equalWidth="0" w:num="1">
            <w:col w:w="10099"/>
          </w:cols>
          <w:pgMar w:left="360" w:top="513" w:right="1440"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Lathrop Sunrise Sanitation Corporation</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Lee County Landfill SC,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Lee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Lemons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Lewisville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Liberty Waste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Liberty Waste Services Limited,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Liberty Waste Services of Illinois, L.L.C.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Liberty Waste Services of McCook,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Little Creek Landing,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Local Sanitation of Rowan County,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Loop Recycling,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Loop Transfer, Incorporated</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Lorain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Louis Pinto &amp; Son, Inc., Sanitation Contractors</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Lucas County Land Development,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Lucas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Madison County Development, LLC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Manumit of Florida,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Marion Investment Group,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Marion Recycling Center,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Marion Resource Recovery Facility,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Mars Road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McCarty Road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McCusker Recycling, Inc.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McInnis Waste Systems,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Menands Environmental Solutions,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Mesa Disposal,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Mesquite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Mexia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M-G Disposal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Midway Development Company,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Mississippi Waste Paper Company</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Missouri City Landfill, LLC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Modern Power,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Modern-Mallard Energy,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Mountain Home Disposal,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NationsWaste Catawba Regional Landfill, Inc.</w:t>
            </w:r>
          </w:p>
        </w:tc>
        <w:tc>
          <w:tcPr>
            <w:tcW w:w="198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NationsWaste,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Ncorp,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New Mexico Disposal Co.,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New Morgan Landfill Company, Inc.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New York Waste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Newton County Landfill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Nichols Street Properties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NMRT, LLC</w:t>
            </w:r>
          </w:p>
        </w:tc>
        <w:tc>
          <w:tcPr>
            <w:tcW w:w="1980" w:type="dxa"/>
            <w:vAlign w:val="bottom"/>
          </w:tcPr>
          <w:p>
            <w:pPr>
              <w:spacing w:after="0"/>
              <w:rPr>
                <w:sz w:val="20"/>
                <w:szCs w:val="20"/>
                <w:color w:val="auto"/>
              </w:rPr>
            </w:pPr>
            <w:r>
              <w:rPr>
                <w:rFonts w:ascii="Arial" w:cs="Arial" w:eastAsia="Arial" w:hAnsi="Arial"/>
                <w:sz w:val="18"/>
                <w:szCs w:val="18"/>
                <w:color w:val="auto"/>
              </w:rPr>
              <w:t>New Mexico</w:t>
            </w:r>
          </w:p>
        </w:tc>
      </w:tr>
    </w:tbl>
    <w:p>
      <w:pPr>
        <w:sectPr>
          <w:pgSz w:w="11900" w:h="16838" w:orient="portrait"/>
          <w:cols w:equalWidth="0" w:num="1">
            <w:col w:w="10099"/>
          </w:cols>
          <w:pgMar w:left="360" w:top="513" w:right="1440"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Noble Road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Northeast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Northlake Transfer,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Northwest Tennessee Disposal Corporation</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Oakland Heights Development,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Obscurity Land Development,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Oceanside Waste &amp; Recycling Services</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Ohio Republic Contracts,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Ohio Republic Contracts,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Oklahoma City Landfill, L.L.C.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Organic Dynamics, LLC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Oscar's Collection System of Fremont, Inc.</w:t>
            </w:r>
          </w:p>
        </w:tc>
        <w:tc>
          <w:tcPr>
            <w:tcW w:w="1980" w:type="dxa"/>
            <w:vAlign w:val="bottom"/>
          </w:tcPr>
          <w:p>
            <w:pPr>
              <w:spacing w:after="0"/>
              <w:rPr>
                <w:sz w:val="20"/>
                <w:szCs w:val="20"/>
                <w:color w:val="auto"/>
              </w:rPr>
            </w:pPr>
            <w:r>
              <w:rPr>
                <w:rFonts w:ascii="Arial" w:cs="Arial" w:eastAsia="Arial" w:hAnsi="Arial"/>
                <w:sz w:val="18"/>
                <w:szCs w:val="18"/>
                <w:color w:val="auto"/>
              </w:rPr>
              <w:t>Nebraska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Otay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Ottawa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Packerton Land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Palomar Transfer Station,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Panama Road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Peltier Real Estate Company</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Peninsula Waste Systems,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Perdomo &amp; Sons,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Pinal County Landfill Corp.</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Pine Bend Holdings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Pine Hill Farms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Pinecrest Landfill 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Pittsburg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Pleasant Oaks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Polk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Port Clinton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Portable Storage Co.</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Preble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Price &amp; Sons Recycling Company</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Prichard Landfill Corporation</w:t>
            </w:r>
          </w:p>
        </w:tc>
        <w:tc>
          <w:tcPr>
            <w:tcW w:w="198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Prince George's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R.C. Miller Enterprises,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R.C. Miller Refuse Service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Rabanco Companies</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Rabanco Recycling,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Rabanco, Ltd.</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Rainbow Conversion Technologies,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Rainbow Disposal Co.,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Rainbow Environmental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Rainbow Transfer/Recycling,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Rainbow West Florida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Ramona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RCS,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Regional Disposal Company</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Reliable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bl>
    <w:p>
      <w:pPr>
        <w:sectPr>
          <w:pgSz w:w="11900" w:h="16838" w:orient="portrait"/>
          <w:cols w:equalWidth="0" w:num="1">
            <w:col w:w="10099"/>
          </w:cols>
          <w:pgMar w:left="360" w:top="513" w:right="1440"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Republic Dumpco,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Environmental Technologies,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Ohio Contracts,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Recycling Services of Nevada,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Alliance Group,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Alliance Group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Alliance Group III,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Aviation,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Customer Resource Center Central,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Customer Resource Center East,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Customer Resource Center West,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Digital Ventures 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Environmental,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Environmental Solutions 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Group,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National Accounts,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Arizona Hauling, LLC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British Columbia, Inc.</w:t>
            </w:r>
          </w:p>
        </w:tc>
        <w:tc>
          <w:tcPr>
            <w:tcW w:w="1980" w:type="dxa"/>
            <w:vAlign w:val="bottom"/>
          </w:tcPr>
          <w:p>
            <w:pPr>
              <w:spacing w:after="0"/>
              <w:rPr>
                <w:sz w:val="20"/>
                <w:szCs w:val="20"/>
                <w:color w:val="auto"/>
              </w:rPr>
            </w:pPr>
            <w:r>
              <w:rPr>
                <w:rFonts w:ascii="Arial" w:cs="Arial" w:eastAsia="Arial" w:hAnsi="Arial"/>
                <w:sz w:val="18"/>
                <w:szCs w:val="18"/>
                <w:color w:val="auto"/>
              </w:rPr>
              <w:t>British Columbia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Buffalo,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California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California 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Canada, Inc.</w:t>
            </w:r>
          </w:p>
        </w:tc>
        <w:tc>
          <w:tcPr>
            <w:tcW w:w="1980" w:type="dxa"/>
            <w:vAlign w:val="bottom"/>
          </w:tcPr>
          <w:p>
            <w:pPr>
              <w:spacing w:after="0"/>
              <w:rPr>
                <w:sz w:val="20"/>
                <w:szCs w:val="20"/>
                <w:color w:val="auto"/>
              </w:rPr>
            </w:pPr>
            <w:r>
              <w:rPr>
                <w:rFonts w:ascii="Arial" w:cs="Arial" w:eastAsia="Arial" w:hAnsi="Arial"/>
                <w:sz w:val="18"/>
                <w:szCs w:val="18"/>
                <w:color w:val="auto"/>
              </w:rPr>
              <w:t>Ontario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Colorado Hauling,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Colorado I,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Florida GP,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Florida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Florida,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Georgia GP,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Georgia LP,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Georgia,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Indiana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Indiana Transportation,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Indiana,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Iowa, LLC</w:t>
            </w:r>
          </w:p>
        </w:tc>
        <w:tc>
          <w:tcPr>
            <w:tcW w:w="1980" w:type="dxa"/>
            <w:vAlign w:val="bottom"/>
          </w:tcPr>
          <w:p>
            <w:pPr>
              <w:spacing w:after="0"/>
              <w:rPr>
                <w:sz w:val="20"/>
                <w:szCs w:val="20"/>
                <w:color w:val="auto"/>
              </w:rPr>
            </w:pPr>
            <w:r>
              <w:rPr>
                <w:rFonts w:ascii="Arial" w:cs="Arial" w:eastAsia="Arial" w:hAnsi="Arial"/>
                <w:sz w:val="18"/>
                <w:szCs w:val="18"/>
                <w:color w:val="auto"/>
              </w:rPr>
              <w:t>Iowa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Kentucky, LLC</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Maryland,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Michigan Hauling,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Michigan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Michigan I,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Michigan II,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Michigan III,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Michigan IV,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Michigan V,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New Jersey,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bl>
    <w:p>
      <w:pPr>
        <w:sectPr>
          <w:pgSz w:w="11900" w:h="16838" w:orient="portrait"/>
          <w:cols w:equalWidth="0" w:num="1">
            <w:col w:w="10099"/>
          </w:cols>
          <w:pgMar w:left="360" w:top="513"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Ohio Hauling,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Ohio 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Ohio II,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Ohio III,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Ohio IV,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Oxnard,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PA - Environmental Solutions,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Sonoma County,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Sonoma County Energy Producers,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South Carolina,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Southern California,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Tennessee,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Virginia,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Wisconsin GP,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Wisconsin LP,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of Wisconsin,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Procurement,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Real Estate Holding,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Recycling of Indiana,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Renewable Energy,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Risk Management,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Services Vasco Road,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Silver State Disposal,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Transportation Services of Canada, Inc.</w:t>
            </w:r>
          </w:p>
        </w:tc>
        <w:tc>
          <w:tcPr>
            <w:tcW w:w="1980" w:type="dxa"/>
            <w:vAlign w:val="bottom"/>
          </w:tcPr>
          <w:p>
            <w:pPr>
              <w:spacing w:after="0"/>
              <w:rPr>
                <w:sz w:val="20"/>
                <w:szCs w:val="20"/>
                <w:color w:val="auto"/>
              </w:rPr>
            </w:pPr>
            <w:r>
              <w:rPr>
                <w:rFonts w:ascii="Arial" w:cs="Arial" w:eastAsia="Arial" w:hAnsi="Arial"/>
                <w:sz w:val="18"/>
                <w:szCs w:val="18"/>
                <w:color w:val="auto"/>
              </w:rPr>
              <w:t>Ontario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Waste Services of Southern California,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Waste Services of Texas GP,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Waste Services of Texas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Waste Services of Texas, Ltd.</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Republic Waste,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Resource Recovery, Inc.</w:t>
            </w:r>
          </w:p>
        </w:tc>
        <w:tc>
          <w:tcPr>
            <w:tcW w:w="1980" w:type="dxa"/>
            <w:vAlign w:val="bottom"/>
          </w:tcPr>
          <w:p>
            <w:pPr>
              <w:spacing w:after="0"/>
              <w:rPr>
                <w:sz w:val="20"/>
                <w:szCs w:val="20"/>
                <w:color w:val="auto"/>
              </w:rPr>
            </w:pPr>
            <w:r>
              <w:rPr>
                <w:rFonts w:ascii="Arial" w:cs="Arial" w:eastAsia="Arial" w:hAnsi="Arial"/>
                <w:sz w:val="18"/>
                <w:szCs w:val="18"/>
                <w:color w:val="auto"/>
              </w:rPr>
              <w:t>Kansas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RI/Alameda Corp.</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Richmond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Rio Grande Valley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Risk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RITM,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Rock Road Industries,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Roosevelt Associates</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Ross Bros. Waste &amp; Recycling Co.</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Rossman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Roxana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Royal Holdings,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Royal Oaks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RSG Cayman Group,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Rubbish Control,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RWS Texas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RWS Transport,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099"/>
          </w:cols>
          <w:pgMar w:left="360" w:top="513" w:right="1440"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S &amp; S Recycling,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Saguaro National Captive Insurance Company</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Saline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San Diego Landfill Systems,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San Marcos NCRRF,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Sand Valley Holdings,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Sandy Hollow Landfill Corp.</w:t>
            </w:r>
          </w:p>
        </w:tc>
        <w:tc>
          <w:tcPr>
            <w:tcW w:w="198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Sangamon Valley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Sanifill,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Sanitary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Sauk Trail Development,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Schofield Corporation of Orlando</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Show-Me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Shred - All Recycling Systems,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Simmons &amp; Eastern,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Solano Garbage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Source Recycling,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South Central Texas Land Co. TX,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South Trans,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Southeast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Southern Illinois Regional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Southwest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Southwest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Springfield Environmental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St. Bernard Parish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St. Joseph Landfill, LLC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Standard Disposal Services,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Standard Environmental Services,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Standard Waste,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Streator Area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Suburban Transfer,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Suburban Warehouse,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Summit Waste Systems,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Sunrise Sanitation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Sunset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Sunset Disposal, Inc.</w:t>
            </w:r>
          </w:p>
        </w:tc>
        <w:tc>
          <w:tcPr>
            <w:tcW w:w="1980" w:type="dxa"/>
            <w:vAlign w:val="bottom"/>
          </w:tcPr>
          <w:p>
            <w:pPr>
              <w:spacing w:after="0"/>
              <w:rPr>
                <w:sz w:val="20"/>
                <w:szCs w:val="20"/>
                <w:color w:val="auto"/>
              </w:rPr>
            </w:pPr>
            <w:r>
              <w:rPr>
                <w:rFonts w:ascii="Arial" w:cs="Arial" w:eastAsia="Arial" w:hAnsi="Arial"/>
                <w:sz w:val="18"/>
                <w:szCs w:val="18"/>
                <w:color w:val="auto"/>
              </w:rPr>
              <w:t>Kansas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Sycamore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Tate's Transfer Systems,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Tay-Ban Corporation</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Tennessee Union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Tervita,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Tessman Road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The Ecology Group,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Thomas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Tippecanoe County Waste Services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Tom Luciano's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bl>
    <w:p>
      <w:pPr>
        <w:sectPr>
          <w:pgSz w:w="11900" w:h="16838" w:orient="portrait"/>
          <w:cols w:equalWidth="0" w:num="1">
            <w:col w:w="10099"/>
          </w:cols>
          <w:pgMar w:left="360" w:top="513" w:right="1440"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0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620" w:type="dxa"/>
            <w:vAlign w:val="bottom"/>
            <w:gridSpan w:val="2"/>
          </w:tcPr>
          <w:p>
            <w:pPr>
              <w:spacing w:after="0"/>
              <w:rPr>
                <w:sz w:val="20"/>
                <w:szCs w:val="20"/>
                <w:color w:val="auto"/>
              </w:rPr>
            </w:pPr>
            <w:r>
              <w:rPr>
                <w:rFonts w:ascii="Arial" w:cs="Arial" w:eastAsia="Arial" w:hAnsi="Arial"/>
                <w:sz w:val="18"/>
                <w:szCs w:val="18"/>
                <w:color w:val="auto"/>
              </w:rPr>
              <w:t>Total Roll-Offs,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Total Solid Waste Recyclers,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Tricil (N.Y.),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Tri-County Refuse Service,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Tri-State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Tri-State Refuse Corporation</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Turkey Creek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United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Upper Rock Island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Valley Landfills,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VHG, Inc.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Victoria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Vining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Warner Hill Development Company</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Warrick County Development Company</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Wasatch Regional Landfill, Inc.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Waste Control Systems,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Waste Services of New York,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Wastehaul,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Wayne County Land Development,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Wayne County Landfill IL,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Wayne Developers,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WDTR,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Webster Parish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West Contra Costa Energy Recovery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West Contra Costa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West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West County Resource Recovery,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Whispering Pines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Willamette Resources,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Williams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Willow Ridge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Wilshire Disposal Service</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WJR Environmental,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Woodlake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70"/>
        </w:trPr>
        <w:tc>
          <w:tcPr>
            <w:tcW w:w="7620" w:type="dxa"/>
            <w:vAlign w:val="bottom"/>
            <w:gridSpan w:val="2"/>
          </w:tcPr>
          <w:p>
            <w:pPr>
              <w:spacing w:after="0"/>
              <w:rPr>
                <w:sz w:val="20"/>
                <w:szCs w:val="20"/>
                <w:color w:val="auto"/>
              </w:rPr>
            </w:pPr>
            <w:r>
              <w:rPr>
                <w:rFonts w:ascii="Arial" w:cs="Arial" w:eastAsia="Arial" w:hAnsi="Arial"/>
                <w:sz w:val="18"/>
                <w:szCs w:val="18"/>
                <w:color w:val="auto"/>
              </w:rPr>
              <w:t>Zakaroff Services</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0099"/>
          </w:cols>
          <w:pgMar w:left="360" w:top="513"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ind w:right="3400" w:firstLine="3408"/>
        <w:spacing w:after="0" w:line="445"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333-78125</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1998 Stock Incentive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333-104048</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Amended and Restated 1998 Stock Incentive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333-150943</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2007 Stock Incentive Plan</w:t>
            </w:r>
          </w:p>
        </w:tc>
      </w:tr>
      <w:tr>
        <w:trPr>
          <w:trHeight w:val="553"/>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333-156070</w:t>
            </w:r>
          </w:p>
        </w:tc>
        <w:tc>
          <w:tcPr>
            <w:tcW w:w="7260" w:type="dxa"/>
            <w:vAlign w:val="bottom"/>
          </w:tcPr>
          <w:p>
            <w:pPr>
              <w:ind w:left="620"/>
              <w:spacing w:after="0"/>
              <w:rPr>
                <w:sz w:val="20"/>
                <w:szCs w:val="20"/>
                <w:color w:val="auto"/>
              </w:rPr>
            </w:pPr>
            <w:r>
              <w:rPr>
                <w:rFonts w:ascii="Arial" w:cs="Arial" w:eastAsia="Arial" w:hAnsi="Arial"/>
                <w:sz w:val="18"/>
                <w:szCs w:val="18"/>
                <w:color w:val="auto"/>
                <w:w w:val="92"/>
              </w:rPr>
              <w:t>Republic Services, Inc. 2006 Incentive Stock Plan (f/k/a Allied Waste Industries, Inc. 2006</w:t>
            </w:r>
          </w:p>
        </w:tc>
      </w:tr>
      <w:tr>
        <w:trPr>
          <w:trHeight w:val="216"/>
        </w:trPr>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260" w:type="dxa"/>
            <w:vAlign w:val="bottom"/>
          </w:tcPr>
          <w:p>
            <w:pPr>
              <w:ind w:left="620"/>
              <w:spacing w:after="0"/>
              <w:rPr>
                <w:sz w:val="20"/>
                <w:szCs w:val="20"/>
                <w:color w:val="auto"/>
              </w:rPr>
            </w:pPr>
            <w:r>
              <w:rPr>
                <w:rFonts w:ascii="Arial" w:cs="Arial" w:eastAsia="Arial" w:hAnsi="Arial"/>
                <w:sz w:val="18"/>
                <w:szCs w:val="18"/>
                <w:color w:val="auto"/>
                <w:w w:val="96"/>
              </w:rPr>
              <w:t>Incentive Stock Plan) and Republic Services, Inc. 2005 Non-Employee Director Equity</w:t>
            </w:r>
          </w:p>
        </w:tc>
      </w:tr>
      <w:tr>
        <w:trPr>
          <w:trHeight w:val="216"/>
        </w:trPr>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260" w:type="dxa"/>
            <w:vAlign w:val="bottom"/>
          </w:tcPr>
          <w:p>
            <w:pPr>
              <w:ind w:left="620"/>
              <w:spacing w:after="0"/>
              <w:rPr>
                <w:sz w:val="20"/>
                <w:szCs w:val="20"/>
                <w:color w:val="auto"/>
              </w:rPr>
            </w:pPr>
            <w:r>
              <w:rPr>
                <w:rFonts w:ascii="Arial" w:cs="Arial" w:eastAsia="Arial" w:hAnsi="Arial"/>
                <w:sz w:val="18"/>
                <w:szCs w:val="18"/>
                <w:color w:val="auto"/>
                <w:w w:val="91"/>
              </w:rPr>
              <w:t>Compensation Plan (f/k/a Allied Waste Industries, Inc. 2005 Non-Employee Director Equity</w:t>
            </w:r>
          </w:p>
        </w:tc>
      </w:tr>
      <w:tr>
        <w:trPr>
          <w:trHeight w:val="230"/>
        </w:trPr>
        <w:tc>
          <w:tcPr>
            <w:tcW w:w="1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60" w:type="dxa"/>
            <w:vAlign w:val="bottom"/>
          </w:tcPr>
          <w:p>
            <w:pPr>
              <w:ind w:left="620"/>
              <w:spacing w:after="0"/>
              <w:rPr>
                <w:sz w:val="20"/>
                <w:szCs w:val="20"/>
                <w:color w:val="auto"/>
              </w:rPr>
            </w:pPr>
            <w:r>
              <w:rPr>
                <w:rFonts w:ascii="Arial" w:cs="Arial" w:eastAsia="Arial" w:hAnsi="Arial"/>
                <w:sz w:val="18"/>
                <w:szCs w:val="18"/>
                <w:color w:val="auto"/>
              </w:rPr>
              <w:t>Compensation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333-159779</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2009 Employee Stock Purchase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333-170174</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Deferred Compensation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333-175879</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Amended and Restated 2007 Stock Incentive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S-3</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333-195485</w:t>
            </w:r>
          </w:p>
        </w:tc>
        <w:tc>
          <w:tcPr>
            <w:tcW w:w="7260" w:type="dxa"/>
            <w:vAlign w:val="bottom"/>
          </w:tcPr>
          <w:p>
            <w:pPr>
              <w:ind w:left="620"/>
              <w:spacing w:after="0"/>
              <w:rPr>
                <w:sz w:val="20"/>
                <w:szCs w:val="20"/>
                <w:color w:val="auto"/>
              </w:rPr>
            </w:pPr>
            <w:r>
              <w:rPr>
                <w:rFonts w:ascii="Arial" w:cs="Arial" w:eastAsia="Arial" w:hAnsi="Arial"/>
                <w:sz w:val="18"/>
                <w:szCs w:val="18"/>
                <w:color w:val="auto"/>
              </w:rPr>
              <w:t>Registration Statement</w:t>
            </w:r>
          </w:p>
        </w:tc>
      </w:tr>
    </w:tbl>
    <w:p>
      <w:pPr>
        <w:spacing w:after="0" w:line="12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of our reports dated February 11, 2016, with respect to the consolidated financial statements of Republic Services, Inc. and the effectiveness of internal control over financial reporting of Republic Services, Inc., included in this Annual Report (Form 10-K) of Republic Services, Inc. for the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2016</w:t>
      </w:r>
    </w:p>
    <w:p>
      <w:pPr>
        <w:sectPr>
          <w:pgSz w:w="11900" w:h="16838" w:orient="portrait"/>
          <w:cols w:equalWidth="0" w:num="1">
            <w:col w:w="11420"/>
          </w:cols>
          <w:pgMar w:left="240" w:top="36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Donald W. Slager, certify that:</w:t>
      </w:r>
    </w:p>
    <w:p>
      <w:pPr>
        <w:spacing w:after="0" w:line="171"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2015 Annual Report on Form 10-K of Republic Services,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564"/>
        <w:spacing w:after="0" w:line="264" w:lineRule="auto"/>
        <w:tabs>
          <w:tab w:leader="none" w:pos="12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300" w:hanging="564"/>
        <w:spacing w:after="0" w:line="264" w:lineRule="auto"/>
        <w:tabs>
          <w:tab w:leader="none" w:pos="12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220" w:right="460" w:hanging="564"/>
        <w:spacing w:after="0" w:line="342" w:lineRule="auto"/>
        <w:tabs>
          <w:tab w:leader="none" w:pos="12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160" w:hanging="564"/>
        <w:spacing w:after="0" w:line="264" w:lineRule="auto"/>
        <w:tabs>
          <w:tab w:leader="none" w:pos="12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564"/>
        <w:spacing w:after="0" w:line="342" w:lineRule="auto"/>
        <w:tabs>
          <w:tab w:leader="none" w:pos="12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564"/>
        <w:spacing w:after="0" w:line="277" w:lineRule="auto"/>
        <w:tabs>
          <w:tab w:leader="none" w:pos="12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9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W.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Donald W. Slager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2016</w:t>
      </w:r>
    </w:p>
    <w:p>
      <w:pPr>
        <w:sectPr>
          <w:pgSz w:w="11900" w:h="16838" w:orient="portrait"/>
          <w:cols w:equalWidth="0" w:num="1">
            <w:col w:w="11420"/>
          </w:cols>
          <w:pgMar w:left="240" w:top="5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Charles F. Serianni, certify that:</w:t>
      </w:r>
    </w:p>
    <w:p>
      <w:pPr>
        <w:spacing w:after="0" w:line="171"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2015 Annual Report on Form 10-K of Republic Services, Inc.;</w:t>
      </w:r>
    </w:p>
    <w:p>
      <w:pPr>
        <w:spacing w:after="0" w:line="171"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486"/>
        <w:spacing w:after="0" w:line="264"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486"/>
        <w:spacing w:after="0" w:line="342" w:lineRule="auto"/>
        <w:tabs>
          <w:tab w:leader="none" w:pos="9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486"/>
        <w:spacing w:after="0" w:line="264"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486"/>
        <w:spacing w:after="0" w:line="277"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486"/>
        <w:spacing w:after="0" w:line="277"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340"/>
        <w:spacing w:after="0"/>
        <w:tabs>
          <w:tab w:leader="none" w:pos="8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F. Serianni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Charles F. Serianni</w:t>
      </w:r>
    </w:p>
    <w:p>
      <w:pPr>
        <w:spacing w:after="0" w:line="6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2016</w:t>
      </w:r>
    </w:p>
    <w:p>
      <w:pPr>
        <w:sectPr>
          <w:pgSz w:w="11900" w:h="16838" w:orient="portrait"/>
          <w:cols w:equalWidth="0" w:num="1">
            <w:col w:w="11420"/>
          </w:cols>
          <w:pgMar w:left="240" w:top="5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this Annual Report on Form 10-K of Republic Services, Inc. (the Company) for the annual period ended December 31, 2015 as filed with the Securities and Exchange Commission on the date hereof (the Report), I, Donald W. Slager, Chief Executive Officer of the Company, hereby certify, pursuant to 18 U.S.C. Section 1350, as adopted pursuant to Section 906 of the Sarbanes-Oxley Act of 2002, that to the best of my knowledge:</w:t>
      </w:r>
    </w:p>
    <w:p>
      <w:pPr>
        <w:spacing w:after="0" w:line="139"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jc w:val="center"/>
        <w:ind w:left="69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W.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Donald W. Slager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2016</w:t>
      </w:r>
    </w:p>
    <w:p>
      <w:pPr>
        <w:sectPr>
          <w:pgSz w:w="11900" w:h="16838" w:orient="portrait"/>
          <w:cols w:equalWidth="0" w:num="1">
            <w:col w:w="11420"/>
          </w:cols>
          <w:pgMar w:left="240" w:top="5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this Annual Report on Form 10-K of Republic Services, Inc. (the Company) for the annual period ended December 31, 2015 as filed with the Securities and Exchange Commission on the date hereof (the Report), I, Charles F. Serianni, Chief Financial Officer of the Company, hereby certify, pursuant to 18 U.S.C. Section 1350, as adopted pursuant to Section 906 of the Sarbanes-Oxley Act of 2002, that to the best of my knowledge:</w:t>
      </w:r>
    </w:p>
    <w:p>
      <w:pPr>
        <w:spacing w:after="0" w:line="139"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jc w:val="center"/>
        <w:ind w:left="69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F. Serianni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Charles F. Serianni</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lowerLetter"/>
      <w:start w:val="1"/>
    </w:lvl>
  </w:abstractNum>
  <w:abstractNum w:abstractNumId="15">
    <w:nsid w:val="4B588F54"/>
    <w:multiLevelType w:val="hybridMultilevel"/>
    <w:lvl w:ilvl="0">
      <w:lvlJc w:val="left"/>
      <w:lvlText w:val="(%1)"/>
      <w:numFmt w:val="lowerLetter"/>
      <w:start w:val="2"/>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decimal"/>
      <w:start w:val="5"/>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2"/>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1."/>
      <w:numFmt w:val="decimal"/>
      <w:start w:val="3"/>
    </w:lvl>
  </w:abstractNum>
  <w:abstractNum w:abstractNumId="64">
    <w:nsid w:val="98A3148"/>
    <w:multiLevelType w:val="hybridMultilevel"/>
    <w:lvl w:ilvl="0">
      <w:lvlJc w:val="left"/>
      <w:lvlText w:val="%1."/>
      <w:numFmt w:val="decimal"/>
      <w:start w:val="4"/>
    </w:lvl>
  </w:abstractNum>
  <w:abstractNum w:abstractNumId="65">
    <w:nsid w:val="799D0247"/>
    <w:multiLevelType w:val="hybridMultilevel"/>
    <w:lvl w:ilvl="0">
      <w:lvlJc w:val="left"/>
      <w:lvlText w:val="%1."/>
      <w:numFmt w:val="decimal"/>
      <w:start w:val="5"/>
    </w:lvl>
  </w:abstractNum>
  <w:abstractNum w:abstractNumId="66">
    <w:nsid w:val="6B94764"/>
    <w:multiLevelType w:val="hybridMultilevel"/>
    <w:lvl w:ilvl="0">
      <w:lvlJc w:val="left"/>
      <w:lvlText w:val="%1."/>
      <w:numFmt w:val="decimal"/>
      <w:start w:val="8"/>
    </w:lvl>
  </w:abstractNum>
  <w:abstractNum w:abstractNumId="67">
    <w:nsid w:val="42C296BD"/>
    <w:multiLevelType w:val="hybridMultilevel"/>
    <w:lvl w:ilvl="0">
      <w:lvlJc w:val="left"/>
      <w:lvlText w:val="%1."/>
      <w:numFmt w:val="decimal"/>
      <w:start w:val="9"/>
    </w:lvl>
  </w:abstractNum>
  <w:abstractNum w:abstractNumId="68">
    <w:nsid w:val="168E121F"/>
    <w:multiLevelType w:val="hybridMultilevel"/>
    <w:lvl w:ilvl="0">
      <w:lvlJc w:val="left"/>
      <w:lvlText w:val="%1."/>
      <w:numFmt w:val="decimal"/>
      <w:start w:val="12"/>
    </w:lvl>
  </w:abstractNum>
  <w:abstractNum w:abstractNumId="69">
    <w:nsid w:val="1EBA5D23"/>
    <w:multiLevelType w:val="hybridMultilevel"/>
    <w:lvl w:ilvl="0">
      <w:lvlJc w:val="left"/>
      <w:lvlText w:val="(%1)"/>
      <w:numFmt w:val="decimal"/>
      <w:start w:val="3"/>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2019-12-29T14:40:22Z</dcterms:created>
  <dcterms:modified xsi:type="dcterms:W3CDTF">2019-12-29T14:40:22Z</dcterms:modified>
</cp:coreProperties>
</file>