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Republic Services, Inc.</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096" w:right="319" w:bottom="1440" w:gutter="0" w:footer="0" w:header="0"/>
        </w:sectPr>
      </w:pPr>
    </w:p>
    <w:p>
      <w:pPr>
        <w:spacing w:after="0" w:line="255"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1-14267</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65-0716904</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960" w:space="720"/>
            <w:col w:w="2960"/>
          </w:cols>
          <w:pgMar w:left="320" w:top="1096" w:right="31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260"/>
          </w:cols>
          <w:pgMar w:left="320" w:top="1096" w:right="319" w:bottom="1440" w:gutter="0" w:footer="0" w:header="0"/>
          <w:type w:val="continuous"/>
        </w:sectPr>
      </w:pPr>
    </w:p>
    <w:p>
      <w:pPr>
        <w:spacing w:after="0" w:line="34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5353 East City North Drive</w:t>
      </w:r>
    </w:p>
    <w:p>
      <w:pPr>
        <w:spacing w:after="0" w:line="3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Phoenix, Arizona</w:t>
      </w:r>
    </w:p>
    <w:p>
      <w:pPr>
        <w:spacing w:after="0" w:line="2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85054</w:t>
      </w:r>
    </w:p>
    <w:p>
      <w:pPr>
        <w:spacing w:after="0" w:line="31" w:lineRule="exact"/>
        <w:rPr>
          <w:sz w:val="24"/>
          <w:szCs w:val="24"/>
          <w:color w:val="auto"/>
        </w:rPr>
      </w:pPr>
    </w:p>
    <w:p>
      <w:pPr>
        <w:jc w:val="center"/>
        <w:ind w:right="29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760" w:space="720"/>
            <w:col w:w="3780"/>
          </w:cols>
          <w:pgMar w:left="320" w:top="1096" w:right="319" w:bottom="1440" w:gutter="0" w:footer="0" w:header="0"/>
          <w:type w:val="continuous"/>
        </w:sectPr>
      </w:pP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627-2700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2"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3000" w:firstLine="8"/>
        <w:spacing w:after="0" w:line="39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9"/>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5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RSG</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9"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65" w:lineRule="exact"/>
        <w:rPr>
          <w:sz w:val="24"/>
          <w:szCs w:val="24"/>
          <w:color w:val="auto"/>
        </w:rPr>
      </w:pPr>
    </w:p>
    <w:p>
      <w:pPr>
        <w:ind w:left="20" w:right="420"/>
        <w:spacing w:after="0" w:line="22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0" w:lineRule="exact"/>
        <w:rPr>
          <w:sz w:val="20"/>
          <w:szCs w:val="20"/>
          <w:color w:val="auto"/>
        </w:rPr>
      </w:pP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7, 2026, Republic Services, Inc. (“Republic” or the “Company”) held its 2026 Annual Meeting of Shareholders (the “Annual Meeting”). The shareholders voted on the matters set forth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nominees for election to the Board of Directors were elected, each for a one-year term, based upon the following votes: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2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4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57"/>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Manuel Kadre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273,749,542</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2,385,807</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76,771</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5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Ian Craig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274,893,856</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1,233,807</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84,457</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63"/>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Michael A. Duffy</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275,340,854</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788,628</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82,638</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5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Thomas W. Handley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267,461,763</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8,675,497</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74,860</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63"/>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Jennifer M. Kirk</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271,209,831</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4,832,508</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169,781</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5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Michael Larson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262,059,568</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14,076,821</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75,731</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63"/>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Norman Thomas Linebarger</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275,254,949</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871,149</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86,022</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5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Meg Reynolds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275,284,541</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851,164</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76,415</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63"/>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James P. Snee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272,259,926</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3,874,029</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78,165</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5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Brian S. Tyler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275,215,871</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913,036</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83,213</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63"/>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Jon Vander Ark</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275,887,447</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242,628</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82,045</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5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Sandra M. Volpe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271,037,600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5,100,476</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74,044</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12,128,732</w:t>
            </w:r>
          </w:p>
        </w:tc>
      </w:tr>
      <w:tr>
        <w:trPr>
          <w:trHeight w:val="263"/>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Katharine B. Weymouth</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261,047,838</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15,085,952</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78,330</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12,128,732</w:t>
            </w:r>
          </w:p>
        </w:tc>
      </w:tr>
    </w:tbl>
    <w:p>
      <w:pPr>
        <w:spacing w:after="0" w:line="225" w:lineRule="exact"/>
        <w:rPr>
          <w:sz w:val="20"/>
          <w:szCs w:val="20"/>
          <w:color w:val="auto"/>
        </w:rPr>
      </w:pPr>
    </w:p>
    <w:p>
      <w:pPr>
        <w:ind w:right="28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approve the compensation of the Company’s named executive officers was approved based upon the following advisory, non-binding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Votes for</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266,655,515</w:t>
            </w:r>
          </w:p>
        </w:tc>
      </w:tr>
      <w:tr>
        <w:trPr>
          <w:trHeight w:val="25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Votes against</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9,087,762</w:t>
            </w:r>
          </w:p>
        </w:tc>
      </w:tr>
      <w:tr>
        <w:trPr>
          <w:trHeight w:val="263"/>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Abstentions</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468,843</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 non-votes</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12,128,732</w:t>
            </w:r>
          </w:p>
        </w:tc>
      </w:tr>
    </w:tbl>
    <w:p>
      <w:pPr>
        <w:spacing w:after="0" w:line="252" w:lineRule="exact"/>
        <w:rPr>
          <w:sz w:val="20"/>
          <w:szCs w:val="20"/>
          <w:color w:val="auto"/>
        </w:rPr>
      </w:pPr>
    </w:p>
    <w:p>
      <w:pPr>
        <w:ind w:right="20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ratify the appointment of Ernst &amp; Young LLP as the Company’s independent registered public accounting firm for 2026 was approved based upon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Votes for</w:t>
            </w:r>
          </w:p>
        </w:tc>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277,390,342</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Votes against</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10,890,865</w:t>
            </w:r>
          </w:p>
        </w:tc>
      </w:tr>
      <w:tr>
        <w:trPr>
          <w:trHeight w:val="263"/>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Abstentions</w:t>
            </w:r>
          </w:p>
        </w:tc>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59,645</w:t>
            </w:r>
          </w:p>
        </w:tc>
      </w:tr>
    </w:tbl>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an Arizona statute, if a person or group acquires 20% or more of the stock of a public corporation, the shares in excess of the 20% threshold may not be voted on matters other than the election of directors (subject to limited exceptions). This statute, on its face, applies to any public company that is headquartered in Arizona, has assets of at least $1 million in Arizona and has more than 500 Arizona employees. In a 2007 decision, a federal court in Arizona stated that the statute is unconstitutional and unenforceable in the case of an entity, like Republic, that is incorporated in Delaware. If the statute were deemed to be enforceable and applicable to us and to the shares of our common stock held by Cascade Investment, L.L.C. (“Cascade”) (which held approximately 35.5% of our common stock as of the record date for the Annual Meeting), approximately 48 million fewer shares would have been voted for each of proposals two and three, but the outcome of the decisions on those matters would not have been impacted. The Company does not currently take any position regarding the enforceability of the statute or its application to us or the common stock voted by Cascade.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81" w:lineRule="exact"/>
        <w:rPr>
          <w:sz w:val="20"/>
          <w:szCs w:val="20"/>
          <w:color w:val="auto"/>
        </w:rPr>
      </w:pPr>
    </w:p>
    <w:p>
      <w:pPr>
        <w:ind w:left="20"/>
        <w:spacing w:after="0"/>
        <w:tabs>
          <w:tab w:leader="none" w:pos="600" w:val="left"/>
          <w:tab w:leader="none" w:pos="6280" w:val="left"/>
          <w:tab w:leader="none" w:pos="6720" w:val="left"/>
        </w:tabs>
        <w:rPr>
          <w:sz w:val="20"/>
          <w:szCs w:val="20"/>
          <w:color w:val="auto"/>
        </w:rPr>
      </w:pPr>
      <w:r>
        <w:rPr>
          <w:rFonts w:ascii="Times New Roman" w:cs="Times New Roman" w:eastAsia="Times New Roman" w:hAnsi="Times New Roman"/>
          <w:sz w:val="18"/>
          <w:szCs w:val="18"/>
          <w:color w:val="auto"/>
        </w:rPr>
        <w:t>Date:</w:t>
        <w:tab/>
        <w:t>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Catharine D. Ellingsen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837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Catharine D. Ellingsen</w:t>
      </w:r>
    </w:p>
    <w:p>
      <w:pPr>
        <w:spacing w:after="0" w:line="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Executive Vice President, Chief Legal Officer, Chief Ethics &amp; Compliance</w:t>
      </w:r>
    </w:p>
    <w:p>
      <w:pPr>
        <w:ind w:left="6740"/>
        <w:spacing w:after="0"/>
        <w:rPr>
          <w:sz w:val="20"/>
          <w:szCs w:val="20"/>
          <w:color w:val="auto"/>
        </w:rPr>
      </w:pPr>
      <w:r>
        <w:rPr>
          <w:rFonts w:ascii="Times New Roman" w:cs="Times New Roman" w:eastAsia="Times New Roman" w:hAnsi="Times New Roman"/>
          <w:sz w:val="14"/>
          <w:szCs w:val="14"/>
          <w:color w:val="auto"/>
        </w:rPr>
        <w:t>Officer and Corporate Secretary</w:t>
      </w:r>
    </w:p>
    <w:sectPr>
      <w:pgSz w:w="11900" w:h="16838" w:orient="portrait"/>
      <w:cols w:equalWidth="0" w:num="1">
        <w:col w:w="11200"/>
      </w:cols>
      <w:pgMar w:left="320" w:top="131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2026-05-11T16:22:50Z</dcterms:created>
  <dcterms:modified xsi:type="dcterms:W3CDTF">2026-05-11T16:22:50Z</dcterms:modified>
</cp:coreProperties>
</file>