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Republic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 Shim, Esq.</w:t>
              <w:br/>
              <w:t xml:space="preserve">2365 Carillon Point, </w:t>
              <w:br/>
              <w:t>Kirkland, WA, 98033</w:t>
              <w:br/>
              <w:t>(425) 889-7900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82"/>
        <w:gridCol w:w="7723"/>
      </w:tblGrid>
      <w:tr>
        <w:trPr/>
        <w:tc>
          <w:tcPr>
            <w:tcW w:w="2482" w:type="dxa"/>
            <w:tcBorders/>
            <w:vAlign w:val="center"/>
          </w:tcPr>
          <w:p>
            <w:pPr>
              <w:pStyle w:val="TableContents"/>
              <w:bidi w:val="0"/>
              <w:spacing w:before="0" w:after="283"/>
              <w:jc w:val="left"/>
              <w:rPr/>
            </w:pPr>
            <w:r>
              <w:rPr/>
              <w:t>1</w:t>
            </w:r>
          </w:p>
        </w:tc>
        <w:tc>
          <w:tcPr>
            <w:tcW w:w="772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Cascade Investment, L.L.C.</w:t>
            </w:r>
          </w:p>
        </w:tc>
      </w:tr>
      <w:tr>
        <w:trPr/>
        <w:tc>
          <w:tcPr>
            <w:tcW w:w="2482" w:type="dxa"/>
            <w:tcBorders/>
            <w:vAlign w:val="center"/>
          </w:tcPr>
          <w:p>
            <w:pPr>
              <w:pStyle w:val="TableContents"/>
              <w:bidi w:val="0"/>
              <w:spacing w:before="0" w:after="283"/>
              <w:jc w:val="left"/>
              <w:rPr/>
            </w:pPr>
            <w:r>
              <w:rPr/>
              <w:t>2</w:t>
            </w:r>
          </w:p>
        </w:tc>
        <w:tc>
          <w:tcPr>
            <w:tcW w:w="77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82" w:type="dxa"/>
            <w:tcBorders/>
            <w:vAlign w:val="center"/>
          </w:tcPr>
          <w:p>
            <w:pPr>
              <w:pStyle w:val="TableContents"/>
              <w:bidi w:val="0"/>
              <w:spacing w:before="0" w:after="283"/>
              <w:jc w:val="left"/>
              <w:rPr/>
            </w:pPr>
            <w:r>
              <w:rPr/>
              <w:t>3</w:t>
            </w:r>
          </w:p>
        </w:tc>
        <w:tc>
          <w:tcPr>
            <w:tcW w:w="7723" w:type="dxa"/>
            <w:tcBorders/>
            <w:vAlign w:val="center"/>
          </w:tcPr>
          <w:p>
            <w:pPr>
              <w:pStyle w:val="TableContents"/>
              <w:bidi w:val="0"/>
              <w:spacing w:before="0" w:after="283"/>
              <w:jc w:val="left"/>
              <w:rPr/>
            </w:pPr>
            <w:r>
              <w:rPr/>
              <w:t>SEC use only</w:t>
            </w:r>
          </w:p>
        </w:tc>
      </w:tr>
      <w:tr>
        <w:trPr/>
        <w:tc>
          <w:tcPr>
            <w:tcW w:w="2482" w:type="dxa"/>
            <w:tcBorders/>
            <w:vAlign w:val="center"/>
          </w:tcPr>
          <w:p>
            <w:pPr>
              <w:pStyle w:val="TableContents"/>
              <w:bidi w:val="0"/>
              <w:spacing w:before="0" w:after="283"/>
              <w:jc w:val="left"/>
              <w:rPr/>
            </w:pPr>
            <w:r>
              <w:rPr/>
              <w:t>4</w:t>
            </w:r>
          </w:p>
        </w:tc>
        <w:tc>
          <w:tcPr>
            <w:tcW w:w="772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482" w:type="dxa"/>
            <w:tcBorders/>
            <w:vAlign w:val="center"/>
          </w:tcPr>
          <w:p>
            <w:pPr>
              <w:pStyle w:val="TableContents"/>
              <w:bidi w:val="0"/>
              <w:spacing w:before="0" w:after="283"/>
              <w:jc w:val="left"/>
              <w:rPr/>
            </w:pPr>
            <w:r>
              <w:rPr/>
              <w:t>5</w:t>
            </w:r>
          </w:p>
        </w:tc>
        <w:tc>
          <w:tcPr>
            <w:tcW w:w="772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82" w:type="dxa"/>
            <w:tcBorders/>
            <w:vAlign w:val="center"/>
          </w:tcPr>
          <w:p>
            <w:pPr>
              <w:pStyle w:val="TableContents"/>
              <w:bidi w:val="0"/>
              <w:spacing w:before="0" w:after="283"/>
              <w:jc w:val="left"/>
              <w:rPr/>
            </w:pPr>
            <w:r>
              <w:rPr/>
              <w:t>6</w:t>
            </w:r>
          </w:p>
        </w:tc>
        <w:tc>
          <w:tcPr>
            <w:tcW w:w="77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WASHINGTON </w:t>
            </w:r>
          </w:p>
        </w:tc>
      </w:tr>
      <w:tr>
        <w:trPr/>
        <w:tc>
          <w:tcPr>
            <w:tcW w:w="248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116,166,330.00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116,166,330.00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23" w:type="dxa"/>
            <w:tcBorders/>
            <w:vAlign w:val="center"/>
          </w:tcPr>
          <w:p>
            <w:pPr>
              <w:pStyle w:val="TableContents"/>
              <w:bidi w:val="0"/>
              <w:spacing w:before="0" w:after="283"/>
              <w:jc w:val="left"/>
              <w:rPr>
                <w:sz w:val="4"/>
                <w:szCs w:val="4"/>
              </w:rPr>
            </w:pPr>
            <w:r>
              <w:rPr>
                <w:sz w:val="4"/>
                <w:szCs w:val="4"/>
              </w:rPr>
            </w:r>
          </w:p>
        </w:tc>
      </w:tr>
      <w:tr>
        <w:trPr/>
        <w:tc>
          <w:tcPr>
            <w:tcW w:w="2482" w:type="dxa"/>
            <w:tcBorders/>
            <w:vAlign w:val="center"/>
          </w:tcPr>
          <w:p>
            <w:pPr>
              <w:pStyle w:val="TableContents"/>
              <w:bidi w:val="0"/>
              <w:spacing w:before="0" w:after="283"/>
              <w:jc w:val="left"/>
              <w:rPr/>
            </w:pPr>
            <w:r>
              <w:rPr/>
              <w:t>11</w:t>
            </w:r>
          </w:p>
        </w:tc>
        <w:tc>
          <w:tcPr>
            <w:tcW w:w="77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116,166,330.00</w:t>
            </w:r>
          </w:p>
        </w:tc>
      </w:tr>
      <w:tr>
        <w:trPr/>
        <w:tc>
          <w:tcPr>
            <w:tcW w:w="2482" w:type="dxa"/>
            <w:tcBorders/>
            <w:vAlign w:val="center"/>
          </w:tcPr>
          <w:p>
            <w:pPr>
              <w:pStyle w:val="TableContents"/>
              <w:bidi w:val="0"/>
              <w:spacing w:before="0" w:after="283"/>
              <w:jc w:val="left"/>
              <w:rPr/>
            </w:pPr>
            <w:r>
              <w:rPr/>
              <w:t>12</w:t>
            </w:r>
          </w:p>
        </w:tc>
        <w:tc>
          <w:tcPr>
            <w:tcW w:w="772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82" w:type="dxa"/>
            <w:tcBorders/>
            <w:vAlign w:val="center"/>
          </w:tcPr>
          <w:p>
            <w:pPr>
              <w:pStyle w:val="TableContents"/>
              <w:bidi w:val="0"/>
              <w:spacing w:before="0" w:after="283"/>
              <w:jc w:val="left"/>
              <w:rPr/>
            </w:pPr>
            <w:r>
              <w:rPr/>
              <w:t>13</w:t>
            </w:r>
          </w:p>
        </w:tc>
        <w:tc>
          <w:tcPr>
            <w:tcW w:w="772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37.9 % </w:t>
            </w:r>
          </w:p>
        </w:tc>
      </w:tr>
      <w:tr>
        <w:trPr/>
        <w:tc>
          <w:tcPr>
            <w:tcW w:w="2482" w:type="dxa"/>
            <w:tcBorders/>
            <w:vAlign w:val="center"/>
          </w:tcPr>
          <w:p>
            <w:pPr>
              <w:pStyle w:val="TableContents"/>
              <w:bidi w:val="0"/>
              <w:spacing w:before="0" w:after="283"/>
              <w:jc w:val="left"/>
              <w:rPr/>
            </w:pPr>
            <w:r>
              <w:rPr/>
              <w:t>14</w:t>
            </w:r>
          </w:p>
        </w:tc>
        <w:tc>
          <w:tcPr>
            <w:tcW w:w="77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the common stock, $0.01 par value per share (the "Common Stock") of Republic Services, Inc. (the "Issuer") held by Cascade Investment, L.L.C. ("Cascade") may be deemed to be beneficially owned by William H. Gates III as the sole member of Cascade. Item 13 is based on 306,212,978 shares of Common Stock outstanding as of July 30, 2026, as reported on the Issuer's Form 10-Q filed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William H. Gates III</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116,166,330.00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116,166,330.00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116,166,330.00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37.9 %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the Common Stock of the Issuer held by Cascade may be deemed to be beneficially owned by William H. Gates III as the sole member of Cascade. Item 13 is based on 306,212,978 shares of Common Stock outstanding as of July 30, 2026, as reported on the Issuer's Form 10-Q filed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12"/>
        <w:gridCol w:w="8922"/>
        <w:gridCol w:w="171"/>
      </w:tblGrid>
      <w:tr>
        <w:trPr/>
        <w:tc>
          <w:tcPr>
            <w:tcW w:w="1112"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Security and Issuer</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Republic Services, Inc.</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5353 East City North Drive, Phoenix, ARIZONA , 85054.</w:t>
            </w:r>
          </w:p>
        </w:tc>
        <w:tc>
          <w:tcPr>
            <w:tcW w:w="171"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29 to Schedule 13D ("Amendment") amends and supplements the Schedule 13D previously filed by Cascade Investment, L.L.C. ("Cascade") and William H. Gates III (together with Cascade, the "Reporting Persons") with the Securities and Exchange Commission on July 21, 2008, as amended, relating to the common stock, par value $0.01 per share (the "Common Stock"), of Republic Services, Inc. (the "Issuer"). Information in the Schedule 13D remains in effect except to the extent that it is amended or superseded by subsequently filed information, including information in this Amendment.</w:t>
            </w:r>
          </w:p>
        </w:tc>
      </w:tr>
      <w:tr>
        <w:trPr/>
        <w:tc>
          <w:tcPr>
            <w:tcW w:w="1112"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Interest in Securities of the Issuer</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0"/>
              <w:jc w:val="left"/>
              <w:rPr/>
            </w:pPr>
            <w:r>
              <w:rPr/>
              <w:t>See items 11 and 13 of the cover pages to this Amendment for the aggregate number of shares of Common Stock and percentage of Common Stock beneficially owned by each of the Reporting Persons.</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0"/>
              <w:jc w:val="left"/>
              <w:rPr/>
            </w:pPr>
            <w:r>
              <w:rPr/>
              <w:t>See items 7 through 10 of the cover pages to this Amendment for the number of shares of Common Stock beneficially owned by each of the Reporting Persons as to which there is sole power to vote or to direct the vote, shared power to vote or to direct the vote, and sole or shared power to dispose or to direct the disposition.</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0"/>
              <w:jc w:val="left"/>
              <w:rPr/>
            </w:pPr>
            <w:r>
              <w:rPr/>
              <w:t>From the date of its most recent Schedule 13D Amendment through September 8, 2026, Cascade purchased 3,762,705 shares of Common Stock in open-market transactions at the weighted-average price per share set forth in Exhibit 1, attached hereto and incorporated by reference herein.</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0"/>
              <w:jc w:val="left"/>
              <w:rPr/>
            </w:pPr>
            <w:r>
              <w:rPr/>
              <w:t>None.</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0"/>
              <w:jc w:val="left"/>
              <w:rPr/>
            </w:pPr>
            <w:r>
              <w:rPr/>
              <w:t>Not applicable.</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Material to be Filed as Exhibits.</w:t>
            </w:r>
          </w:p>
        </w:tc>
        <w:tc>
          <w:tcPr>
            <w:tcW w:w="171"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Exhibit 1 - Transactions effected during the period from August 20, 2026 through September 8, 2026</w:t>
            </w:r>
          </w:p>
        </w:tc>
        <w:tc>
          <w:tcPr>
            <w:tcW w:w="1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Cascade Investment, L.L.C.</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Alan Heuberger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Alan Heuberger, Attorney-in-fact for, Michael Larson, Business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William H. Gates III</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Alan Heuberger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Alan Heuberger,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This Amendment is being filed jointly by the Reporting Persons pursuant to the Joint Filing Agreement, dated July 21, 2008, and included with the signature page to the Reporting Persons' Schedule 13D filed on July 21, 2008, SEC File No. 005-54333, and incorporated by reference herein. 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 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tc>
      </w:tr>
    </w:tbl>
    <w:p>
      <w:pPr>
        <w:pStyle w:val="TextBody"/>
        <w:bidi w:val="0"/>
        <w:jc w:val="left"/>
        <w:rPr/>
      </w:pPr>
      <w:bookmarkStart w:id="18" w:name="tm2625074d1_ex1.htm"/>
      <w:bookmarkStart w:id="19" w:name="kstm2625074d1_ex1"/>
      <w:bookmarkEnd w:id="18"/>
      <w:bookmarkEnd w:id="19"/>
      <w:r>
        <w:rP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specifies the date of the transaction, number of shares, weighted-average price per share and range of price per share of the Common Stock of Republic Services, Inc. purchased by Cascade Investment, L.L.C. during the period from August 20, 2026 through September 8, 2026. All transactions were effected in the open market through brokers. The reporting person making such transactions undertakes to provide to the staff of the Securities and Exchange Commission, upon request, full information regarding the number of shares purchased at each separate price within the ranges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1715"/>
        <w:gridCol w:w="60"/>
        <w:gridCol w:w="121"/>
        <w:gridCol w:w="1413"/>
        <w:gridCol w:w="60"/>
        <w:gridCol w:w="60"/>
        <w:gridCol w:w="114"/>
        <w:gridCol w:w="1525"/>
        <w:gridCol w:w="60"/>
        <w:gridCol w:w="60"/>
        <w:gridCol w:w="78"/>
        <w:gridCol w:w="1045"/>
        <w:gridCol w:w="78"/>
        <w:gridCol w:w="78"/>
        <w:gridCol w:w="78"/>
        <w:gridCol w:w="1045"/>
        <w:gridCol w:w="75"/>
      </w:tblGrid>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 Price per Share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1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Date of Transaction</w:t>
            </w:r>
          </w:p>
        </w:tc>
        <w:tc>
          <w:tcPr>
            <w:tcW w:w="60" w:type="dxa"/>
            <w:tcBorders/>
            <w:vAlign w:val="center"/>
          </w:tcPr>
          <w:p>
            <w:pPr>
              <w:pStyle w:val="TableContents"/>
              <w:bidi w:val="0"/>
              <w:spacing w:before="0" w:after="283"/>
              <w:jc w:val="center"/>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Weighted Average </w:t>
              <w:br/>
              <w:t>Price per Share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219.3500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220.3450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220.7431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221.3200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221.3500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219.5873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218.8600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219.8550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220.3770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219.8600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220.8650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24,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221.5500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222.5400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24,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222.8427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223.5450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24,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223.7280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223.5500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224.1900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221.1248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220.5800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221.5750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221.5800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222.5700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223.0445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222.5800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223.5750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223.7365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223.5800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223.9800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220.8399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220.9850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221.4312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221.9950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222.1843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219.4076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218.8900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219.8850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219.8900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220.6450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221.0568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220.9200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221.3800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220.2897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219.5350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220.5300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220.5400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221.4750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222.1215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221.6950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221.3229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220.9200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221.9150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222.3008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221.9200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222.9150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222.9250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223.8800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221.3543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220.6550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222.2206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221.6550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223.1488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222.6550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223.8275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223.6550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224.4250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221.1851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221.6900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221.7100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222.6950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222.7000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223.6950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223.9274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224.2300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222.2100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223.5824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223.2100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224.1900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224.8997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224.2100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225.2050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225.3513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225.2100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225.7500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222.9235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222.4100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223.4050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223.8109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223.4100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224.4709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224.4100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224.5500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220.7666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220.4000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221.3900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221.8189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222.3950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222.5564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223.1200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1549</Words>
  <Characters>8373</Characters>
  <CharactersWithSpaces>10176</CharactersWithSpaces>
  <Paragraphs>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