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28, 2026</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Republic Services,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02" w:type="dxa"/>
        <w:jc w:val="center"/>
        <w:tblInd w:w="0" w:type="dxa"/>
        <w:tblLayout w:type="fixed"/>
        <w:tblCellMar>
          <w:top w:w="28" w:type="dxa"/>
          <w:left w:w="28" w:type="dxa"/>
          <w:bottom w:w="28" w:type="dxa"/>
          <w:right w:w="28" w:type="dxa"/>
        </w:tblCellMar>
      </w:tblPr>
      <w:tblGrid>
        <w:gridCol w:w="889"/>
        <w:gridCol w:w="781"/>
        <w:gridCol w:w="789"/>
        <w:gridCol w:w="109"/>
        <w:gridCol w:w="109"/>
        <w:gridCol w:w="109"/>
        <w:gridCol w:w="762"/>
        <w:gridCol w:w="762"/>
        <w:gridCol w:w="770"/>
        <w:gridCol w:w="109"/>
        <w:gridCol w:w="109"/>
        <w:gridCol w:w="109"/>
        <w:gridCol w:w="845"/>
        <w:gridCol w:w="845"/>
        <w:gridCol w:w="1205"/>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1-14267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65-0716904</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658" w:type="dxa"/>
        <w:jc w:val="left"/>
        <w:tblInd w:w="0" w:type="dxa"/>
        <w:tblLayout w:type="fixed"/>
        <w:tblCellMar>
          <w:top w:w="28" w:type="dxa"/>
          <w:left w:w="28" w:type="dxa"/>
          <w:bottom w:w="28" w:type="dxa"/>
          <w:right w:w="28" w:type="dxa"/>
        </w:tblCellMar>
      </w:tblPr>
      <w:tblGrid>
        <w:gridCol w:w="611"/>
        <w:gridCol w:w="537"/>
        <w:gridCol w:w="537"/>
        <w:gridCol w:w="537"/>
        <w:gridCol w:w="537"/>
        <w:gridCol w:w="537"/>
        <w:gridCol w:w="109"/>
        <w:gridCol w:w="109"/>
        <w:gridCol w:w="109"/>
        <w:gridCol w:w="303"/>
        <w:gridCol w:w="303"/>
        <w:gridCol w:w="429"/>
      </w:tblGrid>
      <w:tr>
        <w:trPr/>
        <w:tc>
          <w:tcPr>
            <w:tcW w:w="6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5353 East City North Drive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Phoenix, </w:t>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Arizona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85054</w:t>
            </w:r>
          </w:p>
        </w:tc>
      </w:tr>
      <w:tr>
        <w:trPr/>
        <w:tc>
          <w:tcPr>
            <w:tcW w:w="32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(480) 627-2700</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120" w:after="283"/>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40"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04" w:type="dxa"/>
        <w:jc w:val="left"/>
        <w:tblInd w:w="0" w:type="dxa"/>
        <w:tblLayout w:type="fixed"/>
        <w:tblCellMar>
          <w:top w:w="28" w:type="dxa"/>
          <w:left w:w="28" w:type="dxa"/>
          <w:bottom w:w="28" w:type="dxa"/>
          <w:right w:w="28" w:type="dxa"/>
        </w:tblCellMar>
      </w:tblPr>
      <w:tblGrid>
        <w:gridCol w:w="1263"/>
        <w:gridCol w:w="1113"/>
        <w:gridCol w:w="1119"/>
        <w:gridCol w:w="474"/>
        <w:gridCol w:w="474"/>
        <w:gridCol w:w="476"/>
        <w:gridCol w:w="962"/>
        <w:gridCol w:w="962"/>
        <w:gridCol w:w="1361"/>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8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42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RSG</w:t>
            </w:r>
          </w:p>
        </w:tc>
        <w:tc>
          <w:tcPr>
            <w:tcW w:w="328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sz w:val="20"/>
              </w:rPr>
            </w:pPr>
            <w:r>
              <w:rPr>
                <w:rFonts w:ascii="Wingdings;sans-serif" w:hAnsi="Wingdings;sans-serif"/>
                <w:b w:val="false"/>
                <w:sz w:val="20"/>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TABLE OF CONTENTS</w:t>
      </w:r>
    </w:p>
    <w:tbl>
      <w:tblPr>
        <w:tblW w:w="3051" w:type="dxa"/>
        <w:jc w:val="left"/>
        <w:tblInd w:w="0" w:type="dxa"/>
        <w:tblLayout w:type="fixed"/>
        <w:tblCellMar>
          <w:top w:w="28" w:type="dxa"/>
          <w:left w:w="28" w:type="dxa"/>
          <w:bottom w:w="28" w:type="dxa"/>
          <w:right w:w="28" w:type="dxa"/>
        </w:tblCellMar>
      </w:tblPr>
      <w:tblGrid>
        <w:gridCol w:w="734"/>
        <w:gridCol w:w="644"/>
        <w:gridCol w:w="647"/>
        <w:gridCol w:w="109"/>
        <w:gridCol w:w="109"/>
        <w:gridCol w:w="109"/>
        <w:gridCol w:w="109"/>
        <w:gridCol w:w="109"/>
        <w:gridCol w:w="10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c404ee0c03c4e89aebf356aa7acdddf_10">
              <w:r>
                <w:rPr>
                  <w:rStyle w:val="InternetLink"/>
                  <w:rFonts w:ascii="Times New Roman;serif" w:hAnsi="Times New Roman;serif"/>
                  <w:b w:val="false"/>
                  <w:strike w:val="false"/>
                  <w:dstrike w:val="false"/>
                  <w:color w:val="000000"/>
                  <w:sz w:val="20"/>
                  <w:u w:val="none"/>
                  <w:effect w:val="none"/>
                </w:rPr>
                <w:t>Item 8.01 Other Events.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04ee0c03c4e89aebf356aa7acdddf_10">
              <w:r>
                <w:rPr>
                  <w:rStyle w:val="InternetLink"/>
                  <w:rFonts w:ascii="Times New Roman;serif" w:hAnsi="Times New Roman;serif"/>
                  <w:b w:val="false"/>
                  <w:color w:val="0000FF"/>
                  <w:sz w:val="20"/>
                  <w:u w:val="single"/>
                </w:rPr>
                <w:t>3</w:t>
              </w:r>
            </w:hyperlink>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c404ee0c03c4e89aebf356aa7acdddf_13">
              <w:r>
                <w:rPr>
                  <w:rStyle w:val="InternetLink"/>
                  <w:rFonts w:ascii="Times New Roman;serif" w:hAnsi="Times New Roman;serif"/>
                  <w:b w:val="false"/>
                  <w:color w:val="0000FF"/>
                  <w:sz w:val="20"/>
                  <w:u w:val="single"/>
                </w:rPr>
                <w:t>4</w:t>
              </w:r>
            </w:hyperlink>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026" w:type="dxa"/>
            <w:gridSpan w:val="9"/>
            <w:tcBorders/>
          </w:tcPr>
          <w:p>
            <w:pPr>
              <w:pStyle w:val="TableContents"/>
              <w:bidi w:val="0"/>
              <w:spacing w:before="0" w:after="283"/>
              <w:jc w:val="left"/>
              <w:rPr>
                <w:sz w:val="4"/>
                <w:szCs w:val="4"/>
              </w:rPr>
            </w:pPr>
            <w:r>
              <w:rPr>
                <w:sz w:val="4"/>
                <w:szCs w:val="4"/>
              </w:rPr>
            </w:r>
          </w:p>
        </w:tc>
      </w:tr>
      <w:tr>
        <w:trPr/>
        <w:tc>
          <w:tcPr>
            <w:tcW w:w="305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EX-104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28, 2026, the Board of Directors of Republic Services, Inc. (the "Company") approved a 4.5 cent increase in the Company's regular quarterly dividend to $0.670 per share. The dividend will be paid on October 15, 2026 for shareholders of record on October 2, 2026. </w:t>
      </w:r>
    </w:p>
    <w:tbl>
      <w:tblPr>
        <w:tblW w:w="10205" w:type="dxa"/>
        <w:jc w:val="left"/>
        <w:tblInd w:w="0" w:type="dxa"/>
        <w:tblLayout w:type="fixed"/>
        <w:tblCellMar>
          <w:top w:w="28" w:type="dxa"/>
          <w:left w:w="28" w:type="dxa"/>
          <w:bottom w:w="28" w:type="dxa"/>
          <w:right w:w="28" w:type="dxa"/>
        </w:tblCellMar>
      </w:tblPr>
      <w:tblGrid>
        <w:gridCol w:w="381"/>
        <w:gridCol w:w="335"/>
        <w:gridCol w:w="338"/>
        <w:gridCol w:w="109"/>
        <w:gridCol w:w="109"/>
        <w:gridCol w:w="109"/>
        <w:gridCol w:w="2584"/>
        <w:gridCol w:w="2584"/>
        <w:gridCol w:w="3656"/>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56" w:type="dxa"/>
            <w:tcBorders/>
            <w:vAlign w:val="center"/>
          </w:tcPr>
          <w:p>
            <w:pPr>
              <w:pStyle w:val="TableContents"/>
              <w:bidi w:val="0"/>
              <w:spacing w:before="0" w:after="283"/>
              <w:jc w:val="left"/>
              <w:rPr>
                <w:sz w:val="4"/>
                <w:szCs w:val="4"/>
              </w:rPr>
            </w:pPr>
            <w:r>
              <w:rPr>
                <w:sz w:val="4"/>
                <w:szCs w:val="4"/>
              </w:rPr>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198"/>
        <w:gridCol w:w="175"/>
        <w:gridCol w:w="176"/>
        <w:gridCol w:w="383"/>
        <w:gridCol w:w="383"/>
        <w:gridCol w:w="386"/>
        <w:gridCol w:w="374"/>
        <w:gridCol w:w="374"/>
        <w:gridCol w:w="374"/>
        <w:gridCol w:w="2179"/>
        <w:gridCol w:w="2151"/>
        <w:gridCol w:w="3052"/>
      </w:tblGrid>
      <w:tr>
        <w:trPr/>
        <w:tc>
          <w:tcPr>
            <w:tcW w:w="1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SERVICES, INC.</w:t>
            </w:r>
          </w:p>
        </w:tc>
      </w:tr>
      <w:tr>
        <w:trPr/>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Catharine D. Ellingsen</w:t>
            </w:r>
          </w:p>
        </w:tc>
      </w:tr>
      <w:tr>
        <w:trPr/>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Catharine D. Ellingsen</w:t>
            </w:r>
          </w:p>
        </w:tc>
      </w:tr>
      <w:tr>
        <w:trPr/>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Vice President, Chief Legal Officer, Chief Ethics &amp; Compliance Officer and Corporate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448</Words>
  <Characters>2416</Characters>
  <CharactersWithSpaces>2830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